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F10F0" w:rsidRPr="00A7465D" w:rsidTr="00BC47F8">
        <w:tc>
          <w:tcPr>
            <w:tcW w:w="2356" w:type="dxa"/>
          </w:tcPr>
          <w:p w:rsidR="00EF10F0" w:rsidRPr="00A7465D" w:rsidRDefault="00EF10F0" w:rsidP="00A95517">
            <w:pPr>
              <w:pStyle w:val="Ttulo1"/>
              <w:rPr>
                <w:rFonts w:ascii="Arial" w:eastAsia="Calibri" w:hAnsi="Arial" w:cs="Arial"/>
                <w:sz w:val="26"/>
                <w:szCs w:val="26"/>
              </w:rPr>
            </w:pPr>
          </w:p>
        </w:tc>
        <w:tc>
          <w:tcPr>
            <w:tcW w:w="7426" w:type="dxa"/>
          </w:tcPr>
          <w:p w:rsidR="00EF10F0" w:rsidRPr="00A7465D" w:rsidRDefault="00EF10F0" w:rsidP="00A7465D">
            <w:pPr>
              <w:spacing w:line="240" w:lineRule="auto"/>
              <w:ind w:left="1827" w:right="497"/>
              <w:jc w:val="both"/>
              <w:rPr>
                <w:rFonts w:ascii="Arial" w:eastAsia="Arial Unicode MS" w:hAnsi="Arial" w:cs="Arial"/>
                <w:b/>
                <w:sz w:val="26"/>
                <w:szCs w:val="26"/>
              </w:rPr>
            </w:pPr>
            <w:r w:rsidRPr="00A7465D">
              <w:rPr>
                <w:rFonts w:ascii="Arial" w:eastAsia="Arial Unicode MS" w:hAnsi="Arial" w:cs="Arial"/>
                <w:b/>
                <w:sz w:val="26"/>
                <w:szCs w:val="26"/>
              </w:rPr>
              <w:t xml:space="preserve">SALA SUPERIOR DEL TRIBUNAL DE </w:t>
            </w:r>
            <w:r w:rsidR="00A31DB8" w:rsidRPr="00A7465D">
              <w:rPr>
                <w:rFonts w:ascii="Arial" w:eastAsia="Arial Unicode MS" w:hAnsi="Arial" w:cs="Arial"/>
                <w:b/>
                <w:sz w:val="26"/>
                <w:szCs w:val="26"/>
              </w:rPr>
              <w:t>JUSTICIA ADMINISTRATIVA</w:t>
            </w:r>
            <w:r w:rsidRPr="00A7465D">
              <w:rPr>
                <w:rFonts w:ascii="Arial" w:eastAsia="Arial Unicode MS" w:hAnsi="Arial" w:cs="Arial"/>
                <w:b/>
                <w:sz w:val="26"/>
                <w:szCs w:val="26"/>
              </w:rPr>
              <w:t xml:space="preserve"> DEL ESTADO DE OAXACA.</w:t>
            </w:r>
          </w:p>
          <w:p w:rsidR="00EF10F0" w:rsidRPr="00A7465D" w:rsidRDefault="00EF10F0" w:rsidP="00A7465D">
            <w:pPr>
              <w:spacing w:line="240" w:lineRule="auto"/>
              <w:ind w:left="1827" w:right="497"/>
              <w:jc w:val="both"/>
              <w:rPr>
                <w:rFonts w:ascii="Arial" w:eastAsia="Arial Unicode MS" w:hAnsi="Arial" w:cs="Arial"/>
                <w:b/>
                <w:sz w:val="26"/>
                <w:szCs w:val="26"/>
              </w:rPr>
            </w:pPr>
            <w:r w:rsidRPr="00A7465D">
              <w:rPr>
                <w:rFonts w:ascii="Arial" w:eastAsia="Arial Unicode MS" w:hAnsi="Arial" w:cs="Arial"/>
                <w:b/>
                <w:sz w:val="26"/>
                <w:szCs w:val="26"/>
              </w:rPr>
              <w:t>JUICIO DE INCONFORMIDAD NUMERO: JI/0</w:t>
            </w:r>
            <w:r w:rsidR="00D07401" w:rsidRPr="00A7465D">
              <w:rPr>
                <w:rFonts w:ascii="Arial" w:eastAsia="Arial Unicode MS" w:hAnsi="Arial" w:cs="Arial"/>
                <w:b/>
                <w:sz w:val="26"/>
                <w:szCs w:val="26"/>
              </w:rPr>
              <w:t>5</w:t>
            </w:r>
            <w:r w:rsidR="002022E2" w:rsidRPr="00A7465D">
              <w:rPr>
                <w:rFonts w:ascii="Arial" w:eastAsia="Arial Unicode MS" w:hAnsi="Arial" w:cs="Arial"/>
                <w:b/>
                <w:sz w:val="26"/>
                <w:szCs w:val="26"/>
              </w:rPr>
              <w:t>6</w:t>
            </w:r>
            <w:r w:rsidRPr="00A7465D">
              <w:rPr>
                <w:rFonts w:ascii="Arial" w:eastAsia="Arial Unicode MS" w:hAnsi="Arial" w:cs="Arial"/>
                <w:b/>
                <w:sz w:val="26"/>
                <w:szCs w:val="26"/>
              </w:rPr>
              <w:t>/2017.</w:t>
            </w:r>
          </w:p>
          <w:p w:rsidR="00EF10F0" w:rsidRPr="00A7465D" w:rsidRDefault="00EF10F0" w:rsidP="00A7465D">
            <w:pPr>
              <w:spacing w:line="240" w:lineRule="auto"/>
              <w:ind w:left="1827" w:right="497"/>
              <w:jc w:val="both"/>
              <w:rPr>
                <w:rFonts w:ascii="Arial" w:eastAsia="Arial Unicode MS" w:hAnsi="Arial" w:cs="Arial"/>
                <w:b/>
                <w:sz w:val="26"/>
                <w:szCs w:val="26"/>
              </w:rPr>
            </w:pPr>
            <w:r w:rsidRPr="00A7465D">
              <w:rPr>
                <w:rFonts w:ascii="Arial" w:eastAsia="Arial Unicode MS" w:hAnsi="Arial" w:cs="Arial"/>
                <w:b/>
                <w:sz w:val="26"/>
                <w:szCs w:val="26"/>
              </w:rPr>
              <w:t xml:space="preserve">ACTOR: </w:t>
            </w:r>
            <w:r w:rsidR="009A2742">
              <w:rPr>
                <w:rFonts w:ascii="Arial" w:eastAsia="Arial Unicode MS" w:hAnsi="Arial" w:cs="Arial"/>
                <w:b/>
                <w:sz w:val="26"/>
                <w:szCs w:val="26"/>
              </w:rPr>
              <w:t>**********</w:t>
            </w:r>
            <w:r w:rsidR="00D07401" w:rsidRPr="00A7465D">
              <w:rPr>
                <w:rFonts w:ascii="Arial" w:eastAsia="Arial Unicode MS" w:hAnsi="Arial" w:cs="Arial"/>
                <w:b/>
                <w:sz w:val="26"/>
                <w:szCs w:val="26"/>
              </w:rPr>
              <w:t>.</w:t>
            </w:r>
          </w:p>
          <w:p w:rsidR="00EF10F0" w:rsidRPr="00A7465D" w:rsidRDefault="00EF10F0" w:rsidP="00A7465D">
            <w:pPr>
              <w:spacing w:line="240" w:lineRule="auto"/>
              <w:ind w:left="1827" w:right="497"/>
              <w:jc w:val="both"/>
              <w:rPr>
                <w:rFonts w:ascii="Arial" w:eastAsia="Arial Unicode MS" w:hAnsi="Arial" w:cs="Arial"/>
                <w:b/>
                <w:sz w:val="26"/>
                <w:szCs w:val="26"/>
              </w:rPr>
            </w:pPr>
            <w:r w:rsidRPr="00A7465D">
              <w:rPr>
                <w:rFonts w:ascii="Arial" w:eastAsia="Arial Unicode MS" w:hAnsi="Arial" w:cs="Arial"/>
                <w:b/>
                <w:sz w:val="26"/>
                <w:szCs w:val="26"/>
              </w:rPr>
              <w:t xml:space="preserve">DEMANDADO: AUDITOR SUPERIOR DEL ESTADO.                               </w:t>
            </w:r>
          </w:p>
          <w:p w:rsidR="00EF10F0" w:rsidRPr="00A7465D" w:rsidRDefault="00EF10F0" w:rsidP="00A7465D">
            <w:pPr>
              <w:tabs>
                <w:tab w:val="right" w:pos="8504"/>
              </w:tabs>
              <w:spacing w:after="0" w:line="240" w:lineRule="auto"/>
              <w:ind w:left="1827" w:right="497"/>
              <w:jc w:val="both"/>
              <w:rPr>
                <w:rFonts w:ascii="Arial" w:eastAsia="PMingLiU" w:hAnsi="Arial" w:cs="Arial"/>
                <w:b/>
                <w:iCs/>
                <w:caps/>
                <w:sz w:val="26"/>
                <w:szCs w:val="26"/>
                <w:lang w:val="es-MX" w:eastAsia="zh-TW"/>
              </w:rPr>
            </w:pPr>
            <w:r w:rsidRPr="00A7465D">
              <w:rPr>
                <w:rFonts w:ascii="Arial" w:eastAsia="Arial Unicode MS" w:hAnsi="Arial" w:cs="Arial"/>
                <w:b/>
                <w:sz w:val="26"/>
                <w:szCs w:val="26"/>
              </w:rPr>
              <w:t>PONENTE: MAGISTRADO HUGO VILLEGAS AQUINO.</w:t>
            </w:r>
          </w:p>
        </w:tc>
      </w:tr>
      <w:tr w:rsidR="00EF10F0" w:rsidRPr="00A7465D" w:rsidTr="00BC47F8">
        <w:tc>
          <w:tcPr>
            <w:tcW w:w="2356" w:type="dxa"/>
          </w:tcPr>
          <w:p w:rsidR="00EF10F0" w:rsidRPr="00A7465D" w:rsidRDefault="00EF10F0" w:rsidP="00BC47F8">
            <w:pPr>
              <w:spacing w:after="0" w:line="240" w:lineRule="auto"/>
              <w:rPr>
                <w:rFonts w:ascii="Arial" w:eastAsia="Calibri" w:hAnsi="Arial" w:cs="Arial"/>
                <w:b/>
                <w:sz w:val="26"/>
                <w:szCs w:val="26"/>
                <w:lang w:val="es-MX"/>
              </w:rPr>
            </w:pPr>
          </w:p>
        </w:tc>
        <w:tc>
          <w:tcPr>
            <w:tcW w:w="7426" w:type="dxa"/>
          </w:tcPr>
          <w:p w:rsidR="00EF10F0" w:rsidRPr="00A7465D" w:rsidRDefault="00EF10F0" w:rsidP="00BC47F8">
            <w:pPr>
              <w:tabs>
                <w:tab w:val="left" w:pos="3103"/>
              </w:tabs>
              <w:spacing w:after="0" w:line="240" w:lineRule="auto"/>
              <w:jc w:val="both"/>
              <w:rPr>
                <w:rFonts w:ascii="Arial" w:eastAsia="Calibri" w:hAnsi="Arial" w:cs="Arial"/>
                <w:b/>
                <w:iCs/>
                <w:caps/>
                <w:sz w:val="26"/>
                <w:szCs w:val="26"/>
                <w:lang w:val="es-MX"/>
              </w:rPr>
            </w:pPr>
          </w:p>
        </w:tc>
      </w:tr>
      <w:tr w:rsidR="00EF10F0" w:rsidRPr="00A7465D" w:rsidTr="00BC47F8">
        <w:tc>
          <w:tcPr>
            <w:tcW w:w="2356" w:type="dxa"/>
          </w:tcPr>
          <w:p w:rsidR="00EF10F0" w:rsidRPr="00A7465D" w:rsidRDefault="00EF10F0" w:rsidP="00BC47F8">
            <w:pPr>
              <w:spacing w:after="0" w:line="240" w:lineRule="auto"/>
              <w:rPr>
                <w:rFonts w:ascii="Arial" w:eastAsia="Calibri" w:hAnsi="Arial" w:cs="Arial"/>
                <w:b/>
                <w:sz w:val="26"/>
                <w:szCs w:val="26"/>
                <w:lang w:val="es-MX"/>
              </w:rPr>
            </w:pPr>
          </w:p>
        </w:tc>
        <w:tc>
          <w:tcPr>
            <w:tcW w:w="7426" w:type="dxa"/>
          </w:tcPr>
          <w:p w:rsidR="00EF10F0" w:rsidRPr="00A7465D" w:rsidRDefault="00EF10F0" w:rsidP="00BC47F8">
            <w:pPr>
              <w:tabs>
                <w:tab w:val="left" w:pos="3103"/>
              </w:tabs>
              <w:spacing w:after="0" w:line="240" w:lineRule="auto"/>
              <w:ind w:left="2961" w:hanging="2961"/>
              <w:jc w:val="both"/>
              <w:rPr>
                <w:rFonts w:ascii="Arial" w:eastAsia="Calibri" w:hAnsi="Arial" w:cs="Arial"/>
                <w:b/>
                <w:i/>
                <w:iCs/>
                <w:caps/>
                <w:sz w:val="26"/>
                <w:szCs w:val="26"/>
                <w:lang w:val="es-MX"/>
              </w:rPr>
            </w:pPr>
          </w:p>
        </w:tc>
      </w:tr>
    </w:tbl>
    <w:p w:rsidR="00A7465D" w:rsidRPr="00A7465D" w:rsidRDefault="00A7465D" w:rsidP="00EF10F0">
      <w:pPr>
        <w:spacing w:line="360" w:lineRule="auto"/>
        <w:ind w:right="-356"/>
        <w:jc w:val="both"/>
        <w:rPr>
          <w:rFonts w:ascii="Arial" w:eastAsia="Calibri" w:hAnsi="Arial" w:cs="Arial"/>
          <w:b/>
          <w:sz w:val="26"/>
          <w:szCs w:val="26"/>
          <w:lang w:val="es-MX"/>
        </w:rPr>
      </w:pPr>
      <w:r w:rsidRPr="00A7465D">
        <w:rPr>
          <w:rFonts w:ascii="Arial" w:eastAsia="Calibri" w:hAnsi="Arial" w:cs="Arial"/>
          <w:b/>
          <w:sz w:val="26"/>
          <w:szCs w:val="26"/>
          <w:lang w:val="es-MX"/>
        </w:rPr>
        <w:t xml:space="preserve">OAXACA DE JUÁREZ, OAXACA, VEINTIDÓS DE MARZO DE </w:t>
      </w:r>
      <w:r w:rsidR="00EF10F0" w:rsidRPr="00A7465D">
        <w:rPr>
          <w:rFonts w:ascii="Arial" w:eastAsia="Calibri" w:hAnsi="Arial" w:cs="Arial"/>
          <w:b/>
          <w:sz w:val="26"/>
          <w:szCs w:val="26"/>
          <w:lang w:val="es-MX"/>
        </w:rPr>
        <w:t>DOS MIL DIECIOCHO.</w:t>
      </w:r>
    </w:p>
    <w:p w:rsidR="00EF10F0" w:rsidRPr="00A7465D" w:rsidRDefault="00EF10F0" w:rsidP="00EF10F0">
      <w:pPr>
        <w:spacing w:after="0" w:line="360" w:lineRule="auto"/>
        <w:ind w:firstLine="708"/>
        <w:jc w:val="both"/>
        <w:rPr>
          <w:rFonts w:ascii="Arial" w:hAnsi="Arial" w:cs="Arial"/>
          <w:b/>
          <w:sz w:val="26"/>
          <w:szCs w:val="26"/>
        </w:rPr>
      </w:pPr>
      <w:r w:rsidRPr="00A7465D">
        <w:rPr>
          <w:rFonts w:ascii="Arial" w:hAnsi="Arial" w:cs="Arial"/>
          <w:b/>
          <w:sz w:val="26"/>
          <w:szCs w:val="26"/>
        </w:rPr>
        <w:t>Vistos</w:t>
      </w:r>
      <w:r w:rsidRPr="00A7465D">
        <w:rPr>
          <w:rFonts w:ascii="Arial" w:hAnsi="Arial" w:cs="Arial"/>
          <w:sz w:val="26"/>
          <w:szCs w:val="26"/>
        </w:rPr>
        <w:t xml:space="preserve"> para resolver los autos del juicio de inconformidad promovido por</w:t>
      </w:r>
      <w:r w:rsidR="00D07401" w:rsidRPr="00A7465D">
        <w:rPr>
          <w:rFonts w:ascii="Arial" w:hAnsi="Arial" w:cs="Arial"/>
          <w:b/>
          <w:sz w:val="26"/>
          <w:szCs w:val="26"/>
        </w:rPr>
        <w:t xml:space="preserve">, </w:t>
      </w:r>
      <w:r w:rsidR="009A2742">
        <w:rPr>
          <w:rFonts w:ascii="Arial" w:hAnsi="Arial" w:cs="Arial"/>
          <w:b/>
          <w:sz w:val="26"/>
          <w:szCs w:val="26"/>
        </w:rPr>
        <w:t>**********</w:t>
      </w:r>
      <w:r w:rsidR="002022E2" w:rsidRPr="00A7465D">
        <w:rPr>
          <w:rFonts w:ascii="Arial" w:hAnsi="Arial" w:cs="Arial"/>
          <w:sz w:val="26"/>
          <w:szCs w:val="26"/>
        </w:rPr>
        <w:t>por su propio derecho y</w:t>
      </w:r>
      <w:r w:rsidR="00D07401" w:rsidRPr="00A7465D">
        <w:rPr>
          <w:rFonts w:ascii="Arial" w:hAnsi="Arial" w:cs="Arial"/>
          <w:b/>
          <w:sz w:val="26"/>
          <w:szCs w:val="26"/>
        </w:rPr>
        <w:t xml:space="preserve"> </w:t>
      </w:r>
      <w:r w:rsidR="00D07401" w:rsidRPr="00A7465D">
        <w:rPr>
          <w:rFonts w:ascii="Arial" w:hAnsi="Arial" w:cs="Arial"/>
          <w:sz w:val="26"/>
          <w:szCs w:val="26"/>
        </w:rPr>
        <w:t xml:space="preserve">como </w:t>
      </w:r>
      <w:r w:rsidR="002022E2" w:rsidRPr="00A7465D">
        <w:rPr>
          <w:rFonts w:ascii="Arial" w:hAnsi="Arial" w:cs="Arial"/>
          <w:sz w:val="26"/>
          <w:szCs w:val="26"/>
        </w:rPr>
        <w:t xml:space="preserve"> </w:t>
      </w:r>
      <w:r w:rsidR="002022E2" w:rsidRPr="00A7465D">
        <w:rPr>
          <w:rFonts w:ascii="Arial" w:hAnsi="Arial" w:cs="Arial"/>
          <w:b/>
          <w:sz w:val="26"/>
          <w:szCs w:val="26"/>
        </w:rPr>
        <w:t xml:space="preserve">EX </w:t>
      </w:r>
      <w:r w:rsidR="00D07401" w:rsidRPr="00A7465D">
        <w:rPr>
          <w:rFonts w:ascii="Arial" w:hAnsi="Arial" w:cs="Arial"/>
          <w:b/>
          <w:sz w:val="26"/>
          <w:szCs w:val="26"/>
        </w:rPr>
        <w:t>PRESIDENTE CONSTITUCIONAL,</w:t>
      </w:r>
      <w:r w:rsidR="002022E2" w:rsidRPr="00A7465D">
        <w:rPr>
          <w:rFonts w:ascii="Arial" w:hAnsi="Arial" w:cs="Arial"/>
          <w:b/>
          <w:sz w:val="26"/>
          <w:szCs w:val="26"/>
        </w:rPr>
        <w:t xml:space="preserve"> EX </w:t>
      </w:r>
      <w:r w:rsidR="00D07401" w:rsidRPr="00A7465D">
        <w:rPr>
          <w:rFonts w:ascii="Arial" w:hAnsi="Arial" w:cs="Arial"/>
          <w:b/>
          <w:sz w:val="26"/>
          <w:szCs w:val="26"/>
        </w:rPr>
        <w:t>SÍNDICO MUNICIPAL,</w:t>
      </w:r>
      <w:r w:rsidR="002022E2" w:rsidRPr="00A7465D">
        <w:rPr>
          <w:rFonts w:ascii="Arial" w:hAnsi="Arial" w:cs="Arial"/>
          <w:b/>
          <w:sz w:val="26"/>
          <w:szCs w:val="26"/>
        </w:rPr>
        <w:t xml:space="preserve"> EX </w:t>
      </w:r>
      <w:r w:rsidR="00D07401" w:rsidRPr="00A7465D">
        <w:rPr>
          <w:rFonts w:ascii="Arial" w:hAnsi="Arial" w:cs="Arial"/>
          <w:b/>
          <w:sz w:val="26"/>
          <w:szCs w:val="26"/>
        </w:rPr>
        <w:t>REGIDOR DE HACIENDA y</w:t>
      </w:r>
      <w:r w:rsidR="002022E2" w:rsidRPr="00A7465D">
        <w:rPr>
          <w:rFonts w:ascii="Arial" w:hAnsi="Arial" w:cs="Arial"/>
          <w:b/>
          <w:sz w:val="26"/>
          <w:szCs w:val="26"/>
        </w:rPr>
        <w:t xml:space="preserve"> EX </w:t>
      </w:r>
      <w:r w:rsidR="00D07401" w:rsidRPr="00A7465D">
        <w:rPr>
          <w:rFonts w:ascii="Arial" w:hAnsi="Arial" w:cs="Arial"/>
          <w:b/>
          <w:sz w:val="26"/>
          <w:szCs w:val="26"/>
        </w:rPr>
        <w:t xml:space="preserve">TESORERO MUNICIPAL, </w:t>
      </w:r>
      <w:r w:rsidR="00D07401" w:rsidRPr="00A7465D">
        <w:rPr>
          <w:rFonts w:ascii="Arial" w:hAnsi="Arial" w:cs="Arial"/>
          <w:sz w:val="26"/>
          <w:szCs w:val="26"/>
        </w:rPr>
        <w:t xml:space="preserve">respectivamente, todos del municipio de </w:t>
      </w:r>
      <w:r w:rsidR="00D07401" w:rsidRPr="00A7465D">
        <w:rPr>
          <w:rFonts w:ascii="Arial" w:hAnsi="Arial" w:cs="Arial"/>
          <w:b/>
          <w:sz w:val="26"/>
          <w:szCs w:val="26"/>
        </w:rPr>
        <w:t>SAN</w:t>
      </w:r>
      <w:r w:rsidR="002022E2" w:rsidRPr="00A7465D">
        <w:rPr>
          <w:rFonts w:ascii="Arial" w:hAnsi="Arial" w:cs="Arial"/>
          <w:b/>
          <w:sz w:val="26"/>
          <w:szCs w:val="26"/>
        </w:rPr>
        <w:t>TIAGO JUXTLAHUACA</w:t>
      </w:r>
      <w:r w:rsidR="00D07401" w:rsidRPr="00A7465D">
        <w:rPr>
          <w:rFonts w:ascii="Arial" w:hAnsi="Arial" w:cs="Arial"/>
          <w:b/>
          <w:sz w:val="26"/>
          <w:szCs w:val="26"/>
        </w:rPr>
        <w:t>, OAXACA</w:t>
      </w:r>
      <w:r w:rsidRPr="00A7465D">
        <w:rPr>
          <w:rFonts w:ascii="Arial" w:hAnsi="Arial" w:cs="Arial"/>
          <w:b/>
          <w:sz w:val="26"/>
          <w:szCs w:val="26"/>
        </w:rPr>
        <w:t xml:space="preserve">, </w:t>
      </w:r>
      <w:r w:rsidRPr="00A7465D">
        <w:rPr>
          <w:rFonts w:ascii="Arial" w:hAnsi="Arial" w:cs="Arial"/>
          <w:sz w:val="26"/>
          <w:szCs w:val="26"/>
        </w:rPr>
        <w:t xml:space="preserve">en contra de la resolución de </w:t>
      </w:r>
      <w:r w:rsidR="002022E2" w:rsidRPr="00A7465D">
        <w:rPr>
          <w:rFonts w:ascii="Arial" w:hAnsi="Arial" w:cs="Arial"/>
          <w:sz w:val="26"/>
          <w:szCs w:val="26"/>
        </w:rPr>
        <w:t>veintinueve</w:t>
      </w:r>
      <w:r w:rsidR="00D07401" w:rsidRPr="00A7465D">
        <w:rPr>
          <w:rFonts w:ascii="Arial" w:hAnsi="Arial" w:cs="Arial"/>
          <w:sz w:val="26"/>
          <w:szCs w:val="26"/>
        </w:rPr>
        <w:t xml:space="preserve"> de septiembre</w:t>
      </w:r>
      <w:r w:rsidRPr="00A7465D">
        <w:rPr>
          <w:rFonts w:ascii="Arial" w:hAnsi="Arial" w:cs="Arial"/>
          <w:sz w:val="26"/>
          <w:szCs w:val="26"/>
        </w:rPr>
        <w:t xml:space="preserve"> de dos mil diecisiete dictada por el </w:t>
      </w:r>
      <w:r w:rsidRPr="00A7465D">
        <w:rPr>
          <w:rFonts w:ascii="Arial" w:hAnsi="Arial" w:cs="Arial"/>
          <w:b/>
          <w:sz w:val="26"/>
          <w:szCs w:val="26"/>
        </w:rPr>
        <w:t xml:space="preserve">AUDITOR SUPERIOR DEL ESTADO DE OAXACA </w:t>
      </w:r>
      <w:r w:rsidRPr="00A7465D">
        <w:rPr>
          <w:rFonts w:ascii="Arial" w:hAnsi="Arial" w:cs="Arial"/>
          <w:sz w:val="26"/>
          <w:szCs w:val="26"/>
        </w:rPr>
        <w:t xml:space="preserve">en el recurso de reconsideración </w:t>
      </w:r>
      <w:r w:rsidRPr="00A7465D">
        <w:rPr>
          <w:rFonts w:ascii="Arial" w:hAnsi="Arial" w:cs="Arial"/>
          <w:b/>
          <w:sz w:val="26"/>
          <w:szCs w:val="26"/>
        </w:rPr>
        <w:t>ASE/REC.R./0</w:t>
      </w:r>
      <w:r w:rsidR="00157FE2" w:rsidRPr="00A7465D">
        <w:rPr>
          <w:rFonts w:ascii="Arial" w:hAnsi="Arial" w:cs="Arial"/>
          <w:b/>
          <w:sz w:val="26"/>
          <w:szCs w:val="26"/>
        </w:rPr>
        <w:t>56</w:t>
      </w:r>
      <w:r w:rsidRPr="00A7465D">
        <w:rPr>
          <w:rFonts w:ascii="Arial" w:hAnsi="Arial" w:cs="Arial"/>
          <w:b/>
          <w:sz w:val="26"/>
          <w:szCs w:val="26"/>
        </w:rPr>
        <w:t>/201</w:t>
      </w:r>
      <w:r w:rsidR="00D07401" w:rsidRPr="00A7465D">
        <w:rPr>
          <w:rFonts w:ascii="Arial" w:hAnsi="Arial" w:cs="Arial"/>
          <w:b/>
          <w:sz w:val="26"/>
          <w:szCs w:val="26"/>
        </w:rPr>
        <w:t>7</w:t>
      </w:r>
      <w:r w:rsidRPr="00A7465D">
        <w:rPr>
          <w:rFonts w:ascii="Arial" w:hAnsi="Arial" w:cs="Arial"/>
          <w:b/>
          <w:sz w:val="26"/>
          <w:szCs w:val="26"/>
        </w:rPr>
        <w:t>,</w:t>
      </w:r>
      <w:r w:rsidRPr="00A7465D">
        <w:rPr>
          <w:rFonts w:ascii="Arial" w:hAnsi="Arial" w:cs="Arial"/>
          <w:sz w:val="26"/>
          <w:szCs w:val="26"/>
        </w:rPr>
        <w:t xml:space="preserve"> por lo que seguido que fue el actual proceso conforme a sus trámites y: </w:t>
      </w:r>
    </w:p>
    <w:p w:rsidR="00EF10F0" w:rsidRPr="00A7465D" w:rsidRDefault="00EF10F0" w:rsidP="00EF10F0">
      <w:pPr>
        <w:widowControl w:val="0"/>
        <w:tabs>
          <w:tab w:val="left" w:pos="-1985"/>
          <w:tab w:val="left" w:pos="7938"/>
        </w:tabs>
        <w:spacing w:before="240" w:after="0" w:line="360" w:lineRule="auto"/>
        <w:ind w:left="709" w:right="17"/>
        <w:jc w:val="center"/>
        <w:rPr>
          <w:rFonts w:ascii="Arial" w:hAnsi="Arial" w:cs="Arial"/>
          <w:b/>
          <w:sz w:val="26"/>
          <w:szCs w:val="26"/>
        </w:rPr>
      </w:pPr>
      <w:r w:rsidRPr="00A7465D">
        <w:rPr>
          <w:rFonts w:ascii="Arial" w:hAnsi="Arial" w:cs="Arial"/>
          <w:b/>
          <w:sz w:val="26"/>
          <w:szCs w:val="26"/>
        </w:rPr>
        <w:t>R E S U L T A N D O:</w:t>
      </w:r>
    </w:p>
    <w:p w:rsidR="00EF10F0" w:rsidRPr="00A7465D" w:rsidRDefault="00EF10F0" w:rsidP="00EF10F0">
      <w:pPr>
        <w:widowControl w:val="0"/>
        <w:spacing w:before="240" w:after="0" w:line="360" w:lineRule="auto"/>
        <w:ind w:right="17"/>
        <w:jc w:val="both"/>
        <w:rPr>
          <w:rFonts w:ascii="Arial" w:hAnsi="Arial" w:cs="Arial"/>
          <w:sz w:val="26"/>
          <w:szCs w:val="26"/>
        </w:rPr>
      </w:pPr>
      <w:r w:rsidRPr="00A7465D">
        <w:rPr>
          <w:rFonts w:ascii="Arial" w:hAnsi="Arial" w:cs="Arial"/>
          <w:b/>
          <w:sz w:val="26"/>
          <w:szCs w:val="26"/>
        </w:rPr>
        <w:tab/>
        <w:t xml:space="preserve">PRIMERO.- </w:t>
      </w:r>
      <w:r w:rsidRPr="00A7465D">
        <w:rPr>
          <w:rFonts w:ascii="Arial" w:hAnsi="Arial" w:cs="Arial"/>
          <w:sz w:val="26"/>
          <w:szCs w:val="26"/>
        </w:rPr>
        <w:t>Por escrito presentado en la Oficialía de Partes Común de</w:t>
      </w:r>
      <w:r w:rsidR="00157FE2" w:rsidRPr="00A7465D">
        <w:rPr>
          <w:rFonts w:ascii="Arial" w:hAnsi="Arial" w:cs="Arial"/>
          <w:sz w:val="26"/>
          <w:szCs w:val="26"/>
        </w:rPr>
        <w:t xml:space="preserve">l Tribunal de lo Contencioso Administrativo y de Cuentas del Poder Judicial del Estado de Oaxaca </w:t>
      </w:r>
      <w:r w:rsidR="00A7465D">
        <w:rPr>
          <w:rFonts w:ascii="Arial" w:hAnsi="Arial" w:cs="Arial"/>
          <w:sz w:val="26"/>
          <w:szCs w:val="26"/>
        </w:rPr>
        <w:t>el</w:t>
      </w:r>
      <w:r w:rsidR="00157FE2" w:rsidRPr="00A7465D">
        <w:rPr>
          <w:rFonts w:ascii="Arial" w:hAnsi="Arial" w:cs="Arial"/>
          <w:sz w:val="26"/>
          <w:szCs w:val="26"/>
        </w:rPr>
        <w:t xml:space="preserve"> diez de noviembre </w:t>
      </w:r>
      <w:r w:rsidRPr="00A7465D">
        <w:rPr>
          <w:rFonts w:ascii="Arial" w:hAnsi="Arial" w:cs="Arial"/>
          <w:sz w:val="26"/>
          <w:szCs w:val="26"/>
        </w:rPr>
        <w:t>de 2017 dos mil diecisiete</w:t>
      </w:r>
      <w:r w:rsidR="00A351A8" w:rsidRPr="00A7465D">
        <w:rPr>
          <w:rFonts w:ascii="Arial" w:hAnsi="Arial" w:cs="Arial"/>
          <w:b/>
          <w:sz w:val="26"/>
          <w:szCs w:val="26"/>
        </w:rPr>
        <w:t xml:space="preserve"> </w:t>
      </w:r>
      <w:r w:rsidR="009A2742">
        <w:rPr>
          <w:rFonts w:ascii="Arial" w:hAnsi="Arial" w:cs="Arial"/>
          <w:b/>
          <w:sz w:val="26"/>
          <w:szCs w:val="26"/>
        </w:rPr>
        <w:t>**********</w:t>
      </w:r>
      <w:r w:rsidR="00157FE2" w:rsidRPr="00A7465D">
        <w:rPr>
          <w:rFonts w:ascii="Arial" w:hAnsi="Arial" w:cs="Arial"/>
          <w:sz w:val="26"/>
          <w:szCs w:val="26"/>
        </w:rPr>
        <w:t>por su propio derecho y</w:t>
      </w:r>
      <w:r w:rsidR="00157FE2" w:rsidRPr="00A7465D">
        <w:rPr>
          <w:rFonts w:ascii="Arial" w:hAnsi="Arial" w:cs="Arial"/>
          <w:b/>
          <w:sz w:val="26"/>
          <w:szCs w:val="26"/>
        </w:rPr>
        <w:t xml:space="preserve"> </w:t>
      </w:r>
      <w:r w:rsidR="00157FE2" w:rsidRPr="00A7465D">
        <w:rPr>
          <w:rFonts w:ascii="Arial" w:hAnsi="Arial" w:cs="Arial"/>
          <w:sz w:val="26"/>
          <w:szCs w:val="26"/>
        </w:rPr>
        <w:t xml:space="preserve">como  </w:t>
      </w:r>
      <w:r w:rsidR="00157FE2" w:rsidRPr="00A7465D">
        <w:rPr>
          <w:rFonts w:ascii="Arial" w:hAnsi="Arial" w:cs="Arial"/>
          <w:b/>
          <w:sz w:val="26"/>
          <w:szCs w:val="26"/>
        </w:rPr>
        <w:t xml:space="preserve">EX PRESIDENTE CONSTITUCIONAL, EX SÍNDICO MUNICIPAL, EX REGIDOR DE HACIENDA y EX TESORERO MUNICIPAL, </w:t>
      </w:r>
      <w:r w:rsidR="00157FE2" w:rsidRPr="00A7465D">
        <w:rPr>
          <w:rFonts w:ascii="Arial" w:hAnsi="Arial" w:cs="Arial"/>
          <w:sz w:val="26"/>
          <w:szCs w:val="26"/>
        </w:rPr>
        <w:t xml:space="preserve">respectivamente, todos del municipio de </w:t>
      </w:r>
      <w:r w:rsidR="00157FE2" w:rsidRPr="00A7465D">
        <w:rPr>
          <w:rFonts w:ascii="Arial" w:hAnsi="Arial" w:cs="Arial"/>
          <w:b/>
          <w:sz w:val="26"/>
          <w:szCs w:val="26"/>
        </w:rPr>
        <w:t xml:space="preserve">SANTIAGO JUXTLAHUACA, OAXACA </w:t>
      </w:r>
      <w:r w:rsidR="00D07401" w:rsidRPr="00A7465D">
        <w:rPr>
          <w:rFonts w:ascii="Arial" w:hAnsi="Arial" w:cs="Arial"/>
          <w:sz w:val="26"/>
          <w:szCs w:val="26"/>
        </w:rPr>
        <w:t xml:space="preserve">presentaron </w:t>
      </w:r>
      <w:r w:rsidRPr="00A7465D">
        <w:rPr>
          <w:rFonts w:ascii="Arial" w:hAnsi="Arial" w:cs="Arial"/>
          <w:sz w:val="26"/>
          <w:szCs w:val="26"/>
        </w:rPr>
        <w:t>demanda de inconformidad en contra de la resolución de</w:t>
      </w:r>
      <w:r w:rsidR="00A351A8" w:rsidRPr="00A7465D">
        <w:rPr>
          <w:rFonts w:ascii="Arial" w:hAnsi="Arial" w:cs="Arial"/>
          <w:sz w:val="26"/>
          <w:szCs w:val="26"/>
        </w:rPr>
        <w:t xml:space="preserve"> </w:t>
      </w:r>
      <w:r w:rsidR="00157FE2" w:rsidRPr="00A7465D">
        <w:rPr>
          <w:rFonts w:ascii="Arial" w:hAnsi="Arial" w:cs="Arial"/>
          <w:sz w:val="26"/>
          <w:szCs w:val="26"/>
        </w:rPr>
        <w:t>29 veintinueve</w:t>
      </w:r>
      <w:r w:rsidR="00D07401" w:rsidRPr="00A7465D">
        <w:rPr>
          <w:rFonts w:ascii="Arial" w:hAnsi="Arial" w:cs="Arial"/>
          <w:sz w:val="26"/>
          <w:szCs w:val="26"/>
        </w:rPr>
        <w:t xml:space="preserve"> de septiembre de</w:t>
      </w:r>
      <w:r w:rsidRPr="00A7465D">
        <w:rPr>
          <w:rFonts w:ascii="Arial" w:hAnsi="Arial" w:cs="Arial"/>
          <w:sz w:val="26"/>
          <w:szCs w:val="26"/>
        </w:rPr>
        <w:t xml:space="preserve"> dos mil diecisiete dictada por el </w:t>
      </w:r>
      <w:r w:rsidRPr="00A7465D">
        <w:rPr>
          <w:rFonts w:ascii="Arial" w:hAnsi="Arial" w:cs="Arial"/>
          <w:b/>
          <w:sz w:val="26"/>
          <w:szCs w:val="26"/>
        </w:rPr>
        <w:t xml:space="preserve">AUDITOR SUPERIOR DEL ESTADO DE OAXACA </w:t>
      </w:r>
      <w:r w:rsidRPr="00A7465D">
        <w:rPr>
          <w:rFonts w:ascii="Arial" w:hAnsi="Arial" w:cs="Arial"/>
          <w:sz w:val="26"/>
          <w:szCs w:val="26"/>
        </w:rPr>
        <w:t xml:space="preserve">en el recurso de reconsideración </w:t>
      </w:r>
      <w:r w:rsidR="00A31DB8" w:rsidRPr="00A7465D">
        <w:rPr>
          <w:rFonts w:ascii="Arial" w:hAnsi="Arial" w:cs="Arial"/>
          <w:b/>
          <w:sz w:val="26"/>
          <w:szCs w:val="26"/>
        </w:rPr>
        <w:t>ASE/REC.R./0</w:t>
      </w:r>
      <w:r w:rsidR="00157FE2" w:rsidRPr="00A7465D">
        <w:rPr>
          <w:rFonts w:ascii="Arial" w:hAnsi="Arial" w:cs="Arial"/>
          <w:b/>
          <w:sz w:val="26"/>
          <w:szCs w:val="26"/>
        </w:rPr>
        <w:t>56</w:t>
      </w:r>
      <w:r w:rsidR="00A31DB8" w:rsidRPr="00A7465D">
        <w:rPr>
          <w:rFonts w:ascii="Arial" w:hAnsi="Arial" w:cs="Arial"/>
          <w:b/>
          <w:sz w:val="26"/>
          <w:szCs w:val="26"/>
        </w:rPr>
        <w:t>/201</w:t>
      </w:r>
      <w:r w:rsidR="00D07401" w:rsidRPr="00A7465D">
        <w:rPr>
          <w:rFonts w:ascii="Arial" w:hAnsi="Arial" w:cs="Arial"/>
          <w:b/>
          <w:sz w:val="26"/>
          <w:szCs w:val="26"/>
        </w:rPr>
        <w:t>7</w:t>
      </w:r>
      <w:r w:rsidRPr="00A7465D">
        <w:rPr>
          <w:rFonts w:ascii="Arial" w:hAnsi="Arial" w:cs="Arial"/>
          <w:b/>
          <w:sz w:val="26"/>
          <w:szCs w:val="26"/>
        </w:rPr>
        <w:t>.</w:t>
      </w:r>
    </w:p>
    <w:p w:rsidR="00EF10F0" w:rsidRPr="00A7465D" w:rsidRDefault="00EF10F0" w:rsidP="00EF10F0">
      <w:pPr>
        <w:widowControl w:val="0"/>
        <w:spacing w:before="240" w:after="0" w:line="360" w:lineRule="auto"/>
        <w:ind w:right="17"/>
        <w:jc w:val="both"/>
        <w:rPr>
          <w:rFonts w:ascii="Arial" w:hAnsi="Arial" w:cs="Arial"/>
          <w:sz w:val="26"/>
          <w:szCs w:val="26"/>
        </w:rPr>
      </w:pPr>
      <w:r w:rsidRPr="00A7465D">
        <w:rPr>
          <w:rFonts w:ascii="Arial" w:hAnsi="Arial" w:cs="Arial"/>
          <w:b/>
          <w:sz w:val="26"/>
          <w:szCs w:val="26"/>
        </w:rPr>
        <w:tab/>
        <w:t xml:space="preserve">SEGUNDO.- </w:t>
      </w:r>
      <w:r w:rsidRPr="00A7465D">
        <w:rPr>
          <w:rFonts w:ascii="Arial" w:hAnsi="Arial" w:cs="Arial"/>
          <w:sz w:val="26"/>
          <w:szCs w:val="26"/>
        </w:rPr>
        <w:t xml:space="preserve">En proveído de </w:t>
      </w:r>
      <w:r w:rsidR="00157FE2" w:rsidRPr="00A7465D">
        <w:rPr>
          <w:rFonts w:ascii="Arial" w:hAnsi="Arial" w:cs="Arial"/>
          <w:sz w:val="26"/>
          <w:szCs w:val="26"/>
        </w:rPr>
        <w:t>catorce de noviembre</w:t>
      </w:r>
      <w:r w:rsidRPr="00A7465D">
        <w:rPr>
          <w:rFonts w:ascii="Arial" w:hAnsi="Arial" w:cs="Arial"/>
          <w:sz w:val="26"/>
          <w:szCs w:val="26"/>
        </w:rPr>
        <w:t xml:space="preserve"> de dos mil diecisiete se admitió a trámite la demanda, respecto de la resolución de </w:t>
      </w:r>
      <w:r w:rsidR="00157FE2" w:rsidRPr="00A7465D">
        <w:rPr>
          <w:rFonts w:ascii="Arial" w:hAnsi="Arial" w:cs="Arial"/>
          <w:sz w:val="26"/>
          <w:szCs w:val="26"/>
        </w:rPr>
        <w:t>veintinueve</w:t>
      </w:r>
      <w:r w:rsidR="000E5E99" w:rsidRPr="00A7465D">
        <w:rPr>
          <w:rFonts w:ascii="Arial" w:hAnsi="Arial" w:cs="Arial"/>
          <w:sz w:val="26"/>
          <w:szCs w:val="26"/>
        </w:rPr>
        <w:t xml:space="preserve"> de septiembre de</w:t>
      </w:r>
      <w:r w:rsidR="00A31DB8" w:rsidRPr="00A7465D">
        <w:rPr>
          <w:rFonts w:ascii="Arial" w:hAnsi="Arial" w:cs="Arial"/>
          <w:sz w:val="26"/>
          <w:szCs w:val="26"/>
        </w:rPr>
        <w:t xml:space="preserve"> dos mil diecisiete </w:t>
      </w:r>
      <w:r w:rsidRPr="00A7465D">
        <w:rPr>
          <w:rFonts w:ascii="Arial" w:hAnsi="Arial" w:cs="Arial"/>
          <w:sz w:val="26"/>
          <w:szCs w:val="26"/>
        </w:rPr>
        <w:t xml:space="preserve">dictada por el Auditor </w:t>
      </w:r>
      <w:r w:rsidRPr="00A7465D">
        <w:rPr>
          <w:rFonts w:ascii="Arial" w:hAnsi="Arial" w:cs="Arial"/>
          <w:sz w:val="26"/>
          <w:szCs w:val="26"/>
        </w:rPr>
        <w:lastRenderedPageBreak/>
        <w:t>Superior del Estado en el</w:t>
      </w:r>
      <w:r w:rsidR="00A351A8" w:rsidRPr="00A7465D">
        <w:rPr>
          <w:rFonts w:ascii="Arial" w:hAnsi="Arial" w:cs="Arial"/>
          <w:sz w:val="26"/>
          <w:szCs w:val="26"/>
        </w:rPr>
        <w:t xml:space="preserve"> Recurso de Reconsideración</w:t>
      </w:r>
      <w:r w:rsidR="00A31DB8" w:rsidRPr="00A7465D">
        <w:rPr>
          <w:rFonts w:ascii="Arial" w:hAnsi="Arial" w:cs="Arial"/>
          <w:b/>
          <w:sz w:val="26"/>
          <w:szCs w:val="26"/>
        </w:rPr>
        <w:t xml:space="preserve"> ASE/REC.R./0</w:t>
      </w:r>
      <w:r w:rsidR="00157FE2" w:rsidRPr="00A7465D">
        <w:rPr>
          <w:rFonts w:ascii="Arial" w:hAnsi="Arial" w:cs="Arial"/>
          <w:b/>
          <w:sz w:val="26"/>
          <w:szCs w:val="26"/>
        </w:rPr>
        <w:t>56</w:t>
      </w:r>
      <w:r w:rsidR="000E5E99" w:rsidRPr="00A7465D">
        <w:rPr>
          <w:rFonts w:ascii="Arial" w:hAnsi="Arial" w:cs="Arial"/>
          <w:b/>
          <w:sz w:val="26"/>
          <w:szCs w:val="26"/>
        </w:rPr>
        <w:t>/2017</w:t>
      </w:r>
      <w:r w:rsidRPr="00A7465D">
        <w:rPr>
          <w:rFonts w:ascii="Arial" w:hAnsi="Arial" w:cs="Arial"/>
          <w:sz w:val="26"/>
          <w:szCs w:val="26"/>
        </w:rPr>
        <w:t xml:space="preserve">, ordenándose notificar, emplazar y correr traslado al citado Auditor para que rindiera el informe respectivo,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rsidR="00EF10F0" w:rsidRPr="00A7465D" w:rsidRDefault="00EF10F0" w:rsidP="00EF10F0">
      <w:pPr>
        <w:widowControl w:val="0"/>
        <w:spacing w:before="240" w:after="0" w:line="360" w:lineRule="auto"/>
        <w:ind w:right="17" w:firstLine="709"/>
        <w:jc w:val="both"/>
        <w:rPr>
          <w:rFonts w:ascii="Arial" w:hAnsi="Arial" w:cs="Arial"/>
          <w:sz w:val="26"/>
          <w:szCs w:val="26"/>
        </w:rPr>
      </w:pPr>
      <w:r w:rsidRPr="00A7465D">
        <w:rPr>
          <w:rFonts w:ascii="Arial" w:hAnsi="Arial" w:cs="Arial"/>
          <w:b/>
          <w:sz w:val="26"/>
          <w:szCs w:val="26"/>
        </w:rPr>
        <w:t xml:space="preserve">TERCERO.- </w:t>
      </w:r>
      <w:r w:rsidRPr="00A7465D">
        <w:rPr>
          <w:rFonts w:ascii="Arial" w:hAnsi="Arial" w:cs="Arial"/>
          <w:sz w:val="26"/>
          <w:szCs w:val="26"/>
        </w:rPr>
        <w:t xml:space="preserve">En consecuencia, el </w:t>
      </w:r>
      <w:r w:rsidR="00157FE2" w:rsidRPr="00A7465D">
        <w:rPr>
          <w:rFonts w:ascii="Arial" w:hAnsi="Arial" w:cs="Arial"/>
          <w:sz w:val="26"/>
          <w:szCs w:val="26"/>
        </w:rPr>
        <w:t>seis de diciembre</w:t>
      </w:r>
      <w:r w:rsidR="00A7465D">
        <w:rPr>
          <w:rFonts w:ascii="Arial" w:hAnsi="Arial" w:cs="Arial"/>
          <w:sz w:val="26"/>
          <w:szCs w:val="26"/>
        </w:rPr>
        <w:t xml:space="preserve"> del</w:t>
      </w:r>
      <w:r w:rsidR="00F145A7" w:rsidRPr="00A7465D">
        <w:rPr>
          <w:rFonts w:ascii="Arial" w:hAnsi="Arial" w:cs="Arial"/>
          <w:sz w:val="26"/>
          <w:szCs w:val="26"/>
        </w:rPr>
        <w:t xml:space="preserve"> dos mil diecisiete</w:t>
      </w:r>
      <w:r w:rsidRPr="00A7465D">
        <w:rPr>
          <w:rFonts w:ascii="Arial" w:hAnsi="Arial" w:cs="Arial"/>
          <w:sz w:val="26"/>
          <w:szCs w:val="26"/>
        </w:rPr>
        <w:t xml:space="preserve">, con el oficio </w:t>
      </w:r>
      <w:r w:rsidR="00157FE2" w:rsidRPr="00A7465D">
        <w:rPr>
          <w:rFonts w:ascii="Arial" w:hAnsi="Arial" w:cs="Arial"/>
          <w:sz w:val="26"/>
          <w:szCs w:val="26"/>
        </w:rPr>
        <w:t>OSFE/UAJ/0189/2017</w:t>
      </w:r>
      <w:r w:rsidRPr="00A7465D">
        <w:rPr>
          <w:rFonts w:ascii="Arial" w:hAnsi="Arial" w:cs="Arial"/>
          <w:sz w:val="26"/>
          <w:szCs w:val="26"/>
        </w:rPr>
        <w:t xml:space="preserve"> presentado en la Oficialía de Partes Común de ese Tribunal el </w:t>
      </w:r>
      <w:r w:rsidR="00157FE2" w:rsidRPr="00A7465D">
        <w:rPr>
          <w:rFonts w:ascii="Arial" w:hAnsi="Arial" w:cs="Arial"/>
          <w:sz w:val="26"/>
          <w:szCs w:val="26"/>
        </w:rPr>
        <w:t>cuatro de</w:t>
      </w:r>
      <w:r w:rsidRPr="00A7465D">
        <w:rPr>
          <w:rFonts w:ascii="Arial" w:hAnsi="Arial" w:cs="Arial"/>
          <w:sz w:val="26"/>
          <w:szCs w:val="26"/>
        </w:rPr>
        <w:t xml:space="preserve"> ese mes y año, se tuvo a</w:t>
      </w:r>
      <w:r w:rsidR="00157FE2" w:rsidRPr="00A7465D">
        <w:rPr>
          <w:rFonts w:ascii="Arial" w:hAnsi="Arial" w:cs="Arial"/>
          <w:sz w:val="26"/>
          <w:szCs w:val="26"/>
        </w:rPr>
        <w:t xml:space="preserve"> la</w:t>
      </w:r>
      <w:r w:rsidR="00A7465D">
        <w:rPr>
          <w:rFonts w:ascii="Arial" w:hAnsi="Arial" w:cs="Arial"/>
          <w:sz w:val="26"/>
          <w:szCs w:val="26"/>
        </w:rPr>
        <w:t xml:space="preserve"> </w:t>
      </w:r>
      <w:r w:rsidRPr="00A7465D">
        <w:rPr>
          <w:rFonts w:ascii="Arial" w:hAnsi="Arial" w:cs="Arial"/>
          <w:sz w:val="26"/>
          <w:szCs w:val="26"/>
        </w:rPr>
        <w:t>Titular de la</w:t>
      </w:r>
      <w:r w:rsidR="004C105A" w:rsidRPr="00A7465D">
        <w:rPr>
          <w:rFonts w:ascii="Arial" w:hAnsi="Arial" w:cs="Arial"/>
          <w:sz w:val="26"/>
          <w:szCs w:val="26"/>
        </w:rPr>
        <w:t xml:space="preserve"> Unidad de Asuntos Jurídicos del Órgano Superior de Fiscalización del Estado de Oaxaca </w:t>
      </w:r>
      <w:r w:rsidRPr="00A7465D">
        <w:rPr>
          <w:rFonts w:ascii="Arial" w:hAnsi="Arial" w:cs="Arial"/>
          <w:sz w:val="26"/>
          <w:szCs w:val="26"/>
        </w:rPr>
        <w:t>en nombre y representación del Auditor Superior del Estado</w:t>
      </w:r>
      <w:r w:rsidR="000E5E99" w:rsidRPr="00A7465D">
        <w:rPr>
          <w:rFonts w:ascii="Arial" w:hAnsi="Arial" w:cs="Arial"/>
          <w:sz w:val="26"/>
          <w:szCs w:val="26"/>
        </w:rPr>
        <w:t>, otrora autoridad demandada</w:t>
      </w:r>
      <w:r w:rsidRPr="00A7465D">
        <w:rPr>
          <w:rFonts w:ascii="Arial" w:hAnsi="Arial" w:cs="Arial"/>
          <w:sz w:val="26"/>
          <w:szCs w:val="26"/>
        </w:rPr>
        <w:t xml:space="preserve">, rindiendo el informe respectivo y, se procedió a la admisión y calificación de las pruebas de las partes. </w:t>
      </w:r>
    </w:p>
    <w:p w:rsidR="00EF10F0" w:rsidRPr="00A7465D" w:rsidRDefault="00EF10F0" w:rsidP="00EF10F0">
      <w:pPr>
        <w:widowControl w:val="0"/>
        <w:spacing w:before="240" w:after="0" w:line="360" w:lineRule="auto"/>
        <w:ind w:right="17" w:firstLine="709"/>
        <w:jc w:val="both"/>
        <w:rPr>
          <w:rFonts w:ascii="Arial" w:hAnsi="Arial" w:cs="Arial"/>
          <w:sz w:val="26"/>
          <w:szCs w:val="26"/>
        </w:rPr>
      </w:pPr>
      <w:r w:rsidRPr="00A7465D">
        <w:rPr>
          <w:rFonts w:ascii="Arial" w:hAnsi="Arial" w:cs="Arial"/>
          <w:sz w:val="26"/>
          <w:szCs w:val="26"/>
        </w:rPr>
        <w:t>También se señaló fecha y hora para la celebración de la audiencia de ley.</w:t>
      </w:r>
    </w:p>
    <w:p w:rsidR="00EF10F0" w:rsidRPr="00A7465D" w:rsidRDefault="003557D5" w:rsidP="00A31DB8">
      <w:pPr>
        <w:widowControl w:val="0"/>
        <w:spacing w:before="240" w:after="0" w:line="360" w:lineRule="auto"/>
        <w:ind w:right="17"/>
        <w:jc w:val="both"/>
        <w:rPr>
          <w:rFonts w:ascii="Arial" w:hAnsi="Arial" w:cs="Arial"/>
          <w:sz w:val="26"/>
          <w:szCs w:val="26"/>
        </w:rPr>
      </w:pPr>
      <w:r>
        <w:rPr>
          <w:noProof/>
          <w:lang w:val="es-MX" w:eastAsia="es-MX"/>
        </w:rPr>
        <mc:AlternateContent>
          <mc:Choice Requires="wps">
            <w:drawing>
              <wp:anchor distT="0" distB="0" distL="114300" distR="114300" simplePos="0" relativeHeight="251649536" behindDoc="0" locked="0" layoutInCell="1" allowOverlap="1" wp14:anchorId="6A7DB213" wp14:editId="73257B62">
                <wp:simplePos x="0" y="0"/>
                <wp:positionH relativeFrom="column">
                  <wp:posOffset>5572664</wp:posOffset>
                </wp:positionH>
                <wp:positionV relativeFrom="paragraph">
                  <wp:posOffset>1170820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DB213" id="_x0000_t202" coordsize="21600,21600" o:spt="202" path="m,l,21600r21600,l21600,xe">
                <v:stroke joinstyle="miter"/>
                <v:path gradientshapeok="t" o:connecttype="rect"/>
              </v:shapetype>
              <v:shape id="Cuadro de texto 1" o:spid="_x0000_s1026" type="#_x0000_t202" style="position:absolute;left:0;text-align:left;margin-left:438.8pt;margin-top:92.2pt;width:84.7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EF10F0" w:rsidRPr="00A7465D">
        <w:rPr>
          <w:rFonts w:ascii="Arial" w:hAnsi="Arial" w:cs="Arial"/>
          <w:b/>
          <w:sz w:val="26"/>
          <w:szCs w:val="26"/>
        </w:rPr>
        <w:tab/>
      </w:r>
      <w:r w:rsidR="00EF10F0" w:rsidRPr="00A7465D">
        <w:rPr>
          <w:rFonts w:ascii="Arial" w:hAnsi="Arial" w:cs="Arial"/>
          <w:sz w:val="26"/>
          <w:szCs w:val="26"/>
        </w:rPr>
        <w:t xml:space="preserve"> </w:t>
      </w:r>
      <w:r w:rsidR="000A3EF2" w:rsidRPr="00A7465D">
        <w:rPr>
          <w:rFonts w:ascii="Arial" w:hAnsi="Arial" w:cs="Arial"/>
          <w:b/>
          <w:sz w:val="26"/>
          <w:szCs w:val="26"/>
        </w:rPr>
        <w:t>CUARTO</w:t>
      </w:r>
      <w:r w:rsidR="00EF10F0" w:rsidRPr="00A7465D">
        <w:rPr>
          <w:rFonts w:ascii="Arial" w:hAnsi="Arial" w:cs="Arial"/>
          <w:b/>
          <w:sz w:val="26"/>
          <w:szCs w:val="26"/>
        </w:rPr>
        <w:t xml:space="preserve">.- </w:t>
      </w:r>
      <w:r w:rsidR="00EF10F0" w:rsidRPr="00A7465D">
        <w:rPr>
          <w:rFonts w:ascii="Arial" w:hAnsi="Arial" w:cs="Arial"/>
          <w:sz w:val="26"/>
          <w:szCs w:val="26"/>
        </w:rPr>
        <w:t>Por eso, h</w:t>
      </w:r>
      <w:r w:rsidR="000A3EF2" w:rsidRPr="00A7465D">
        <w:rPr>
          <w:rFonts w:ascii="Arial" w:hAnsi="Arial" w:cs="Arial"/>
          <w:sz w:val="26"/>
          <w:szCs w:val="26"/>
        </w:rPr>
        <w:t xml:space="preserve">acia el </w:t>
      </w:r>
      <w:r w:rsidR="00157FE2" w:rsidRPr="00A7465D">
        <w:rPr>
          <w:rFonts w:ascii="Arial" w:hAnsi="Arial" w:cs="Arial"/>
          <w:sz w:val="26"/>
          <w:szCs w:val="26"/>
        </w:rPr>
        <w:t>diez</w:t>
      </w:r>
      <w:r w:rsidR="000E5E99" w:rsidRPr="00A7465D">
        <w:rPr>
          <w:rFonts w:ascii="Arial" w:hAnsi="Arial" w:cs="Arial"/>
          <w:sz w:val="26"/>
          <w:szCs w:val="26"/>
        </w:rPr>
        <w:t xml:space="preserve"> de enero de dos mil dieciocho</w:t>
      </w:r>
      <w:r w:rsidR="000A3EF2" w:rsidRPr="00A7465D">
        <w:rPr>
          <w:rFonts w:ascii="Arial" w:hAnsi="Arial" w:cs="Arial"/>
          <w:sz w:val="26"/>
          <w:szCs w:val="26"/>
        </w:rPr>
        <w:t xml:space="preserve"> </w:t>
      </w:r>
      <w:r w:rsidR="00EF10F0" w:rsidRPr="00A7465D">
        <w:rPr>
          <w:rFonts w:ascii="Arial" w:hAnsi="Arial" w:cs="Arial"/>
          <w:sz w:val="26"/>
          <w:szCs w:val="26"/>
        </w:rPr>
        <w:t xml:space="preserve">tuvo verificativo la audiencia de ley sin la asistencia de las partes </w:t>
      </w:r>
      <w:r w:rsidR="000A3EF2" w:rsidRPr="00A7465D">
        <w:rPr>
          <w:rFonts w:ascii="Arial" w:hAnsi="Arial" w:cs="Arial"/>
          <w:sz w:val="26"/>
          <w:szCs w:val="26"/>
        </w:rPr>
        <w:t xml:space="preserve">y, posteriormente por auto de </w:t>
      </w:r>
      <w:r w:rsidR="000E5E99" w:rsidRPr="00A7465D">
        <w:rPr>
          <w:rFonts w:ascii="Arial" w:hAnsi="Arial" w:cs="Arial"/>
          <w:sz w:val="26"/>
          <w:szCs w:val="26"/>
        </w:rPr>
        <w:t>diecinueve de enero del año en que se actúa</w:t>
      </w:r>
      <w:r w:rsidR="00EF10F0" w:rsidRPr="00A7465D">
        <w:rPr>
          <w:rFonts w:ascii="Arial" w:hAnsi="Arial" w:cs="Arial"/>
          <w:sz w:val="26"/>
          <w:szCs w:val="26"/>
        </w:rPr>
        <w:t>, se decretó agotada la instrucción del presente juicio y se turnó a esta ponencia para el dictado de la sentencia correspondiente, misma que hoy se dicta.</w:t>
      </w:r>
    </w:p>
    <w:p w:rsidR="00A7465D" w:rsidRPr="00A7465D" w:rsidRDefault="00EF10F0" w:rsidP="00A7465D">
      <w:pPr>
        <w:widowControl w:val="0"/>
        <w:spacing w:before="240" w:line="360" w:lineRule="auto"/>
        <w:ind w:right="17" w:firstLine="709"/>
        <w:jc w:val="center"/>
        <w:rPr>
          <w:rFonts w:ascii="Arial" w:hAnsi="Arial" w:cs="Arial"/>
          <w:b/>
          <w:sz w:val="26"/>
          <w:szCs w:val="26"/>
        </w:rPr>
      </w:pPr>
      <w:r w:rsidRPr="00A7465D">
        <w:rPr>
          <w:rFonts w:ascii="Arial" w:hAnsi="Arial" w:cs="Arial"/>
          <w:b/>
          <w:sz w:val="26"/>
          <w:szCs w:val="26"/>
        </w:rPr>
        <w:t>C O N S I D E R A N D O:</w:t>
      </w:r>
    </w:p>
    <w:p w:rsidR="00A7465D" w:rsidRPr="000E79D4" w:rsidRDefault="00A7465D" w:rsidP="00A7465D">
      <w:pPr>
        <w:pStyle w:val="corte4fondo"/>
        <w:tabs>
          <w:tab w:val="left" w:pos="0"/>
        </w:tabs>
        <w:spacing w:after="200"/>
        <w:ind w:right="51"/>
        <w:rPr>
          <w:sz w:val="26"/>
          <w:szCs w:val="26"/>
          <w:lang w:val="es-MX"/>
        </w:rPr>
      </w:pPr>
      <w:r w:rsidRPr="000E79D4">
        <w:rPr>
          <w:b/>
          <w:bCs/>
          <w:iCs/>
          <w:sz w:val="26"/>
          <w:szCs w:val="26"/>
        </w:rPr>
        <w:t xml:space="preserve">PRIMERO. </w:t>
      </w:r>
      <w:r w:rsidRPr="000E79D4">
        <w:rPr>
          <w:bCs/>
          <w:iCs/>
          <w:sz w:val="26"/>
          <w:szCs w:val="26"/>
        </w:rPr>
        <w:t>Esta Sala Superior es competente para conocer del presente asunto, de conformidad con lo dispuesto por los artículos 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0E79D4">
        <w:rPr>
          <w:sz w:val="26"/>
          <w:szCs w:val="26"/>
          <w:lang w:val="es-MX"/>
        </w:rPr>
        <w:t xml:space="preserve"> y los artículos 1, 2, y 39 de la Ley de </w:t>
      </w:r>
      <w:r w:rsidRPr="000E79D4">
        <w:rPr>
          <w:sz w:val="26"/>
          <w:szCs w:val="26"/>
          <w:lang w:val="es-MX"/>
        </w:rPr>
        <w:lastRenderedPageBreak/>
        <w:t>Justicia de Fiscalización y Rendición de Cuentas para el Estado de Oaxaca.</w:t>
      </w:r>
    </w:p>
    <w:p w:rsidR="00EF10F0" w:rsidRPr="00A7465D" w:rsidRDefault="00EF10F0" w:rsidP="00EF10F0">
      <w:pPr>
        <w:pStyle w:val="corte4fondo"/>
        <w:tabs>
          <w:tab w:val="left" w:pos="0"/>
        </w:tabs>
        <w:ind w:right="51"/>
        <w:rPr>
          <w:sz w:val="26"/>
          <w:szCs w:val="26"/>
          <w:lang w:val="es-MX"/>
        </w:rPr>
      </w:pPr>
    </w:p>
    <w:p w:rsidR="00EF10F0" w:rsidRPr="00A7465D" w:rsidRDefault="00EF10F0" w:rsidP="000E5E99">
      <w:pPr>
        <w:pStyle w:val="corte4fondo"/>
        <w:tabs>
          <w:tab w:val="left" w:pos="0"/>
        </w:tabs>
        <w:ind w:right="51"/>
        <w:rPr>
          <w:sz w:val="26"/>
          <w:szCs w:val="26"/>
          <w:lang w:val="es-MX"/>
        </w:rPr>
      </w:pPr>
      <w:r w:rsidRPr="00A7465D">
        <w:rPr>
          <w:b/>
          <w:sz w:val="26"/>
          <w:szCs w:val="26"/>
          <w:lang w:val="es-MX"/>
        </w:rPr>
        <w:t xml:space="preserve">SEGUNDO. </w:t>
      </w:r>
      <w:r w:rsidRPr="00A7465D">
        <w:rPr>
          <w:sz w:val="26"/>
          <w:szCs w:val="26"/>
          <w:lang w:val="es-MX"/>
        </w:rPr>
        <w:t xml:space="preserve">La personalidad de las partes quedó acreditada en autos, porque </w:t>
      </w:r>
      <w:r w:rsidR="000A3EF2" w:rsidRPr="00A7465D">
        <w:rPr>
          <w:sz w:val="26"/>
          <w:szCs w:val="26"/>
          <w:lang w:val="es-MX"/>
        </w:rPr>
        <w:t>l</w:t>
      </w:r>
      <w:r w:rsidR="000E5E99" w:rsidRPr="00A7465D">
        <w:rPr>
          <w:sz w:val="26"/>
          <w:szCs w:val="26"/>
          <w:lang w:val="es-MX"/>
        </w:rPr>
        <w:t>os actores exhibieron las copias certificadas de sus credenciales de acreditación emitidas por la Secretaría General de Gobierno</w:t>
      </w:r>
      <w:r w:rsidR="000A3EF2" w:rsidRPr="00A7465D">
        <w:rPr>
          <w:sz w:val="26"/>
          <w:szCs w:val="26"/>
          <w:lang w:val="es-MX"/>
        </w:rPr>
        <w:t xml:space="preserve"> </w:t>
      </w:r>
      <w:r w:rsidRPr="00A7465D">
        <w:rPr>
          <w:b/>
          <w:sz w:val="26"/>
          <w:szCs w:val="26"/>
          <w:lang w:val="es-MX"/>
        </w:rPr>
        <w:t>y</w:t>
      </w:r>
      <w:r w:rsidRPr="00A7465D">
        <w:rPr>
          <w:sz w:val="26"/>
          <w:szCs w:val="26"/>
          <w:lang w:val="es-MX"/>
        </w:rPr>
        <w:t>, l</w:t>
      </w:r>
      <w:r w:rsidR="000E5E99" w:rsidRPr="00A7465D">
        <w:rPr>
          <w:sz w:val="26"/>
          <w:szCs w:val="26"/>
          <w:lang w:val="es-MX"/>
        </w:rPr>
        <w:t>a</w:t>
      </w:r>
      <w:r w:rsidRPr="00A7465D">
        <w:rPr>
          <w:sz w:val="26"/>
          <w:szCs w:val="26"/>
          <w:lang w:val="es-MX"/>
        </w:rPr>
        <w:t xml:space="preserve"> Titular de la Unidad de Asuntos Jurídicos de</w:t>
      </w:r>
      <w:r w:rsidR="000A3EF2" w:rsidRPr="00A7465D">
        <w:rPr>
          <w:sz w:val="26"/>
          <w:szCs w:val="26"/>
          <w:lang w:val="es-MX"/>
        </w:rPr>
        <w:t>l</w:t>
      </w:r>
      <w:r w:rsidRPr="00A7465D">
        <w:rPr>
          <w:sz w:val="26"/>
          <w:szCs w:val="26"/>
          <w:lang w:val="es-MX"/>
        </w:rPr>
        <w:t xml:space="preserve"> </w:t>
      </w:r>
      <w:r w:rsidR="007870BD" w:rsidRPr="00A7465D">
        <w:rPr>
          <w:sz w:val="26"/>
          <w:szCs w:val="26"/>
          <w:lang w:val="es-MX"/>
        </w:rPr>
        <w:t>Órgano</w:t>
      </w:r>
      <w:r w:rsidR="000A3EF2" w:rsidRPr="00A7465D">
        <w:rPr>
          <w:sz w:val="26"/>
          <w:szCs w:val="26"/>
          <w:lang w:val="es-MX"/>
        </w:rPr>
        <w:t xml:space="preserve"> Superior</w:t>
      </w:r>
      <w:r w:rsidR="007870BD" w:rsidRPr="00A7465D">
        <w:rPr>
          <w:sz w:val="26"/>
          <w:szCs w:val="26"/>
          <w:lang w:val="es-MX"/>
        </w:rPr>
        <w:t xml:space="preserve"> de Fiscalización del Estado de Oaxaca</w:t>
      </w:r>
      <w:r w:rsidRPr="00A7465D">
        <w:rPr>
          <w:sz w:val="26"/>
          <w:szCs w:val="26"/>
          <w:lang w:val="es-MX"/>
        </w:rPr>
        <w:t>, exhibió la copia certificada del documento en el que consta su nombramiento y toma de protesta de ley al cargo.</w:t>
      </w:r>
    </w:p>
    <w:p w:rsidR="00EF10F0" w:rsidRPr="00A7465D" w:rsidRDefault="00EF10F0" w:rsidP="00EF10F0">
      <w:pPr>
        <w:pStyle w:val="corte4fondo"/>
        <w:tabs>
          <w:tab w:val="left" w:pos="0"/>
        </w:tabs>
        <w:ind w:right="51"/>
        <w:rPr>
          <w:sz w:val="26"/>
          <w:szCs w:val="26"/>
          <w:lang w:val="es-MX"/>
        </w:rPr>
      </w:pPr>
    </w:p>
    <w:p w:rsidR="00EF10F0" w:rsidRPr="00A7465D" w:rsidRDefault="00EF10F0" w:rsidP="00EF10F0">
      <w:pPr>
        <w:spacing w:after="0" w:line="360" w:lineRule="auto"/>
        <w:ind w:firstLine="708"/>
        <w:jc w:val="both"/>
        <w:rPr>
          <w:rFonts w:ascii="Arial" w:hAnsi="Arial" w:cs="Arial"/>
          <w:sz w:val="26"/>
          <w:szCs w:val="26"/>
        </w:rPr>
      </w:pPr>
      <w:r w:rsidRPr="00A7465D">
        <w:rPr>
          <w:rFonts w:ascii="Arial" w:hAnsi="Arial" w:cs="Arial"/>
          <w:b/>
          <w:sz w:val="26"/>
          <w:szCs w:val="26"/>
        </w:rPr>
        <w:t xml:space="preserve">TERCERO. </w:t>
      </w:r>
      <w:r w:rsidRPr="00A7465D">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EF10F0" w:rsidRPr="00A7465D" w:rsidRDefault="00EF10F0" w:rsidP="00EF10F0">
      <w:pPr>
        <w:spacing w:after="0" w:line="360" w:lineRule="auto"/>
        <w:ind w:firstLine="708"/>
        <w:jc w:val="both"/>
        <w:rPr>
          <w:rFonts w:ascii="Arial" w:hAnsi="Arial" w:cs="Arial"/>
          <w:sz w:val="26"/>
          <w:szCs w:val="26"/>
        </w:rPr>
      </w:pPr>
    </w:p>
    <w:p w:rsidR="00EF10F0" w:rsidRPr="00A7465D" w:rsidRDefault="00EF10F0" w:rsidP="00EF10F0">
      <w:pPr>
        <w:spacing w:after="0" w:line="360" w:lineRule="auto"/>
        <w:ind w:firstLine="708"/>
        <w:jc w:val="both"/>
        <w:rPr>
          <w:rFonts w:ascii="Arial" w:hAnsi="Arial" w:cs="Arial"/>
          <w:sz w:val="26"/>
          <w:szCs w:val="26"/>
        </w:rPr>
      </w:pPr>
      <w:r w:rsidRPr="00A7465D">
        <w:rPr>
          <w:rFonts w:ascii="Arial" w:hAnsi="Arial" w:cs="Arial"/>
          <w:sz w:val="26"/>
          <w:szCs w:val="26"/>
        </w:rPr>
        <w:t xml:space="preserve">Por esta razón, se estima que la improcedencia del juicio es cuestión de orden público que debe analizarse de oficio aun cuando las partes no lo hayan propuesto a la </w:t>
      </w:r>
      <w:proofErr w:type="spellStart"/>
      <w:r w:rsidRPr="00A7465D">
        <w:rPr>
          <w:rFonts w:ascii="Arial" w:hAnsi="Arial" w:cs="Arial"/>
          <w:sz w:val="26"/>
          <w:szCs w:val="26"/>
        </w:rPr>
        <w:t>resolutora</w:t>
      </w:r>
      <w:proofErr w:type="spellEnd"/>
      <w:r w:rsidRPr="00A7465D">
        <w:rPr>
          <w:rFonts w:ascii="Arial" w:hAnsi="Arial" w:cs="Arial"/>
          <w:sz w:val="26"/>
          <w:szCs w:val="26"/>
        </w:rPr>
        <w:t>. En tales condiciones procede analizar si en el actual juicio se actualiza alguna causal de improcedencia.</w:t>
      </w:r>
    </w:p>
    <w:p w:rsidR="00EF10F0" w:rsidRPr="00A7465D" w:rsidRDefault="00EF10F0" w:rsidP="00EF10F0">
      <w:pPr>
        <w:spacing w:after="0" w:line="360" w:lineRule="auto"/>
        <w:ind w:firstLine="708"/>
        <w:jc w:val="both"/>
        <w:rPr>
          <w:rFonts w:ascii="Arial" w:hAnsi="Arial" w:cs="Arial"/>
          <w:sz w:val="26"/>
          <w:szCs w:val="26"/>
        </w:rPr>
      </w:pPr>
    </w:p>
    <w:p w:rsidR="00EF10F0" w:rsidRPr="00A7465D" w:rsidRDefault="00EF10F0" w:rsidP="00EF10F0">
      <w:pPr>
        <w:spacing w:after="0" w:line="360" w:lineRule="auto"/>
        <w:ind w:firstLine="708"/>
        <w:jc w:val="both"/>
        <w:rPr>
          <w:rFonts w:ascii="Arial" w:hAnsi="Arial" w:cs="Arial"/>
          <w:b/>
          <w:sz w:val="26"/>
          <w:szCs w:val="26"/>
        </w:rPr>
      </w:pPr>
      <w:r w:rsidRPr="00A7465D">
        <w:rPr>
          <w:rFonts w:ascii="Arial" w:hAnsi="Arial" w:cs="Arial"/>
          <w:b/>
          <w:sz w:val="26"/>
          <w:szCs w:val="26"/>
        </w:rPr>
        <w:t xml:space="preserve">Así, </w:t>
      </w:r>
      <w:r w:rsidRPr="00A7465D">
        <w:rPr>
          <w:rFonts w:ascii="Arial" w:hAnsi="Arial" w:cs="Arial"/>
          <w:sz w:val="26"/>
          <w:szCs w:val="26"/>
        </w:rPr>
        <w:t xml:space="preserve">al análisis de las constancias de autos que tienen pleno valor probatorio 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A7465D">
        <w:rPr>
          <w:rFonts w:ascii="Arial" w:hAnsi="Arial" w:cs="Arial"/>
          <w:b/>
          <w:sz w:val="26"/>
          <w:szCs w:val="26"/>
        </w:rPr>
        <w:t>NO SE SOBRESEE EN EL JUICIO.</w:t>
      </w:r>
    </w:p>
    <w:p w:rsidR="00EF10F0" w:rsidRPr="00A7465D" w:rsidRDefault="00EF10F0" w:rsidP="00EF10F0">
      <w:pPr>
        <w:pStyle w:val="corte4fondo"/>
        <w:tabs>
          <w:tab w:val="left" w:pos="0"/>
        </w:tabs>
        <w:ind w:right="51"/>
        <w:rPr>
          <w:sz w:val="26"/>
          <w:szCs w:val="26"/>
          <w:lang w:val="es-MX"/>
        </w:rPr>
      </w:pPr>
    </w:p>
    <w:p w:rsidR="002A432E" w:rsidRPr="00A7465D" w:rsidRDefault="00EF10F0" w:rsidP="00157FE2">
      <w:pPr>
        <w:spacing w:after="0" w:line="360" w:lineRule="auto"/>
        <w:ind w:firstLine="708"/>
        <w:jc w:val="both"/>
        <w:rPr>
          <w:rFonts w:ascii="Arial" w:hAnsi="Arial" w:cs="Arial"/>
          <w:sz w:val="26"/>
          <w:szCs w:val="26"/>
        </w:rPr>
      </w:pPr>
      <w:r w:rsidRPr="00A7465D">
        <w:rPr>
          <w:rFonts w:ascii="Arial" w:hAnsi="Arial" w:cs="Arial"/>
          <w:b/>
          <w:sz w:val="26"/>
          <w:szCs w:val="26"/>
        </w:rPr>
        <w:t xml:space="preserve">CUARTO. </w:t>
      </w:r>
      <w:r w:rsidR="00157FE2" w:rsidRPr="00A7465D">
        <w:rPr>
          <w:rFonts w:ascii="Arial" w:hAnsi="Arial" w:cs="Arial"/>
          <w:sz w:val="26"/>
          <w:szCs w:val="26"/>
        </w:rPr>
        <w:t>A la luz de los motivos de inconformidad se tiene que</w:t>
      </w:r>
      <w:r w:rsidR="00F46648" w:rsidRPr="00A7465D">
        <w:rPr>
          <w:rFonts w:ascii="Arial" w:hAnsi="Arial" w:cs="Arial"/>
          <w:sz w:val="26"/>
          <w:szCs w:val="26"/>
        </w:rPr>
        <w:t>,</w:t>
      </w:r>
      <w:r w:rsidR="00157FE2" w:rsidRPr="00A7465D">
        <w:rPr>
          <w:rFonts w:ascii="Arial" w:hAnsi="Arial" w:cs="Arial"/>
          <w:sz w:val="26"/>
          <w:szCs w:val="26"/>
        </w:rPr>
        <w:t xml:space="preserve"> en idénticos términos</w:t>
      </w:r>
      <w:r w:rsidR="00F46648" w:rsidRPr="00A7465D">
        <w:rPr>
          <w:rFonts w:ascii="Arial" w:hAnsi="Arial" w:cs="Arial"/>
          <w:sz w:val="26"/>
          <w:szCs w:val="26"/>
        </w:rPr>
        <w:t>,</w:t>
      </w:r>
      <w:r w:rsidR="00157FE2" w:rsidRPr="00A7465D">
        <w:rPr>
          <w:rFonts w:ascii="Arial" w:hAnsi="Arial" w:cs="Arial"/>
          <w:sz w:val="26"/>
          <w:szCs w:val="26"/>
        </w:rPr>
        <w:t xml:space="preserve"> los aquí demandantes</w:t>
      </w:r>
      <w:r w:rsidR="00710C56" w:rsidRPr="00A7465D">
        <w:rPr>
          <w:rFonts w:ascii="Arial" w:hAnsi="Arial" w:cs="Arial"/>
          <w:sz w:val="26"/>
          <w:szCs w:val="26"/>
        </w:rPr>
        <w:t xml:space="preserve">, al expresar sus razones de disenso primero y segundo, </w:t>
      </w:r>
      <w:r w:rsidR="00157FE2" w:rsidRPr="00A7465D">
        <w:rPr>
          <w:rFonts w:ascii="Arial" w:hAnsi="Arial" w:cs="Arial"/>
          <w:sz w:val="26"/>
          <w:szCs w:val="26"/>
        </w:rPr>
        <w:t xml:space="preserve">indican </w:t>
      </w:r>
      <w:r w:rsidR="00F46648" w:rsidRPr="00A7465D">
        <w:rPr>
          <w:rFonts w:ascii="Arial" w:hAnsi="Arial" w:cs="Arial"/>
          <w:sz w:val="26"/>
          <w:szCs w:val="26"/>
        </w:rPr>
        <w:t xml:space="preserve">ilegalidad en la resolución de veintinueve de septiembre de dos mil diecisiete emitida por el Auditor </w:t>
      </w:r>
      <w:r w:rsidR="00F46648" w:rsidRPr="00A7465D">
        <w:rPr>
          <w:rFonts w:ascii="Arial" w:hAnsi="Arial" w:cs="Arial"/>
          <w:sz w:val="26"/>
          <w:szCs w:val="26"/>
        </w:rPr>
        <w:lastRenderedPageBreak/>
        <w:t xml:space="preserve">Superior del Estado, porque contraviene los artículos 14 y 16 de la Constitución Federal al haberse omitidos los requisitos formales </w:t>
      </w:r>
      <w:r w:rsidR="00710C56" w:rsidRPr="00A7465D">
        <w:rPr>
          <w:rFonts w:ascii="Arial" w:hAnsi="Arial" w:cs="Arial"/>
          <w:sz w:val="26"/>
          <w:szCs w:val="26"/>
        </w:rPr>
        <w:t>exigidos por la ley que afectan sus defensas y trascienden en su perjuicio al sentido del fallo; como lo es que carezca de una debida motivación porque no se respetaron los principios de congruencia, exhaustividad y legalidad que deben observarse en el dictado de las resoluciones conforme a lo dispuesto por el artículo 88</w:t>
      </w:r>
      <w:r w:rsidR="002A432E" w:rsidRPr="00A7465D">
        <w:rPr>
          <w:rFonts w:ascii="Arial" w:hAnsi="Arial" w:cs="Arial"/>
          <w:sz w:val="26"/>
          <w:szCs w:val="26"/>
        </w:rPr>
        <w:t xml:space="preserve"> del Código de Procedimientos Civiles del Estado de Oaxaca supletorio a la Ley de Fiscalización Superior del Estado de Oaxaca por así preverlo su artículo SEXTO Transitorio. </w:t>
      </w:r>
    </w:p>
    <w:p w:rsidR="002A432E" w:rsidRPr="00A7465D" w:rsidRDefault="002A432E" w:rsidP="002A432E">
      <w:pPr>
        <w:rPr>
          <w:rFonts w:ascii="Arial" w:hAnsi="Arial" w:cs="Arial"/>
          <w:sz w:val="26"/>
          <w:szCs w:val="26"/>
        </w:rPr>
      </w:pPr>
    </w:p>
    <w:p w:rsidR="00F46648" w:rsidRPr="00A7465D" w:rsidRDefault="00830EA6" w:rsidP="00830EA6">
      <w:pPr>
        <w:spacing w:after="0" w:line="360" w:lineRule="auto"/>
        <w:jc w:val="both"/>
        <w:rPr>
          <w:rFonts w:ascii="Arial" w:hAnsi="Arial" w:cs="Arial"/>
          <w:sz w:val="26"/>
          <w:szCs w:val="26"/>
        </w:rPr>
      </w:pPr>
      <w:r w:rsidRPr="00A7465D">
        <w:rPr>
          <w:rFonts w:ascii="Arial" w:hAnsi="Arial" w:cs="Arial"/>
          <w:sz w:val="26"/>
          <w:szCs w:val="26"/>
        </w:rPr>
        <w:tab/>
        <w:t xml:space="preserve">Lo anterior, porque afirman que la Auditoría Superior del Estado omitió pronunciarse respecto a sus agravios marcados como 1, 2, 3 y 4, puesto que no atendió exactamente lo pedido y que esta forma de resolver lo coloca en una situación de indefensión al no haber un completo y congruente pronunciamiento de las ilegalidades que hizo valer ante la propia sede administrativa. </w:t>
      </w:r>
    </w:p>
    <w:p w:rsidR="00830EA6" w:rsidRPr="00A7465D" w:rsidRDefault="00830EA6" w:rsidP="00830EA6">
      <w:pPr>
        <w:spacing w:after="0" w:line="360" w:lineRule="auto"/>
        <w:jc w:val="both"/>
        <w:rPr>
          <w:rFonts w:ascii="Arial" w:hAnsi="Arial" w:cs="Arial"/>
          <w:sz w:val="26"/>
          <w:szCs w:val="26"/>
        </w:rPr>
      </w:pPr>
    </w:p>
    <w:p w:rsidR="00830EA6" w:rsidRPr="00A7465D" w:rsidRDefault="00830EA6" w:rsidP="00830EA6">
      <w:pPr>
        <w:spacing w:after="0" w:line="360" w:lineRule="auto"/>
        <w:jc w:val="both"/>
        <w:rPr>
          <w:rFonts w:ascii="Arial" w:hAnsi="Arial" w:cs="Arial"/>
          <w:sz w:val="26"/>
          <w:szCs w:val="26"/>
        </w:rPr>
      </w:pPr>
      <w:r w:rsidRPr="00A7465D">
        <w:rPr>
          <w:rFonts w:ascii="Arial" w:hAnsi="Arial" w:cs="Arial"/>
          <w:sz w:val="26"/>
          <w:szCs w:val="26"/>
        </w:rPr>
        <w:tab/>
        <w:t xml:space="preserve">Para una mejor comprensión de su inconformidad, los accionantes hacen una reseña de sus agravios y apuntan, que la autoridad en sede administrativa dejó de analizar lo siguiente: </w:t>
      </w:r>
    </w:p>
    <w:p w:rsidR="000E2938" w:rsidRPr="00A7465D" w:rsidRDefault="000E2938" w:rsidP="00830EA6">
      <w:pPr>
        <w:spacing w:after="0" w:line="360" w:lineRule="auto"/>
        <w:jc w:val="both"/>
        <w:rPr>
          <w:rFonts w:ascii="Arial" w:hAnsi="Arial" w:cs="Arial"/>
          <w:sz w:val="26"/>
          <w:szCs w:val="26"/>
        </w:rPr>
      </w:pPr>
    </w:p>
    <w:p w:rsidR="000E2938" w:rsidRPr="00A7465D" w:rsidRDefault="003557D5" w:rsidP="000E2938">
      <w:pPr>
        <w:pStyle w:val="Prrafodelista"/>
        <w:numPr>
          <w:ilvl w:val="0"/>
          <w:numId w:val="3"/>
        </w:numPr>
        <w:spacing w:after="0" w:line="360" w:lineRule="auto"/>
        <w:jc w:val="both"/>
        <w:rPr>
          <w:rFonts w:ascii="Arial" w:hAnsi="Arial" w:cs="Arial"/>
          <w:sz w:val="26"/>
          <w:szCs w:val="26"/>
        </w:rPr>
      </w:pPr>
      <w:r>
        <w:rPr>
          <w:noProof/>
          <w:lang w:val="es-MX" w:eastAsia="es-MX"/>
        </w:rPr>
        <mc:AlternateContent>
          <mc:Choice Requires="wps">
            <w:drawing>
              <wp:anchor distT="0" distB="0" distL="114300" distR="114300" simplePos="0" relativeHeight="251652608" behindDoc="0" locked="0" layoutInCell="1" allowOverlap="1" wp14:anchorId="256B2217" wp14:editId="1A07823B">
                <wp:simplePos x="0" y="0"/>
                <wp:positionH relativeFrom="column">
                  <wp:posOffset>5615796</wp:posOffset>
                </wp:positionH>
                <wp:positionV relativeFrom="paragraph">
                  <wp:posOffset>526463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B2217" id="Cuadro de texto 2" o:spid="_x0000_s1027" type="#_x0000_t202" style="position:absolute;left:0;text-align:left;margin-left:442.2pt;margin-top:41.4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0E2938" w:rsidRPr="00A7465D">
        <w:rPr>
          <w:rFonts w:ascii="Arial" w:hAnsi="Arial" w:cs="Arial"/>
          <w:sz w:val="26"/>
          <w:szCs w:val="26"/>
        </w:rPr>
        <w:t>Que el Dictamen Técnico de Presunta Responsabilidad resulta ilegal al no estar contemplado en la Ley de Fiscalización Superior del Estado;</w:t>
      </w:r>
    </w:p>
    <w:p w:rsidR="000E2938" w:rsidRPr="00A7465D" w:rsidRDefault="000E2938"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Que el Dictamen Técnico de Presunta Responsabilidad es ilegal porque en el Reglamento Interior de la Auditoría Superior del Estado no existe un documento que reciba tal denominación “Dictamen Técnico de Presunta Responsabilidad”</w:t>
      </w:r>
      <w:r w:rsidR="00AC758D" w:rsidRPr="00A7465D">
        <w:rPr>
          <w:rFonts w:ascii="Arial" w:hAnsi="Arial" w:cs="Arial"/>
          <w:sz w:val="26"/>
          <w:szCs w:val="26"/>
        </w:rPr>
        <w:t>; pero que en todo caso, de contemplarse en el citado Reglamento, se transgrediría el principio de jerarquía normativa ya que se estaría excediendo la facultad reglamentaria, porque el contenido de un Reglamento no puede alterar o modificar el contenido de una ley. Además que al no estar regulado el mencionado dictamen, entonces no existe y por tanto no puede ser el documento que se use como base para fincarles responsabilidad resarcitoria;</w:t>
      </w:r>
    </w:p>
    <w:p w:rsidR="00AC758D" w:rsidRPr="00A7465D" w:rsidRDefault="00AC758D"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lastRenderedPageBreak/>
        <w:t>También refieren que el Manual de Fiscalización de Recursos Públicos  para la Auditoría Superior del Estado es el cuerpo normativo que contiene la existencia del Dictamen Técnico de Presunta Responsabilidad, pero que no se puede pretender aplicar dicho Manual por el principio de jerarquía normativa, ya que el Manual no puede ser aplicado por encima de la Ley de Fiscalización y por ende, el citado Dictamen no puede ser considerado como el documento base para fincarles responsabilidad resarcitoria;</w:t>
      </w:r>
    </w:p>
    <w:p w:rsidR="00067D64" w:rsidRPr="00A7465D" w:rsidRDefault="00AC758D"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Que el Dictamen Técnico de Presunta Responsabilidad es ilegal porque carece de fundamentación y motivaci</w:t>
      </w:r>
      <w:r w:rsidR="00E122CF" w:rsidRPr="00A7465D">
        <w:rPr>
          <w:rFonts w:ascii="Arial" w:hAnsi="Arial" w:cs="Arial"/>
          <w:sz w:val="26"/>
          <w:szCs w:val="26"/>
        </w:rPr>
        <w:t>ón, con lo que se transgreden las garantías de legalidad y seguridad jurídica contenidas en los artículos 14 y 16 de la Constitución Federal, virtud que en ninguna parte se establece el artículo, o disposición de alguna ley, reglamento o manual es procedente emitir el aludido Dictamen. Además que el citado Dictamen Técnico de Presunta Responsabilidad contiene diversas deficien</w:t>
      </w:r>
      <w:r w:rsidR="00067D64" w:rsidRPr="00A7465D">
        <w:rPr>
          <w:rFonts w:ascii="Arial" w:hAnsi="Arial" w:cs="Arial"/>
          <w:sz w:val="26"/>
          <w:szCs w:val="26"/>
        </w:rPr>
        <w:t>cias, tales como, que no se emitió un informe de observaciones; que se omitió el seguimiento de las acciones emitidas;</w:t>
      </w:r>
    </w:p>
    <w:p w:rsidR="00AC758D" w:rsidRPr="00A7465D" w:rsidRDefault="00067D64" w:rsidP="007E6EE6">
      <w:pPr>
        <w:pStyle w:val="Prrafodelista"/>
        <w:numPr>
          <w:ilvl w:val="0"/>
          <w:numId w:val="3"/>
        </w:numPr>
        <w:spacing w:after="0" w:line="360" w:lineRule="auto"/>
        <w:ind w:left="1068"/>
        <w:jc w:val="both"/>
        <w:rPr>
          <w:rFonts w:ascii="Arial" w:hAnsi="Arial" w:cs="Arial"/>
          <w:sz w:val="26"/>
          <w:szCs w:val="26"/>
        </w:rPr>
      </w:pPr>
      <w:r w:rsidRPr="00A7465D">
        <w:rPr>
          <w:rFonts w:ascii="Arial" w:hAnsi="Arial" w:cs="Arial"/>
          <w:sz w:val="26"/>
          <w:szCs w:val="26"/>
        </w:rPr>
        <w:t>Que existieron diversas deficiencias o violaciones en el proceso de auditoría</w:t>
      </w:r>
      <w:r w:rsidR="00E122CF" w:rsidRPr="00A7465D">
        <w:rPr>
          <w:rFonts w:ascii="Arial" w:hAnsi="Arial" w:cs="Arial"/>
          <w:sz w:val="26"/>
          <w:szCs w:val="26"/>
        </w:rPr>
        <w:t xml:space="preserve"> </w:t>
      </w:r>
      <w:r w:rsidRPr="00A7465D">
        <w:rPr>
          <w:rFonts w:ascii="Arial" w:hAnsi="Arial" w:cs="Arial"/>
          <w:sz w:val="26"/>
          <w:szCs w:val="26"/>
        </w:rPr>
        <w:t>porque no existe constancia alguna de que el Sub Auditor hay</w:t>
      </w:r>
      <w:r w:rsidR="005F339E" w:rsidRPr="00A7465D">
        <w:rPr>
          <w:rFonts w:ascii="Arial" w:hAnsi="Arial" w:cs="Arial"/>
          <w:sz w:val="26"/>
          <w:szCs w:val="26"/>
        </w:rPr>
        <w:t>a</w:t>
      </w:r>
      <w:r w:rsidRPr="00A7465D">
        <w:rPr>
          <w:rFonts w:ascii="Arial" w:hAnsi="Arial" w:cs="Arial"/>
          <w:sz w:val="26"/>
          <w:szCs w:val="26"/>
        </w:rPr>
        <w:t xml:space="preserve"> sometido a consideración del Auditor Superior del Estado el Dictamen Técnico de Presunta Responsabilidad;</w:t>
      </w:r>
    </w:p>
    <w:p w:rsidR="00067D64" w:rsidRPr="00A7465D" w:rsidRDefault="00067D64"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Que se dejó de observar lo dispuesto por el artículo 14 fracciones XVII y XVIII del Reglamento Interior de la Auditoría Superior del Estado, porque el Dictamen Técnico  de Presunta Responsabilidad no fue solicitado por el Superior Jerárquico del Director de Auditoría de Cumplimiento Financiero;</w:t>
      </w:r>
    </w:p>
    <w:p w:rsidR="00067D64" w:rsidRPr="00A7465D" w:rsidRDefault="00067D64"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Que se violó lo dispuesto por el Manual de Fiscalización de los Recursos Públicos Para la Auditoría Superior del Estado, porque el procedimiento de Auditoría no se concluyó dentro del plazo máximo de 12 doce meses, por lo que la conclusión es extemporánea y en consecuencia todo lo actuado debe quedar insubsistente;</w:t>
      </w:r>
    </w:p>
    <w:p w:rsidR="00067D64" w:rsidRPr="00A7465D" w:rsidRDefault="00863008"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lastRenderedPageBreak/>
        <w:t>Que se transgreden los artículos 13.15, 13.16, 13.17 y 13.18  del Manual de Fiscalización de los Recursos Públicos para la Auditoría Superior del Estado porque se estableció un plazo de 6 seis días para la presentación de pruebas, cuando el referido cuerpo normativo dispone que el plazo para presentar pruebas es de 15 quince días hábiles;</w:t>
      </w:r>
    </w:p>
    <w:p w:rsidR="00863008" w:rsidRPr="00A7465D" w:rsidRDefault="00863008" w:rsidP="000E2938">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 xml:space="preserve">Asimismo, que se transgreden los artículos 49 y 50 de la Ley de Fiscalización Superior del Estado porque la Auditoría no emitió el informe de observaciones de la Auditoría ASE/SAF/14823/2013, por lo que no se notificó al ente </w:t>
      </w:r>
      <w:proofErr w:type="spellStart"/>
      <w:r w:rsidRPr="00A7465D">
        <w:rPr>
          <w:rFonts w:ascii="Arial" w:hAnsi="Arial" w:cs="Arial"/>
          <w:sz w:val="26"/>
          <w:szCs w:val="26"/>
        </w:rPr>
        <w:t>fiscalizado</w:t>
      </w:r>
      <w:proofErr w:type="spellEnd"/>
      <w:r w:rsidRPr="00A7465D">
        <w:rPr>
          <w:rFonts w:ascii="Arial" w:hAnsi="Arial" w:cs="Arial"/>
          <w:sz w:val="26"/>
          <w:szCs w:val="26"/>
        </w:rPr>
        <w:t xml:space="preserve"> y con ello se trastocó la oportunidad de defensa de los accionantes, debido a que se les impidió conocer los resultados y observaciones determinadas en el proceso de auditoría, y no se les concedió al plazo de 30 treinta días para ofrecer pruebas y solventarlas. </w:t>
      </w:r>
    </w:p>
    <w:p w:rsidR="00F46648" w:rsidRPr="00A7465D" w:rsidRDefault="003557D5" w:rsidP="00134DF0">
      <w:pPr>
        <w:pStyle w:val="Prrafodelista"/>
        <w:numPr>
          <w:ilvl w:val="0"/>
          <w:numId w:val="3"/>
        </w:numPr>
        <w:spacing w:after="0" w:line="360" w:lineRule="auto"/>
        <w:jc w:val="both"/>
        <w:rPr>
          <w:rFonts w:ascii="Arial" w:hAnsi="Arial" w:cs="Arial"/>
          <w:sz w:val="26"/>
          <w:szCs w:val="26"/>
        </w:rPr>
      </w:pPr>
      <w:r>
        <w:rPr>
          <w:noProof/>
          <w:lang w:val="es-MX" w:eastAsia="es-MX"/>
        </w:rPr>
        <mc:AlternateContent>
          <mc:Choice Requires="wps">
            <w:drawing>
              <wp:anchor distT="0" distB="0" distL="114300" distR="114300" simplePos="0" relativeHeight="251653632" behindDoc="0" locked="0" layoutInCell="1" allowOverlap="1" wp14:anchorId="0A6CAFC4" wp14:editId="069FA469">
                <wp:simplePos x="0" y="0"/>
                <wp:positionH relativeFrom="column">
                  <wp:posOffset>5520905</wp:posOffset>
                </wp:positionH>
                <wp:positionV relativeFrom="paragraph">
                  <wp:posOffset>2855774</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AFC4" id="Cuadro de texto 3" o:spid="_x0000_s1028" type="#_x0000_t202" style="position:absolute;left:0;text-align:left;margin-left:434.7pt;margin-top:224.8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863008" w:rsidRPr="00A7465D">
        <w:rPr>
          <w:rFonts w:ascii="Arial" w:hAnsi="Arial" w:cs="Arial"/>
          <w:sz w:val="26"/>
          <w:szCs w:val="26"/>
        </w:rPr>
        <w:t>Que el auto de inicio del procedimiento administrativo de responsabilidad resarcitoria está</w:t>
      </w:r>
      <w:r w:rsidR="00006BA5" w:rsidRPr="00A7465D">
        <w:rPr>
          <w:rFonts w:ascii="Arial" w:hAnsi="Arial" w:cs="Arial"/>
          <w:sz w:val="26"/>
          <w:szCs w:val="26"/>
        </w:rPr>
        <w:t xml:space="preserve"> indebidamente fundado</w:t>
      </w:r>
      <w:r w:rsidR="00E73223" w:rsidRPr="00A7465D">
        <w:rPr>
          <w:rFonts w:ascii="Arial" w:hAnsi="Arial" w:cs="Arial"/>
          <w:sz w:val="26"/>
          <w:szCs w:val="26"/>
        </w:rPr>
        <w:t xml:space="preserve">, porque el titular de la Unidad de Asuntos Jurídicos de la Auditoría Superior del Estado, fundamenta el inicio del procedimiento para el </w:t>
      </w:r>
      <w:proofErr w:type="spellStart"/>
      <w:r w:rsidR="00E73223" w:rsidRPr="00A7465D">
        <w:rPr>
          <w:rFonts w:ascii="Arial" w:hAnsi="Arial" w:cs="Arial"/>
          <w:sz w:val="26"/>
          <w:szCs w:val="26"/>
        </w:rPr>
        <w:t>fincamiento</w:t>
      </w:r>
      <w:proofErr w:type="spellEnd"/>
      <w:r w:rsidR="00E73223" w:rsidRPr="00A7465D">
        <w:rPr>
          <w:rFonts w:ascii="Arial" w:hAnsi="Arial" w:cs="Arial"/>
          <w:sz w:val="26"/>
          <w:szCs w:val="26"/>
        </w:rPr>
        <w:t xml:space="preserve"> de responsabilidad resarcitoria en los artículos 14 párrafos primero y segundo, 16 párrafos primero y segundo de la Constitución Política de los Estados Unidos Mexicanos, 2 párrafo tercero, 4, 5 primer párrafo, 14, 65 Bis fracción IV de la Constitución Política del Estado Libre y Soberano de Oaxaca; 31 fracciones II, XVI, XXVI, XXIV, y XLIX, 49 fracción I, ´50, 51, 52, 53, 54, 55, 56, 67 fracción II de la Ley de Fiscalización Superior para el Estado de Oaxaca, 1, 5, 6 fracción VIII y 12 fracciones VIII y XXV del Reglamento Interior de la Auditoría Superior del Estado y, que ello vulnera su garantía de legalidad  porque los artículos 5 y 6 del Reglamento Interior de la Auditoría Superior del Estado que refieren a las atribuciones del Auditor Superior del Estado y la forma en que pueden delegar a sus subalternos sus atribuciones y el artículo 12 fracción XXV del Reglamento Interior de la Auditoría Superior del Estado, si bien marcan facultades del Titular de la Unidad de Asuntos Jurídicos de la citada Auditoría, determinadas facultades las puede ejercer por delegación expresa que le haga el Auditor </w:t>
      </w:r>
      <w:r w:rsidR="00E73223" w:rsidRPr="00A7465D">
        <w:rPr>
          <w:rFonts w:ascii="Arial" w:hAnsi="Arial" w:cs="Arial"/>
          <w:sz w:val="26"/>
          <w:szCs w:val="26"/>
        </w:rPr>
        <w:lastRenderedPageBreak/>
        <w:t>y, que en el caso en concreto, no se contempla que el Titular de la Unidad de Asuntos Jurídicos pueda iniciar el procedimiento de responsabilidad resarcitoria y que en caso de que exista un documento delegatorio de dicha facultad, éste documento no consta en el expediente, con lo que existe una indebida fundamentaci</w:t>
      </w:r>
      <w:r w:rsidR="00134DF0" w:rsidRPr="00A7465D">
        <w:rPr>
          <w:rFonts w:ascii="Arial" w:hAnsi="Arial" w:cs="Arial"/>
          <w:sz w:val="26"/>
          <w:szCs w:val="26"/>
        </w:rPr>
        <w:t>ón, porque este servidor público es quien inicia el procedimiento de responsabilidad resarcitoria sin contar con facultad expresa en la ley;</w:t>
      </w:r>
    </w:p>
    <w:p w:rsidR="00134DF0" w:rsidRPr="00A7465D" w:rsidRDefault="00134DF0" w:rsidP="00134DF0">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Que es ilegal el procedimiento de responsabilidad resarcitoria debido a que existe una indebida motivación de su inicio, porque en el auto de inicio se indica que se inicia el referido procedimiento con base en el contenido del Dictamen Técnico de Presunta Responsabilidad lo que sostienen es ilegal, porque la motivación de un acto de molestia debe estar contenida en el propio acto de molestia, en el caso, en el auto de inicio y no, como acontece en el actual caso, en un documento diverso como lo es el Dictamen Técnico de Presunta Responsabilidad;</w:t>
      </w:r>
    </w:p>
    <w:p w:rsidR="00134DF0" w:rsidRPr="00A7465D" w:rsidRDefault="00134DF0" w:rsidP="00134DF0">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 xml:space="preserve">Que los agravios 3 y 4 del escrito de reconsideración </w:t>
      </w:r>
      <w:r w:rsidR="006B06D2" w:rsidRPr="00A7465D">
        <w:rPr>
          <w:rFonts w:ascii="Arial" w:hAnsi="Arial" w:cs="Arial"/>
          <w:sz w:val="26"/>
          <w:szCs w:val="26"/>
        </w:rPr>
        <w:t>no refieren a la misma cuestión, porque en el 3 se hizo valer la indebida motivación en la competencia de la autoridad que inicia el procedimiento administrativo de responsabilidad y en el agravio 4 la indebida motivación del documento en el que constan las presuntas irregularidades;</w:t>
      </w:r>
    </w:p>
    <w:p w:rsidR="006B06D2" w:rsidRPr="00A7465D" w:rsidRDefault="006B06D2" w:rsidP="00134DF0">
      <w:pPr>
        <w:pStyle w:val="Prrafodelista"/>
        <w:numPr>
          <w:ilvl w:val="0"/>
          <w:numId w:val="3"/>
        </w:numPr>
        <w:spacing w:after="0" w:line="360" w:lineRule="auto"/>
        <w:jc w:val="both"/>
        <w:rPr>
          <w:rFonts w:ascii="Arial" w:hAnsi="Arial" w:cs="Arial"/>
          <w:sz w:val="26"/>
          <w:szCs w:val="26"/>
        </w:rPr>
      </w:pPr>
      <w:r w:rsidRPr="00A7465D">
        <w:rPr>
          <w:rFonts w:ascii="Arial" w:hAnsi="Arial" w:cs="Arial"/>
          <w:sz w:val="26"/>
          <w:szCs w:val="26"/>
        </w:rPr>
        <w:t xml:space="preserve">Como sustento de estas inconformidades los accionantes citan </w:t>
      </w:r>
      <w:r w:rsidR="00D14177" w:rsidRPr="00A7465D">
        <w:rPr>
          <w:rFonts w:ascii="Arial" w:hAnsi="Arial" w:cs="Arial"/>
          <w:sz w:val="26"/>
          <w:szCs w:val="26"/>
        </w:rPr>
        <w:t>e</w:t>
      </w:r>
      <w:r w:rsidRPr="00A7465D">
        <w:rPr>
          <w:rFonts w:ascii="Arial" w:hAnsi="Arial" w:cs="Arial"/>
          <w:sz w:val="26"/>
          <w:szCs w:val="26"/>
        </w:rPr>
        <w:t>l criterio de rubro:</w:t>
      </w:r>
      <w:r w:rsidR="00D14177" w:rsidRPr="00A7465D">
        <w:rPr>
          <w:rFonts w:ascii="Arial" w:hAnsi="Arial" w:cs="Arial"/>
          <w:sz w:val="26"/>
          <w:szCs w:val="26"/>
        </w:rPr>
        <w:t xml:space="preserve"> “CONGRUENCIA Y EXHAUSTIVIDAD EN SENTENCIAS DICTADAS EN AMPARO CONTRA LEYES. ALCANCE DE ESTOS PRINCIPIOS”</w:t>
      </w:r>
      <w:r w:rsidR="00217636" w:rsidRPr="00A7465D">
        <w:rPr>
          <w:rFonts w:ascii="Arial" w:hAnsi="Arial" w:cs="Arial"/>
          <w:sz w:val="26"/>
          <w:szCs w:val="26"/>
        </w:rPr>
        <w:t xml:space="preserve">. </w:t>
      </w:r>
    </w:p>
    <w:p w:rsidR="00096A32" w:rsidRPr="00A7465D" w:rsidRDefault="00096A32" w:rsidP="00096A32">
      <w:pPr>
        <w:spacing w:after="0" w:line="360" w:lineRule="auto"/>
        <w:jc w:val="both"/>
        <w:rPr>
          <w:rFonts w:ascii="Arial" w:hAnsi="Arial" w:cs="Arial"/>
          <w:sz w:val="26"/>
          <w:szCs w:val="26"/>
        </w:rPr>
      </w:pPr>
    </w:p>
    <w:p w:rsidR="00096A32" w:rsidRPr="00A7465D" w:rsidRDefault="00096A32" w:rsidP="00096A32">
      <w:pPr>
        <w:spacing w:after="0" w:line="360" w:lineRule="auto"/>
        <w:ind w:firstLine="705"/>
        <w:jc w:val="both"/>
        <w:rPr>
          <w:rFonts w:ascii="Arial" w:hAnsi="Arial" w:cs="Arial"/>
          <w:sz w:val="26"/>
          <w:szCs w:val="26"/>
        </w:rPr>
      </w:pPr>
      <w:r w:rsidRPr="00A7465D">
        <w:rPr>
          <w:rFonts w:ascii="Arial" w:hAnsi="Arial" w:cs="Arial"/>
          <w:b/>
          <w:sz w:val="26"/>
          <w:szCs w:val="26"/>
        </w:rPr>
        <w:t xml:space="preserve">Ahora, </w:t>
      </w:r>
      <w:r w:rsidRPr="00A7465D">
        <w:rPr>
          <w:rFonts w:ascii="Arial" w:hAnsi="Arial" w:cs="Arial"/>
          <w:sz w:val="26"/>
          <w:szCs w:val="26"/>
        </w:rPr>
        <w:t>al análisis de las actuaciones judiciales que tienen pleno valor probatorio en términos del artículo 25 de la Ley de Justicia de Fiscalización y Rendición de Cuentas para el Estado de Oaxaca por tratarse de actuaciones judiciales, se tiene la determinación de veintinueve de septiembre de dos mil diecisiete dictada por el Auditor Superior del Estado en el Recurso de Reconsideración ASE/REC.R.056/2017 en el que la aquí enjuiciada, en la parte que interesa, resolvió:</w:t>
      </w:r>
    </w:p>
    <w:p w:rsidR="00096A32" w:rsidRDefault="00096A32" w:rsidP="00096A32">
      <w:pPr>
        <w:spacing w:after="0" w:line="360" w:lineRule="auto"/>
        <w:ind w:firstLine="705"/>
        <w:jc w:val="both"/>
        <w:rPr>
          <w:rFonts w:ascii="Arial" w:hAnsi="Arial" w:cs="Arial"/>
          <w:sz w:val="24"/>
          <w:szCs w:val="24"/>
        </w:rPr>
      </w:pPr>
    </w:p>
    <w:p w:rsidR="00096A32" w:rsidRDefault="003557D5" w:rsidP="00096A32">
      <w:pPr>
        <w:spacing w:after="0" w:line="360" w:lineRule="auto"/>
        <w:ind w:left="851" w:right="778"/>
        <w:jc w:val="both"/>
        <w:rPr>
          <w:rFonts w:ascii="Arial" w:hAnsi="Arial" w:cs="Arial"/>
          <w:i/>
          <w:sz w:val="24"/>
          <w:szCs w:val="24"/>
        </w:rPr>
      </w:pPr>
      <w:r>
        <w:rPr>
          <w:noProof/>
          <w:lang w:val="es-MX" w:eastAsia="es-MX"/>
        </w:rPr>
        <mc:AlternateContent>
          <mc:Choice Requires="wps">
            <w:drawing>
              <wp:anchor distT="0" distB="0" distL="114300" distR="114300" simplePos="0" relativeHeight="251654656" behindDoc="0" locked="0" layoutInCell="1" allowOverlap="1" wp14:anchorId="50A95312" wp14:editId="0AE4CB49">
                <wp:simplePos x="0" y="0"/>
                <wp:positionH relativeFrom="column">
                  <wp:posOffset>5538159</wp:posOffset>
                </wp:positionH>
                <wp:positionV relativeFrom="paragraph">
                  <wp:posOffset>7588035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5312" id="Cuadro de texto 5" o:spid="_x0000_s1029" type="#_x0000_t202" style="position:absolute;left:0;text-align:left;margin-left:436.1pt;margin-top:597.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096A32">
        <w:rPr>
          <w:rFonts w:ascii="Arial" w:hAnsi="Arial" w:cs="Arial"/>
          <w:i/>
          <w:sz w:val="24"/>
          <w:szCs w:val="24"/>
        </w:rPr>
        <w:t xml:space="preserve">“…Los anteriores argumentos resultan infundados, puesto que la Auditoría Superior del Estado al emitir su Orden de revisión y fiscalización correspondiente a los recursos del Ramo 33 Fondo III (Fondo de Aportaciones para la Infraestructura Social Municipal), que fueron administrados en el ejercicio fiscal dos mil doce, por la Comisión de Hacienda y Tesorero Municipal, en el Municipio de Santiago </w:t>
      </w:r>
      <w:proofErr w:type="spellStart"/>
      <w:r w:rsidR="00096A32">
        <w:rPr>
          <w:rFonts w:ascii="Arial" w:hAnsi="Arial" w:cs="Arial"/>
          <w:i/>
          <w:sz w:val="24"/>
          <w:szCs w:val="24"/>
        </w:rPr>
        <w:t>Juxtlahuaca</w:t>
      </w:r>
      <w:proofErr w:type="spellEnd"/>
      <w:r w:rsidR="00096A32">
        <w:rPr>
          <w:rFonts w:ascii="Arial" w:hAnsi="Arial" w:cs="Arial"/>
          <w:i/>
          <w:sz w:val="24"/>
          <w:szCs w:val="24"/>
        </w:rPr>
        <w:t xml:space="preserve">, Distrito de </w:t>
      </w:r>
      <w:proofErr w:type="spellStart"/>
      <w:r w:rsidR="00096A32">
        <w:rPr>
          <w:rFonts w:ascii="Arial" w:hAnsi="Arial" w:cs="Arial"/>
          <w:i/>
          <w:sz w:val="24"/>
          <w:szCs w:val="24"/>
        </w:rPr>
        <w:t>Juxtlahuaca</w:t>
      </w:r>
      <w:proofErr w:type="spellEnd"/>
      <w:r w:rsidR="00096A32">
        <w:rPr>
          <w:rFonts w:ascii="Arial" w:hAnsi="Arial" w:cs="Arial"/>
          <w:i/>
          <w:sz w:val="24"/>
          <w:szCs w:val="24"/>
        </w:rPr>
        <w:t xml:space="preserve"> Oaxaca, procedió en cumplimiento a lo establecido en los artículos 65 BIS, de la Constitución Política del Estado Libre y Soberano de Oaxaca; y 1, 15, 16 y 17 de la Ley de Fiscalización Superior del Estado de Oaxaca, en la que se establece que la Auditoría Superior del Estado de Oaxaca, es el Órgano Técnico de Congreso, que tiene a su cargo la Revisión y  Fiscalización de la Cuenta Pública, de los poderes del estado y del municipios, tiene por objeto evaluar los resultados de la gestión financiera, comprobar si se ha ajustado a los criterios señalados en el presupuesto aprobado, así como verificar el cumplimiento de los objetivos contenidos en los planes y programas de acuerdo a las normas y procedimientos de auditorías, métodos y sistemas necesarios para la revisión de las Cuentas Públicas, para verificar que las entidades fiscalizables que recauden, manejen, administren o ejerzan recursos públicos, lo realce a los programas aprobados y montos actualizados en el caso de los egresos, con cargo a las partidas correspondientes, así como verificar que las operaciones que realicen las entidades fiscalizables, sean acorde a la ley de Ingresos, del municipio y solicitar toda la información necesaria para el cumplimiento de sus funciones pero como en el presente caso ya ha quedado expuesto que al momento de llevar a cabo las auditoría (sic) no exhibieron la documentación comprobatoria y justificativa de los recursos del Ramo 33 Fondo III (Fondo de </w:t>
      </w:r>
      <w:r w:rsidR="00096A32" w:rsidRPr="00A7465D">
        <w:rPr>
          <w:rFonts w:ascii="Arial" w:hAnsi="Arial" w:cs="Arial"/>
          <w:i/>
          <w:sz w:val="24"/>
          <w:szCs w:val="24"/>
        </w:rPr>
        <w:t>Aportaciones para la Infraestructura</w:t>
      </w:r>
      <w:r w:rsidR="00096A32">
        <w:rPr>
          <w:rFonts w:ascii="Arial" w:hAnsi="Arial" w:cs="Arial"/>
          <w:i/>
          <w:sz w:val="24"/>
          <w:szCs w:val="24"/>
        </w:rPr>
        <w:t xml:space="preserve"> Social Municipal); ante tal omisión se concluyó con el procedimiento de auditoría, al emitirse el pliego de observaciones, mismo que no fue solventado, derivando en este caso se procediera a la emisión del Dictamen Técnico de Presunta Responsabilidad en el que se determinó que al no haber evidencias que demostraran que los recursos del Ramo 33 Fondo III (Fondo de Aportaciones para la Infraestructura Social Municipal), se </w:t>
      </w:r>
      <w:r w:rsidR="00096A32">
        <w:rPr>
          <w:rFonts w:ascii="Arial" w:hAnsi="Arial" w:cs="Arial"/>
          <w:i/>
          <w:sz w:val="24"/>
          <w:szCs w:val="24"/>
        </w:rPr>
        <w:lastRenderedPageBreak/>
        <w:t xml:space="preserve">hayan ejercido y destinados a los fines para los que le fueron otorgados al Municipio de Santiago </w:t>
      </w:r>
      <w:proofErr w:type="spellStart"/>
      <w:r w:rsidR="00096A32">
        <w:rPr>
          <w:rFonts w:ascii="Arial" w:hAnsi="Arial" w:cs="Arial"/>
          <w:i/>
          <w:sz w:val="24"/>
          <w:szCs w:val="24"/>
        </w:rPr>
        <w:t>Juxtlahuaca</w:t>
      </w:r>
      <w:proofErr w:type="spellEnd"/>
      <w:r w:rsidR="00096A32">
        <w:rPr>
          <w:rFonts w:ascii="Arial" w:hAnsi="Arial" w:cs="Arial"/>
          <w:i/>
          <w:sz w:val="24"/>
          <w:szCs w:val="24"/>
        </w:rPr>
        <w:t xml:space="preserve">, Distrito de </w:t>
      </w:r>
      <w:proofErr w:type="spellStart"/>
      <w:r w:rsidR="00096A32">
        <w:rPr>
          <w:rFonts w:ascii="Arial" w:hAnsi="Arial" w:cs="Arial"/>
          <w:i/>
          <w:sz w:val="24"/>
          <w:szCs w:val="24"/>
        </w:rPr>
        <w:t>Juxtlahuaca</w:t>
      </w:r>
      <w:proofErr w:type="spellEnd"/>
      <w:r w:rsidR="00096A32">
        <w:rPr>
          <w:rFonts w:ascii="Arial" w:hAnsi="Arial" w:cs="Arial"/>
          <w:i/>
          <w:sz w:val="24"/>
          <w:szCs w:val="24"/>
        </w:rPr>
        <w:t xml:space="preserve">, Oaxaca, se determinó el monto del daño y/o perjuicio causado, por el monto total de los recursos recibidos durante el ejercicio fiscal dos mil doce del mencionado municipio, por lo cual se demuestra que la auditoría procedió dentro del marco legal, lo cual nos indica que se salvaguardaron sus derechos y en ningún momento se le dejo en estado de indefensión, robusteciendo lo anterior es de precisarse que la función el Dictamen Técnico es sintetizar las irregularidades detectadas que motivan el </w:t>
      </w:r>
      <w:proofErr w:type="spellStart"/>
      <w:r w:rsidR="00096A32">
        <w:rPr>
          <w:rFonts w:ascii="Arial" w:hAnsi="Arial" w:cs="Arial"/>
          <w:i/>
          <w:sz w:val="24"/>
          <w:szCs w:val="24"/>
        </w:rPr>
        <w:t>Fincamiento</w:t>
      </w:r>
      <w:proofErr w:type="spellEnd"/>
      <w:r w:rsidR="00096A32">
        <w:rPr>
          <w:rFonts w:ascii="Arial" w:hAnsi="Arial" w:cs="Arial"/>
          <w:i/>
          <w:sz w:val="24"/>
          <w:szCs w:val="24"/>
        </w:rPr>
        <w:t xml:space="preserve"> de Responsabilidad Administrativa Resarcitoria para una mayor comprensión de los presuntos responsables, por la cual no se le debe tomar como documento base de la acción quedando así desvirtuada la defensa que se transcribe en líneas anteriores. </w:t>
      </w:r>
    </w:p>
    <w:p w:rsidR="00096A32" w:rsidRDefault="00096A32" w:rsidP="00096A32">
      <w:pPr>
        <w:spacing w:after="0" w:line="360" w:lineRule="auto"/>
        <w:ind w:left="851" w:right="778"/>
        <w:jc w:val="both"/>
        <w:rPr>
          <w:rFonts w:ascii="Arial" w:hAnsi="Arial" w:cs="Arial"/>
          <w:i/>
          <w:sz w:val="24"/>
          <w:szCs w:val="24"/>
        </w:rPr>
      </w:pPr>
      <w:r>
        <w:rPr>
          <w:rFonts w:ascii="Arial" w:hAnsi="Arial" w:cs="Arial"/>
          <w:i/>
          <w:sz w:val="24"/>
          <w:szCs w:val="24"/>
        </w:rPr>
        <w:t>…</w:t>
      </w:r>
    </w:p>
    <w:p w:rsidR="00096A32" w:rsidRDefault="00096A32" w:rsidP="00096A32">
      <w:pPr>
        <w:spacing w:after="0" w:line="360" w:lineRule="auto"/>
        <w:ind w:left="851" w:right="778"/>
        <w:jc w:val="both"/>
        <w:rPr>
          <w:rFonts w:ascii="Arial" w:hAnsi="Arial" w:cs="Arial"/>
          <w:i/>
          <w:sz w:val="24"/>
          <w:szCs w:val="24"/>
        </w:rPr>
      </w:pPr>
      <w:r>
        <w:rPr>
          <w:rFonts w:ascii="Arial" w:hAnsi="Arial" w:cs="Arial"/>
          <w:i/>
          <w:sz w:val="24"/>
          <w:szCs w:val="24"/>
        </w:rPr>
        <w:tab/>
        <w:t xml:space="preserve">resultan infundados ya que en todo momento desde la Orden de Auditoría hasta la emisión de la Resolución de fecha nueve de marzo de dos mil diecisiete, se fundó y motivó, la competencia y el actuar de esta Auditoría Superior del Estado de Oaxaca, así como las acciones y omisiones de cada uno de los servidores públicos que fungieron como Autoridades Municipales, ahora bien esta Auditoría Superior del Estado de Oaxaca, está facultada para revisar y fiscalizar las cuentas públicas de los Poderes del Estado y Municipios, así como de los recursos públicos, en este caso, el Fondo de Aportaciones para la Infraestructura Social Municipal; ministrados al Municipio de Santiago </w:t>
      </w:r>
      <w:proofErr w:type="spellStart"/>
      <w:r>
        <w:rPr>
          <w:rFonts w:ascii="Arial" w:hAnsi="Arial" w:cs="Arial"/>
          <w:i/>
          <w:sz w:val="24"/>
          <w:szCs w:val="24"/>
        </w:rPr>
        <w:t>Juxtlahuaca</w:t>
      </w:r>
      <w:proofErr w:type="spellEnd"/>
      <w:r>
        <w:rPr>
          <w:rFonts w:ascii="Arial" w:hAnsi="Arial" w:cs="Arial"/>
          <w:i/>
          <w:sz w:val="24"/>
          <w:szCs w:val="24"/>
        </w:rPr>
        <w:t xml:space="preserve">, Distrito de </w:t>
      </w:r>
      <w:proofErr w:type="spellStart"/>
      <w:r>
        <w:rPr>
          <w:rFonts w:ascii="Arial" w:hAnsi="Arial" w:cs="Arial"/>
          <w:i/>
          <w:sz w:val="24"/>
          <w:szCs w:val="24"/>
        </w:rPr>
        <w:t>Juxtlahuaca</w:t>
      </w:r>
      <w:proofErr w:type="spellEnd"/>
      <w:r>
        <w:rPr>
          <w:rFonts w:ascii="Arial" w:hAnsi="Arial" w:cs="Arial"/>
          <w:i/>
          <w:sz w:val="24"/>
          <w:szCs w:val="24"/>
        </w:rPr>
        <w:t>, Oaxaca, correspondiente al Ejercicio fiscal dos mil doce, en adición a lo anterior, el artículo 23 B párrafos segundo, tercero y cuarto de la Ley de Coordinación Fiscal para el Estado de Oaxaca, vigente en la temporalidad de las irregularidades, establece lo siguiente:</w:t>
      </w:r>
    </w:p>
    <w:p w:rsidR="00096A32" w:rsidRDefault="00096A32" w:rsidP="00096A32">
      <w:pPr>
        <w:spacing w:after="0" w:line="360" w:lineRule="auto"/>
        <w:ind w:left="851" w:right="778"/>
        <w:jc w:val="both"/>
        <w:rPr>
          <w:rFonts w:ascii="Arial" w:hAnsi="Arial" w:cs="Arial"/>
          <w:i/>
          <w:sz w:val="24"/>
          <w:szCs w:val="24"/>
        </w:rPr>
      </w:pPr>
      <w:r>
        <w:rPr>
          <w:rFonts w:ascii="Arial" w:hAnsi="Arial" w:cs="Arial"/>
          <w:i/>
          <w:sz w:val="24"/>
          <w:szCs w:val="24"/>
        </w:rPr>
        <w:t>…</w:t>
      </w:r>
    </w:p>
    <w:p w:rsidR="00096A32" w:rsidRDefault="00096A32" w:rsidP="00096A32">
      <w:pPr>
        <w:spacing w:after="0" w:line="360" w:lineRule="auto"/>
        <w:ind w:left="851" w:right="778"/>
        <w:jc w:val="both"/>
        <w:rPr>
          <w:rFonts w:ascii="Arial" w:hAnsi="Arial" w:cs="Arial"/>
          <w:i/>
          <w:sz w:val="24"/>
          <w:szCs w:val="24"/>
        </w:rPr>
      </w:pPr>
      <w:r>
        <w:rPr>
          <w:rFonts w:ascii="Arial" w:hAnsi="Arial" w:cs="Arial"/>
          <w:i/>
          <w:sz w:val="24"/>
          <w:szCs w:val="24"/>
        </w:rPr>
        <w:t xml:space="preserve">De lo anterior queda establecido que esta Auditoría Superior del Estado de Oaxaca tiene facultades para llevar a cabo el control, evaluación y fiscalización del manejo de los recursos, ese contexto es menester señalar que el acuerdo de Inicio del Procedimiento para el </w:t>
      </w:r>
      <w:proofErr w:type="spellStart"/>
      <w:r>
        <w:rPr>
          <w:rFonts w:ascii="Arial" w:hAnsi="Arial" w:cs="Arial"/>
          <w:i/>
          <w:sz w:val="24"/>
          <w:szCs w:val="24"/>
        </w:rPr>
        <w:t>Fincamiento</w:t>
      </w:r>
      <w:proofErr w:type="spellEnd"/>
      <w:r>
        <w:rPr>
          <w:rFonts w:ascii="Arial" w:hAnsi="Arial" w:cs="Arial"/>
          <w:i/>
          <w:sz w:val="24"/>
          <w:szCs w:val="24"/>
        </w:rPr>
        <w:t xml:space="preserve"> de Responsabilidad Resarcitoria se derivó de una Revisión y Fiscalización </w:t>
      </w:r>
      <w:r>
        <w:rPr>
          <w:rFonts w:ascii="Arial" w:hAnsi="Arial" w:cs="Arial"/>
          <w:i/>
          <w:sz w:val="24"/>
          <w:szCs w:val="24"/>
        </w:rPr>
        <w:lastRenderedPageBreak/>
        <w:t xml:space="preserve">practicada en el Municipio de Santiago </w:t>
      </w:r>
      <w:proofErr w:type="spellStart"/>
      <w:r>
        <w:rPr>
          <w:rFonts w:ascii="Arial" w:hAnsi="Arial" w:cs="Arial"/>
          <w:i/>
          <w:sz w:val="24"/>
          <w:szCs w:val="24"/>
        </w:rPr>
        <w:t>Juxtlahuaca</w:t>
      </w:r>
      <w:proofErr w:type="spellEnd"/>
      <w:r>
        <w:rPr>
          <w:rFonts w:ascii="Arial" w:hAnsi="Arial" w:cs="Arial"/>
          <w:i/>
          <w:sz w:val="24"/>
          <w:szCs w:val="24"/>
        </w:rPr>
        <w:t xml:space="preserve">, Distrito de </w:t>
      </w:r>
      <w:proofErr w:type="spellStart"/>
      <w:r>
        <w:rPr>
          <w:rFonts w:ascii="Arial" w:hAnsi="Arial" w:cs="Arial"/>
          <w:i/>
          <w:sz w:val="24"/>
          <w:szCs w:val="24"/>
        </w:rPr>
        <w:t>Juxtlahuaca</w:t>
      </w:r>
      <w:proofErr w:type="spellEnd"/>
      <w:r>
        <w:rPr>
          <w:rFonts w:ascii="Arial" w:hAnsi="Arial" w:cs="Arial"/>
          <w:i/>
          <w:sz w:val="24"/>
          <w:szCs w:val="24"/>
        </w:rPr>
        <w:t xml:space="preserve">, Oaxaca, emitiéndose así un informe de observaciones en el cual se dan a conocer las irregularidades encontradas en la etapa de auditoría, dicho lo anterior, en base al artículo 43 de la Ley de Fiscalización Superior del Estado de Oaxaca y su relativo el artículo 49 y 67 de la Ley de Fiscalización Superior del Estado de Oaxaca (vigente)en los cuales se fundan las facultades de esta Auditoría Superior del Estado y del Titular de la Unidad de Asuntos Jurídicos, para iniciar el procedimiento para el </w:t>
      </w:r>
      <w:proofErr w:type="spellStart"/>
      <w:r>
        <w:rPr>
          <w:rFonts w:ascii="Arial" w:hAnsi="Arial" w:cs="Arial"/>
          <w:i/>
          <w:sz w:val="24"/>
          <w:szCs w:val="24"/>
        </w:rPr>
        <w:t>Fincamiento</w:t>
      </w:r>
      <w:proofErr w:type="spellEnd"/>
      <w:r>
        <w:rPr>
          <w:rFonts w:ascii="Arial" w:hAnsi="Arial" w:cs="Arial"/>
          <w:i/>
          <w:sz w:val="24"/>
          <w:szCs w:val="24"/>
        </w:rPr>
        <w:t xml:space="preserve"> de Responsabilidad Administrativa Resarcitoria; en cuando a lo que aducen los recurrentes acerca de que el acuerdo de inicio del Procedimiento para el </w:t>
      </w:r>
      <w:proofErr w:type="spellStart"/>
      <w:r>
        <w:rPr>
          <w:rFonts w:ascii="Arial" w:hAnsi="Arial" w:cs="Arial"/>
          <w:i/>
          <w:sz w:val="24"/>
          <w:szCs w:val="24"/>
        </w:rPr>
        <w:t>Fincamiento</w:t>
      </w:r>
      <w:proofErr w:type="spellEnd"/>
      <w:r>
        <w:rPr>
          <w:rFonts w:ascii="Arial" w:hAnsi="Arial" w:cs="Arial"/>
          <w:i/>
          <w:sz w:val="24"/>
          <w:szCs w:val="24"/>
        </w:rPr>
        <w:t xml:space="preserve"> de Responsabilidad Administrativa Resarcitoria, se motivó en el cuerpo del Dictamen Técnico es de decirles que sus argumentos son infundados ya que la motivación deviene de la debida fundamentación que hace esta Autoridad y no así del Dictamen Técnico que como ya se mencionó en líneas anteriores no es un documento individual el cual se tome como documento base de la acción resarcitoria, siendo más un documento de apoyo para una mejor comprensión del informe de observaciones, por lo cual se demuestra que las defensas formuladas por los recurrentes, </w:t>
      </w:r>
      <w:r w:rsidR="009A2742">
        <w:rPr>
          <w:rFonts w:ascii="Arial" w:hAnsi="Arial" w:cs="Arial"/>
          <w:b/>
          <w:i/>
          <w:sz w:val="24"/>
          <w:szCs w:val="24"/>
        </w:rPr>
        <w:t>**********</w:t>
      </w:r>
      <w:r>
        <w:rPr>
          <w:rFonts w:ascii="Arial" w:hAnsi="Arial" w:cs="Arial"/>
          <w:b/>
          <w:i/>
          <w:sz w:val="24"/>
          <w:szCs w:val="24"/>
        </w:rPr>
        <w:t xml:space="preserve">, </w:t>
      </w:r>
      <w:r>
        <w:rPr>
          <w:rFonts w:ascii="Arial" w:hAnsi="Arial" w:cs="Arial"/>
          <w:i/>
          <w:sz w:val="24"/>
          <w:szCs w:val="24"/>
        </w:rPr>
        <w:t xml:space="preserve">son infundados. </w:t>
      </w:r>
    </w:p>
    <w:p w:rsidR="00096A32" w:rsidRDefault="003557D5" w:rsidP="00096A32">
      <w:pPr>
        <w:spacing w:after="0" w:line="360" w:lineRule="auto"/>
        <w:ind w:left="851" w:right="778"/>
        <w:jc w:val="both"/>
        <w:rPr>
          <w:rFonts w:ascii="Arial" w:hAnsi="Arial" w:cs="Arial"/>
          <w:i/>
          <w:sz w:val="24"/>
          <w:szCs w:val="24"/>
        </w:rPr>
      </w:pPr>
      <w:r>
        <w:rPr>
          <w:noProof/>
          <w:lang w:val="es-MX" w:eastAsia="es-MX"/>
        </w:rPr>
        <mc:AlternateContent>
          <mc:Choice Requires="wps">
            <w:drawing>
              <wp:anchor distT="0" distB="0" distL="114300" distR="114300" simplePos="0" relativeHeight="251656704" behindDoc="0" locked="0" layoutInCell="1" allowOverlap="1" wp14:anchorId="48AFCEEA" wp14:editId="1BA1B4B6">
                <wp:simplePos x="0" y="0"/>
                <wp:positionH relativeFrom="column">
                  <wp:posOffset>5615796</wp:posOffset>
                </wp:positionH>
                <wp:positionV relativeFrom="paragraph">
                  <wp:posOffset>275614</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CEEA" id="Cuadro de texto 6" o:spid="_x0000_s1030" type="#_x0000_t202" style="position:absolute;left:0;text-align:left;margin-left:442.2pt;margin-top:21.7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096A32">
        <w:rPr>
          <w:rFonts w:ascii="Arial" w:hAnsi="Arial" w:cs="Arial"/>
          <w:i/>
          <w:sz w:val="24"/>
          <w:szCs w:val="24"/>
        </w:rPr>
        <w:t>…”</w:t>
      </w:r>
    </w:p>
    <w:p w:rsidR="00096A32" w:rsidRDefault="00096A32" w:rsidP="00096A32">
      <w:pPr>
        <w:spacing w:after="0" w:line="360" w:lineRule="auto"/>
        <w:jc w:val="both"/>
        <w:rPr>
          <w:rFonts w:ascii="Arial" w:hAnsi="Arial" w:cs="Arial"/>
          <w:sz w:val="24"/>
          <w:szCs w:val="24"/>
        </w:rPr>
      </w:pPr>
    </w:p>
    <w:p w:rsidR="00096A32" w:rsidRPr="00A7465D" w:rsidRDefault="00096A32" w:rsidP="00625EB9">
      <w:pPr>
        <w:spacing w:after="0" w:line="360" w:lineRule="auto"/>
        <w:ind w:firstLine="565"/>
        <w:jc w:val="both"/>
        <w:rPr>
          <w:rFonts w:ascii="Arial" w:hAnsi="Arial" w:cs="Arial"/>
          <w:sz w:val="26"/>
          <w:szCs w:val="26"/>
        </w:rPr>
      </w:pPr>
      <w:r w:rsidRPr="00A7465D">
        <w:rPr>
          <w:rFonts w:ascii="Arial" w:hAnsi="Arial" w:cs="Arial"/>
          <w:b/>
          <w:sz w:val="26"/>
          <w:szCs w:val="26"/>
        </w:rPr>
        <w:t xml:space="preserve">Como se ve </w:t>
      </w:r>
      <w:r w:rsidRPr="00A7465D">
        <w:rPr>
          <w:rFonts w:ascii="Arial" w:hAnsi="Arial" w:cs="Arial"/>
          <w:sz w:val="26"/>
          <w:szCs w:val="26"/>
        </w:rPr>
        <w:t xml:space="preserve">en esta transcripción, en efecto, como lo aducen los accionantes, la Auditoría Superior del Estado al emitir la resolución combatida, es omisa en pronunciarse a todos los agravios expuestos, porque de manera lacónica responde a sus expresiones vertidas a través del recurso de reconsideración, pero dejan de resolver por ejemplo, lo expuesto en el sentido de que es ilegal que se haya tomado como base para el inicio del procedimiento de responsabilidad administrativa resarcitoria el Dictamen Técnico de Presunta Responsabilidad, es cual, en síntesis, indican que es inexistente en la normatividad respectiva, además que aun cuando se contemple dentro del Manual de Fiscalización de los Recursos Públicos Para la Auditoría Superior del Estado, no puede tomarse en consideración para iniciar el relatado procedimiento por una cuestión de jerarquización de normas; de igual manera, la Auditoría Superior del Estado, en manera alguna </w:t>
      </w:r>
      <w:r w:rsidRPr="00A7465D">
        <w:rPr>
          <w:rFonts w:ascii="Arial" w:hAnsi="Arial" w:cs="Arial"/>
          <w:sz w:val="26"/>
          <w:szCs w:val="26"/>
        </w:rPr>
        <w:lastRenderedPageBreak/>
        <w:t xml:space="preserve">resuelve su agravio en el que indican que la resolución recurrida está indebidamente motivada en cuanto a la competencia de la autoridad, ya que la hoy demandada, se concreta a decir que está motivada por los preceptos legales que ahí están insertos y que la citada autoridad tiene facultades para llevar a cabo el procedimiento que se comenta, empero dejan de resolver el tema de la indebida motivación, de esta manera, </w:t>
      </w:r>
      <w:r w:rsidR="00625EB9" w:rsidRPr="00A7465D">
        <w:rPr>
          <w:rFonts w:ascii="Arial" w:hAnsi="Arial" w:cs="Arial"/>
          <w:sz w:val="26"/>
          <w:szCs w:val="26"/>
        </w:rPr>
        <w:t xml:space="preserve">la forma de resolver es ilegal, porque se contrarían los principios de congruencia y exhaustividad que debe contener toda resolución y en consecuencia se transgrede el principio de legalidad normado por los artículos 14 y 16 de la Constitución Federal. </w:t>
      </w:r>
    </w:p>
    <w:p w:rsidR="00625EB9" w:rsidRPr="00A7465D" w:rsidRDefault="00625EB9" w:rsidP="00096A32">
      <w:pPr>
        <w:spacing w:after="0" w:line="360" w:lineRule="auto"/>
        <w:jc w:val="both"/>
        <w:rPr>
          <w:rFonts w:ascii="Arial" w:hAnsi="Arial" w:cs="Arial"/>
          <w:sz w:val="26"/>
          <w:szCs w:val="26"/>
        </w:rPr>
      </w:pPr>
    </w:p>
    <w:p w:rsidR="00625EB9" w:rsidRPr="00A7465D" w:rsidRDefault="00625EB9" w:rsidP="00625EB9">
      <w:pPr>
        <w:spacing w:after="0" w:line="360" w:lineRule="auto"/>
        <w:ind w:firstLine="565"/>
        <w:jc w:val="both"/>
        <w:rPr>
          <w:rFonts w:ascii="Arial" w:hAnsi="Arial" w:cs="Arial"/>
          <w:sz w:val="26"/>
          <w:szCs w:val="26"/>
        </w:rPr>
      </w:pPr>
      <w:r w:rsidRPr="00A7465D">
        <w:rPr>
          <w:rFonts w:ascii="Arial" w:hAnsi="Arial" w:cs="Arial"/>
          <w:b/>
          <w:sz w:val="26"/>
          <w:szCs w:val="26"/>
        </w:rPr>
        <w:t xml:space="preserve">Así, </w:t>
      </w:r>
      <w:r w:rsidRPr="00A7465D">
        <w:rPr>
          <w:rFonts w:ascii="Arial" w:hAnsi="Arial" w:cs="Arial"/>
          <w:sz w:val="26"/>
          <w:szCs w:val="26"/>
        </w:rPr>
        <w:t xml:space="preserve">se entiende por </w:t>
      </w:r>
      <w:r w:rsidRPr="00A7465D">
        <w:rPr>
          <w:rFonts w:ascii="Arial" w:hAnsi="Arial" w:cs="Arial"/>
          <w:b/>
          <w:sz w:val="26"/>
          <w:szCs w:val="26"/>
        </w:rPr>
        <w:t xml:space="preserve">exhaustividad </w:t>
      </w:r>
      <w:r w:rsidRPr="00A7465D">
        <w:rPr>
          <w:rFonts w:ascii="Arial" w:hAnsi="Arial" w:cs="Arial"/>
          <w:sz w:val="26"/>
          <w:szCs w:val="26"/>
        </w:rPr>
        <w:t>la obligación que tiene el juzgador de atender todas las cuestiones litigiosas que hayan sido sometidas a su jurisdicción sin omitir alguna</w:t>
      </w:r>
      <w:r w:rsidRPr="00A7465D">
        <w:rPr>
          <w:rStyle w:val="Refdenotaalpie"/>
          <w:rFonts w:ascii="Arial" w:hAnsi="Arial" w:cs="Arial"/>
          <w:sz w:val="26"/>
          <w:szCs w:val="26"/>
        </w:rPr>
        <w:footnoteReference w:id="1"/>
      </w:r>
      <w:r w:rsidRPr="00A7465D">
        <w:rPr>
          <w:rFonts w:ascii="Arial" w:hAnsi="Arial" w:cs="Arial"/>
          <w:sz w:val="26"/>
          <w:szCs w:val="26"/>
        </w:rPr>
        <w:t xml:space="preserve">, y si bien la Auditoría Superior del Estado no es una autoridad jurisdiccional ni el recurso de reconsideración constituye una instancia jurisdiccional, atendiendo a la obligación que tienen las autoridades administrativas de resolver en concordancia con los principios de congruencia y exhaustividad, trasladado este tema a la sede administrativa, es inconcuso que el Auditor Superior del Estado para resolver atendiendo el principio de legalidad debía de atender todas las cuestiones sometidas a su </w:t>
      </w:r>
      <w:r w:rsidRPr="00A7465D">
        <w:rPr>
          <w:rFonts w:ascii="Arial" w:hAnsi="Arial" w:cs="Arial"/>
          <w:b/>
          <w:sz w:val="26"/>
          <w:szCs w:val="26"/>
        </w:rPr>
        <w:t>re</w:t>
      </w:r>
      <w:r w:rsidRPr="00A7465D">
        <w:rPr>
          <w:rFonts w:ascii="Arial" w:hAnsi="Arial" w:cs="Arial"/>
          <w:sz w:val="26"/>
          <w:szCs w:val="26"/>
        </w:rPr>
        <w:t xml:space="preserve">consideración, para entonces dictar una resolución que cumpla con la exhaustividad exigida por el artículo 16 de la Constitución General. La omisión en el pronunciamiento de los puntos sometidos a su </w:t>
      </w:r>
      <w:r w:rsidRPr="00A7465D">
        <w:rPr>
          <w:rFonts w:ascii="Arial" w:hAnsi="Arial" w:cs="Arial"/>
          <w:b/>
          <w:sz w:val="26"/>
          <w:szCs w:val="26"/>
        </w:rPr>
        <w:t>re</w:t>
      </w:r>
      <w:r w:rsidRPr="00A7465D">
        <w:rPr>
          <w:rFonts w:ascii="Arial" w:hAnsi="Arial" w:cs="Arial"/>
          <w:sz w:val="26"/>
          <w:szCs w:val="26"/>
        </w:rPr>
        <w:t xml:space="preserve">consideración hace que tal resolución esté falta de exhaustividad y con ello reviste de ilegal, sin que sea óbice apuntar que se traduce en una determinación </w:t>
      </w:r>
      <w:r w:rsidRPr="00A7465D">
        <w:rPr>
          <w:rFonts w:ascii="Arial" w:hAnsi="Arial" w:cs="Arial"/>
          <w:b/>
          <w:sz w:val="26"/>
          <w:szCs w:val="26"/>
        </w:rPr>
        <w:t xml:space="preserve">incompleta </w:t>
      </w:r>
      <w:r w:rsidRPr="00A7465D">
        <w:rPr>
          <w:rFonts w:ascii="Arial" w:hAnsi="Arial" w:cs="Arial"/>
          <w:sz w:val="26"/>
          <w:szCs w:val="26"/>
        </w:rPr>
        <w:t>y por tanto apartada, también, de la obligación impuesta por el artículo 17 constitucional</w:t>
      </w:r>
      <w:r w:rsidRPr="00A7465D">
        <w:rPr>
          <w:rStyle w:val="Refdenotaalpie"/>
          <w:rFonts w:ascii="Arial" w:hAnsi="Arial" w:cs="Arial"/>
          <w:sz w:val="26"/>
          <w:szCs w:val="26"/>
        </w:rPr>
        <w:footnoteReference w:id="2"/>
      </w:r>
      <w:r w:rsidRPr="00A7465D">
        <w:rPr>
          <w:rFonts w:ascii="Arial" w:hAnsi="Arial" w:cs="Arial"/>
          <w:sz w:val="26"/>
          <w:szCs w:val="26"/>
        </w:rPr>
        <w:t xml:space="preserve"> que exige que la impartición de justicia debe ser atendiendo, entre otros, el principio de completitud. En esta parte, se insiste, que si bien el acto aquí analizado es un acto de naturaleza administrativa y no guarda la calidad de un </w:t>
      </w:r>
      <w:r w:rsidRPr="00A7465D">
        <w:rPr>
          <w:rFonts w:ascii="Arial" w:hAnsi="Arial" w:cs="Arial"/>
          <w:sz w:val="26"/>
          <w:szCs w:val="26"/>
        </w:rPr>
        <w:lastRenderedPageBreak/>
        <w:t>acto jurisdiccional, a partir de la reforma constitucional de 10 diez de junio de 2011 dos mil once de acuerdo al texto del artículo 1 de la Carta Magna</w:t>
      </w:r>
      <w:r w:rsidRPr="00A7465D">
        <w:rPr>
          <w:rStyle w:val="Refdenotaalpie"/>
          <w:rFonts w:ascii="Arial" w:hAnsi="Arial" w:cs="Arial"/>
          <w:sz w:val="26"/>
          <w:szCs w:val="26"/>
        </w:rPr>
        <w:footnoteReference w:id="3"/>
      </w:r>
      <w:r w:rsidRPr="00A7465D">
        <w:rPr>
          <w:rFonts w:ascii="Arial" w:hAnsi="Arial" w:cs="Arial"/>
          <w:sz w:val="26"/>
          <w:szCs w:val="26"/>
        </w:rPr>
        <w:t xml:space="preserve"> </w:t>
      </w:r>
      <w:r w:rsidRPr="00A7465D">
        <w:rPr>
          <w:rFonts w:ascii="Arial" w:hAnsi="Arial" w:cs="Arial"/>
          <w:b/>
          <w:sz w:val="26"/>
          <w:szCs w:val="26"/>
        </w:rPr>
        <w:t xml:space="preserve">todas las autoridades en el ámbito de sus competencias </w:t>
      </w:r>
      <w:r w:rsidRPr="00A7465D">
        <w:rPr>
          <w:rFonts w:ascii="Arial" w:hAnsi="Arial" w:cs="Arial"/>
          <w:sz w:val="26"/>
          <w:szCs w:val="26"/>
        </w:rPr>
        <w:t xml:space="preserve">tienen la obligación de promover, proteger, respetar y garantizar los derechos humanos, en tal sentido, si la Constitución reconoce como un derecho humano y sus correlativas garantías de protección, el acceso a la jurisdicción completa e imparcial bajo el amparo del principio de legalidad, es indudable que la Auditoría Superior del Estado está en la obligación desde el ejercicio de su competencia de resolver observando el principio de exhaustividad. </w:t>
      </w:r>
    </w:p>
    <w:p w:rsidR="00625EB9" w:rsidRPr="00A7465D" w:rsidRDefault="00625EB9" w:rsidP="00096A32">
      <w:pPr>
        <w:spacing w:after="0" w:line="360" w:lineRule="auto"/>
        <w:jc w:val="both"/>
        <w:rPr>
          <w:rFonts w:ascii="Arial" w:hAnsi="Arial" w:cs="Arial"/>
          <w:sz w:val="26"/>
          <w:szCs w:val="26"/>
        </w:rPr>
      </w:pPr>
    </w:p>
    <w:p w:rsidR="00625EB9" w:rsidRPr="00A7465D" w:rsidRDefault="00625EB9" w:rsidP="00625EB9">
      <w:pPr>
        <w:spacing w:after="0" w:line="360" w:lineRule="auto"/>
        <w:ind w:firstLine="565"/>
        <w:jc w:val="both"/>
        <w:rPr>
          <w:rFonts w:ascii="Arial" w:hAnsi="Arial" w:cs="Arial"/>
          <w:sz w:val="26"/>
          <w:szCs w:val="26"/>
        </w:rPr>
      </w:pPr>
      <w:r w:rsidRPr="00A7465D">
        <w:rPr>
          <w:rFonts w:ascii="Arial" w:hAnsi="Arial" w:cs="Arial"/>
          <w:b/>
          <w:sz w:val="26"/>
          <w:szCs w:val="26"/>
        </w:rPr>
        <w:t>Además, se</w:t>
      </w:r>
      <w:r w:rsidRPr="00A7465D">
        <w:rPr>
          <w:rFonts w:ascii="Arial" w:hAnsi="Arial" w:cs="Arial"/>
          <w:sz w:val="26"/>
          <w:szCs w:val="26"/>
        </w:rPr>
        <w:t xml:space="preserve"> destaca la obligación que tienen las autoridades de atender las peticiones que les sean formuladas ciñéndose exactamente a lo pedido, es decir, sin introducir cuestiones que no sean sometidas a su consideración pero tampoco dejando fuera alguna, porque así se dará cumplimiento a la garantía de la justicia completa y al principio de legalidad, lo que derivará necesariamente en una resolución congruente con el planteamiento que le haya sido realizado. </w:t>
      </w:r>
    </w:p>
    <w:p w:rsidR="00625EB9" w:rsidRPr="00A7465D" w:rsidRDefault="00625EB9" w:rsidP="00625EB9">
      <w:pPr>
        <w:spacing w:after="0" w:line="360" w:lineRule="auto"/>
        <w:ind w:firstLine="565"/>
        <w:jc w:val="both"/>
        <w:rPr>
          <w:rFonts w:ascii="Arial" w:hAnsi="Arial" w:cs="Arial"/>
          <w:sz w:val="26"/>
          <w:szCs w:val="26"/>
        </w:rPr>
      </w:pPr>
    </w:p>
    <w:p w:rsidR="00625EB9" w:rsidRPr="00A7465D" w:rsidRDefault="003557D5" w:rsidP="00625EB9">
      <w:pPr>
        <w:spacing w:after="0" w:line="360" w:lineRule="auto"/>
        <w:ind w:firstLine="565"/>
        <w:jc w:val="both"/>
        <w:rPr>
          <w:rFonts w:ascii="Arial" w:hAnsi="Arial" w:cs="Arial"/>
          <w:sz w:val="26"/>
          <w:szCs w:val="26"/>
        </w:rPr>
      </w:pPr>
      <w:r>
        <w:rPr>
          <w:noProof/>
          <w:lang w:val="es-MX" w:eastAsia="es-MX"/>
        </w:rPr>
        <mc:AlternateContent>
          <mc:Choice Requires="wps">
            <w:drawing>
              <wp:anchor distT="0" distB="0" distL="114300" distR="114300" simplePos="0" relativeHeight="251657728" behindDoc="0" locked="0" layoutInCell="1" allowOverlap="1" wp14:anchorId="16AB37F5" wp14:editId="418E80E7">
                <wp:simplePos x="0" y="0"/>
                <wp:positionH relativeFrom="column">
                  <wp:posOffset>5607169</wp:posOffset>
                </wp:positionH>
                <wp:positionV relativeFrom="paragraph">
                  <wp:posOffset>1035038</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37F5" id="Cuadro de texto 7" o:spid="_x0000_s1031" type="#_x0000_t202" style="position:absolute;left:0;text-align:left;margin-left:441.5pt;margin-top:81.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625EB9" w:rsidRPr="00A7465D">
        <w:rPr>
          <w:rFonts w:ascii="Arial" w:hAnsi="Arial" w:cs="Arial"/>
          <w:sz w:val="26"/>
          <w:szCs w:val="26"/>
        </w:rPr>
        <w:t xml:space="preserve">La congruencia puede entenderse en sus dos aspectos a saber, la </w:t>
      </w:r>
      <w:r w:rsidR="00625EB9" w:rsidRPr="00A7465D">
        <w:rPr>
          <w:rFonts w:ascii="Arial" w:hAnsi="Arial" w:cs="Arial"/>
          <w:b/>
          <w:i/>
          <w:sz w:val="26"/>
          <w:szCs w:val="26"/>
        </w:rPr>
        <w:t>congruencia interna</w:t>
      </w:r>
      <w:r w:rsidR="00625EB9" w:rsidRPr="00A7465D">
        <w:rPr>
          <w:rFonts w:ascii="Arial" w:hAnsi="Arial" w:cs="Arial"/>
          <w:sz w:val="26"/>
          <w:szCs w:val="26"/>
        </w:rPr>
        <w:t xml:space="preserve"> que consiste en que una sentencia no puede contener determinaciones contrarias entre sí ni entre sus consideraciones y los puntos resolutivos y la </w:t>
      </w:r>
      <w:r w:rsidR="00625EB9" w:rsidRPr="00A7465D">
        <w:rPr>
          <w:rFonts w:ascii="Arial" w:hAnsi="Arial" w:cs="Arial"/>
          <w:b/>
          <w:i/>
          <w:sz w:val="26"/>
          <w:szCs w:val="26"/>
        </w:rPr>
        <w:t xml:space="preserve">congruencia externa, </w:t>
      </w:r>
      <w:r w:rsidR="00625EB9" w:rsidRPr="00A7465D">
        <w:rPr>
          <w:rFonts w:ascii="Arial" w:hAnsi="Arial" w:cs="Arial"/>
          <w:sz w:val="26"/>
          <w:szCs w:val="26"/>
        </w:rPr>
        <w:t xml:space="preserve">que implica que no pueden emitirse razones que sean contrarias a los puntos controvertidos por las partes. La congruencia entonces prevé que los juzgadores deberán resolver la controversia atendiendo lo planteado por las partes en relación con la resolución controvertida, y los argumentos expuestos en su demanda y en su contrademanda (en el caso informe de la Auditoría Superior del Estado) sin que esté permitido omitir nada, ni añadir cuestiones no esgrimidas por las partes, pero además sin que esté permitido que en la sentencia existan contradicciones entre sus propias consideraciones o con los puntos resolutivos. Esta consideración encuentra apoyo por identidad en el </w:t>
      </w:r>
      <w:r w:rsidR="00625EB9" w:rsidRPr="00A7465D">
        <w:rPr>
          <w:rFonts w:ascii="Arial" w:hAnsi="Arial" w:cs="Arial"/>
          <w:sz w:val="26"/>
          <w:szCs w:val="26"/>
        </w:rPr>
        <w:lastRenderedPageBreak/>
        <w:t>tema en la jurisprudencia I.3o.A J/30 dictada en la novena época por el Tercer Tribunal Colegiado en Materia Administrativa del Primer Circuito, que está publicada en el Semanario Judicial de la Federación y su Gaceta en el Tomo IX de enero de 1999 y que es consultable a página 638, bajo el rubro y texto siguientes:</w:t>
      </w:r>
    </w:p>
    <w:p w:rsidR="00625EB9" w:rsidRPr="008B2FC5" w:rsidRDefault="00625EB9" w:rsidP="00625EB9">
      <w:pPr>
        <w:spacing w:after="0" w:line="360" w:lineRule="auto"/>
        <w:ind w:firstLine="565"/>
        <w:jc w:val="both"/>
        <w:rPr>
          <w:rFonts w:ascii="Arial" w:hAnsi="Arial" w:cs="Arial"/>
          <w:sz w:val="24"/>
          <w:szCs w:val="24"/>
        </w:rPr>
      </w:pPr>
      <w:r w:rsidRPr="008B2FC5">
        <w:rPr>
          <w:rFonts w:ascii="Arial" w:hAnsi="Arial" w:cs="Arial"/>
          <w:sz w:val="24"/>
          <w:szCs w:val="24"/>
        </w:rPr>
        <w:t xml:space="preserve"> </w:t>
      </w:r>
    </w:p>
    <w:p w:rsidR="00625EB9" w:rsidRPr="003E1E59" w:rsidRDefault="00625EB9" w:rsidP="00625EB9">
      <w:pPr>
        <w:spacing w:after="0" w:line="360" w:lineRule="auto"/>
        <w:ind w:left="851" w:right="778"/>
        <w:jc w:val="both"/>
        <w:rPr>
          <w:rFonts w:ascii="Arial" w:hAnsi="Arial" w:cs="Arial"/>
          <w:i/>
        </w:rPr>
      </w:pPr>
      <w:r>
        <w:rPr>
          <w:rFonts w:ascii="Arial" w:hAnsi="Arial" w:cs="Arial"/>
          <w:b/>
          <w:i/>
        </w:rPr>
        <w:t>“</w:t>
      </w:r>
      <w:r w:rsidRPr="003E1E59">
        <w:rPr>
          <w:rFonts w:ascii="Arial" w:hAnsi="Arial" w:cs="Arial"/>
          <w:b/>
          <w:i/>
        </w:rPr>
        <w:t>CONGRUENCIA, PRINCIPIO DE. SUS ASPECTOS. EL ARTÍCULO 229 DEL CÓDIGO FISCAL DE LA FEDERACIÓN ES EL QUE LO CONTIENE</w:t>
      </w:r>
      <w:r w:rsidRPr="003E1E59">
        <w:rPr>
          <w:rFonts w:ascii="Arial" w:hAnsi="Arial" w:cs="Arial"/>
          <w:i/>
        </w:rPr>
        <w:t xml:space="preserve">. El principio de congruencia (consistentemente respetado en materia civil), resulta igualmente utilizado y aplicado en todos los procesos judiciales y jurisdiccionales y en su esencia está referido a que las sentencias deben ser congruentes no sólo consigo mismas, sino también con la </w:t>
      </w:r>
      <w:proofErr w:type="spellStart"/>
      <w:r w:rsidRPr="003E1E59">
        <w:rPr>
          <w:rFonts w:ascii="Arial" w:hAnsi="Arial" w:cs="Arial"/>
          <w:i/>
        </w:rPr>
        <w:t>litis</w:t>
      </w:r>
      <w:proofErr w:type="spellEnd"/>
      <w:r w:rsidRPr="003E1E59">
        <w:rPr>
          <w:rFonts w:ascii="Arial" w:hAnsi="Arial" w:cs="Arial"/>
          <w:i/>
        </w:rPr>
        <w:t xml:space="preserve"> tal y como quedó formulada por medio de los escritos de demanda y contestación. Sostienen los jurisconsultos que hay dos clases de congruencia, la interna y la externa. La primera consiste en que la sentencia no contenga resoluciones ni afirmaciones que se contradigan entre sí o con los puntos resolutivos. La congruencia externa exige que la sentencia haga ecuación con los términos de la </w:t>
      </w:r>
      <w:proofErr w:type="spellStart"/>
      <w:r w:rsidRPr="003E1E59">
        <w:rPr>
          <w:rFonts w:ascii="Arial" w:hAnsi="Arial" w:cs="Arial"/>
          <w:i/>
        </w:rPr>
        <w:t>litis</w:t>
      </w:r>
      <w:proofErr w:type="spellEnd"/>
      <w:r w:rsidRPr="003E1E59">
        <w:rPr>
          <w:rFonts w:ascii="Arial" w:hAnsi="Arial" w:cs="Arial"/>
          <w:i/>
        </w:rPr>
        <w:t>. Ambas congruencias se contemplan en el artículo 229 del Código Fiscal de la Federación, al establecer: "Las sentencias del Tribunal Fiscal de la Federación se fundarán en derecho y examinarán todos y cada uno de los puntos controvertidos de la resolución, la demanda y la contestación; en sus puntos resolutivos expresarán con claridad los actos o procedimientos cuya nulidad se declare o cuya validez se reconozca. Causan estado las sentencias que no admitan recurso.". Luego entonces, las Salas del Tribunal Fiscal de la Federación, de acuerdo con lo dispuesto en el artículo 229 del Código Fiscal de la Federación, deben observar en toda sentencia el principio de congruencia, lo cual estriba en que al resolver la controversia lo hagan atentas a lo planteado por las partes respecto de la resolución, la demanda y la contestación, sin omitir nada, ni añadir cuestiones no hechas valer por los que controvierten; además, sus sentencias no deben contener consideraciones contrarias entre sí o con los puntos resolutivos.</w:t>
      </w:r>
      <w:r>
        <w:rPr>
          <w:rFonts w:ascii="Arial" w:hAnsi="Arial" w:cs="Arial"/>
          <w:i/>
        </w:rPr>
        <w:t>”</w:t>
      </w:r>
      <w:r w:rsidRPr="003E1E59">
        <w:rPr>
          <w:rFonts w:ascii="Arial" w:hAnsi="Arial" w:cs="Arial"/>
          <w:i/>
        </w:rPr>
        <w:t xml:space="preserve"> </w:t>
      </w:r>
    </w:p>
    <w:p w:rsidR="00625EB9" w:rsidRPr="008B2FC5" w:rsidRDefault="00625EB9" w:rsidP="00625EB9">
      <w:pPr>
        <w:spacing w:after="0" w:line="360" w:lineRule="auto"/>
        <w:ind w:firstLine="565"/>
        <w:jc w:val="both"/>
        <w:rPr>
          <w:rFonts w:ascii="Arial" w:hAnsi="Arial" w:cs="Arial"/>
          <w:sz w:val="24"/>
          <w:szCs w:val="24"/>
        </w:rPr>
      </w:pPr>
    </w:p>
    <w:p w:rsidR="00625EB9" w:rsidRPr="00A7465D" w:rsidRDefault="00625EB9" w:rsidP="00625EB9">
      <w:pPr>
        <w:spacing w:after="0" w:line="360" w:lineRule="auto"/>
        <w:ind w:firstLine="565"/>
        <w:jc w:val="both"/>
        <w:rPr>
          <w:rFonts w:ascii="Arial" w:hAnsi="Arial" w:cs="Arial"/>
          <w:sz w:val="26"/>
          <w:szCs w:val="26"/>
        </w:rPr>
      </w:pPr>
      <w:r w:rsidRPr="00A7465D">
        <w:rPr>
          <w:rFonts w:ascii="Arial" w:hAnsi="Arial" w:cs="Arial"/>
          <w:b/>
          <w:sz w:val="26"/>
          <w:szCs w:val="26"/>
        </w:rPr>
        <w:t xml:space="preserve">Se reitera, </w:t>
      </w:r>
      <w:r w:rsidRPr="00A7465D">
        <w:rPr>
          <w:rFonts w:ascii="Arial" w:hAnsi="Arial" w:cs="Arial"/>
          <w:sz w:val="26"/>
          <w:szCs w:val="26"/>
        </w:rPr>
        <w:t xml:space="preserve">si bien la determinación que se analiza no constituye una resolución jurisdiccional sino una de carácter administrativo, esto no aparta a la autoridad en sede administrativa a emitir sus determinaciones atendiendo el principio de congruencia, virtud que una determinación incongruente afecta su legalidad al impedir que aquéllos a quienes va dirigida tengan certeza respecto a lo que la autoridad quiso realmente expresar y ello viola en su perjuicio los principios de </w:t>
      </w:r>
      <w:r w:rsidRPr="00A7465D">
        <w:rPr>
          <w:rFonts w:ascii="Arial" w:hAnsi="Arial" w:cs="Arial"/>
          <w:sz w:val="26"/>
          <w:szCs w:val="26"/>
        </w:rPr>
        <w:lastRenderedPageBreak/>
        <w:t xml:space="preserve">seguridad y certeza jurídica al no contar con los elementos reales para en su caso controvertir la determinación. Esto implica que la determinación se encuentre indebidamente fundada y motivada, virtud que la serie de consideraciones esgrimidas por la autoridad ninguna relación guardan con lo resuelto, por el contrario, se traducen en una violación a su deber de fundar y motivar congruentemente sus determinaciones. Debe considerarse además que los artículos 14 y 16 de la Constitución Federal tutelan los principios de legalidad y seguridad jurídica, conforme a los cuales las autoridades sólo pueden hacer lo que la ley les faculta pero además deben ajustar sus actuaciones a un mínimo de condiciones legales para que adquieran validez. Tales elementos mínimos se traducen en la exigencia de que todo acto de autoridad debe constar por escrito, ser emitido por una autoridad competente y además debe estar fundado y motivado. Respecto al tema de fundamentación y motivación la doctrina y la Suprema Corte de Justicia de la Nación han definido que por fundar se entiende la expresión precisa del precepto legal aplicable al caso y por  motivar, la exposición de las razones particulares, causas inmediatas o circunstancias especiales que hayan servido como consideración para la emisión del acto administrativo debiendo colmarse también la correlativa adecuación entre los preceptos normativos invocados y las razones otorgadas. Esto último encuentra sustento en la jurisprudencia de la Segunda Sala de la Suprema Corte de Justicia de la Nación de la </w:t>
      </w:r>
      <w:r w:rsidR="003557D5">
        <w:rPr>
          <w:noProof/>
          <w:lang w:val="es-MX" w:eastAsia="es-MX"/>
        </w:rPr>
        <mc:AlternateContent>
          <mc:Choice Requires="wps">
            <w:drawing>
              <wp:anchor distT="0" distB="0" distL="114300" distR="114300" simplePos="0" relativeHeight="251661824" behindDoc="0" locked="0" layoutInCell="1" allowOverlap="1" wp14:anchorId="31FE111B" wp14:editId="7AE31139">
                <wp:simplePos x="0" y="0"/>
                <wp:positionH relativeFrom="column">
                  <wp:posOffset>5634882</wp:posOffset>
                </wp:positionH>
                <wp:positionV relativeFrom="paragraph">
                  <wp:posOffset>6721918</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E111B" id="Cuadro de texto 8" o:spid="_x0000_s1032" type="#_x0000_t202" style="position:absolute;left:0;text-align:left;margin-left:443.7pt;margin-top:529.3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Pr="00A7465D">
        <w:rPr>
          <w:rFonts w:ascii="Arial" w:hAnsi="Arial" w:cs="Arial"/>
          <w:sz w:val="26"/>
          <w:szCs w:val="26"/>
        </w:rPr>
        <w:t xml:space="preserve">séptima época, que está contenida en el Apéndice de 1995, a Tomo VI, Parte SCJN en la página 175, bajo el rubro y texto siguientes: </w:t>
      </w:r>
    </w:p>
    <w:p w:rsidR="00625EB9" w:rsidRPr="00A7465D" w:rsidRDefault="00625EB9" w:rsidP="00625EB9">
      <w:pPr>
        <w:spacing w:after="0" w:line="360" w:lineRule="auto"/>
        <w:jc w:val="both"/>
        <w:rPr>
          <w:rFonts w:ascii="Arial" w:hAnsi="Arial" w:cs="Arial"/>
          <w:sz w:val="26"/>
          <w:szCs w:val="26"/>
        </w:rPr>
      </w:pPr>
    </w:p>
    <w:p w:rsidR="00625EB9" w:rsidRDefault="00625EB9" w:rsidP="00625EB9">
      <w:pPr>
        <w:spacing w:after="0" w:line="360" w:lineRule="auto"/>
        <w:ind w:left="851" w:right="1062"/>
        <w:jc w:val="both"/>
        <w:rPr>
          <w:rFonts w:ascii="Arial" w:hAnsi="Arial" w:cs="Arial"/>
          <w:i/>
        </w:rPr>
      </w:pPr>
      <w:r>
        <w:rPr>
          <w:rFonts w:ascii="Arial" w:hAnsi="Arial" w:cs="Arial"/>
          <w:b/>
          <w:i/>
        </w:rPr>
        <w:t>“</w:t>
      </w:r>
      <w:r w:rsidRPr="0098453C">
        <w:rPr>
          <w:rFonts w:ascii="Arial" w:hAnsi="Arial" w:cs="Arial"/>
          <w:b/>
          <w:i/>
        </w:rPr>
        <w:t>FUNDAMENTACION Y MOTIVACION</w:t>
      </w:r>
      <w:r w:rsidRPr="0098453C">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p>
    <w:p w:rsidR="00625EB9" w:rsidRDefault="00625EB9" w:rsidP="00625EB9">
      <w:pPr>
        <w:spacing w:after="0" w:line="360" w:lineRule="auto"/>
        <w:ind w:left="851" w:right="1062"/>
        <w:jc w:val="both"/>
        <w:rPr>
          <w:rFonts w:ascii="Arial" w:hAnsi="Arial" w:cs="Arial"/>
          <w:i/>
        </w:rPr>
      </w:pPr>
    </w:p>
    <w:p w:rsidR="00625EB9" w:rsidRPr="00A7465D" w:rsidRDefault="00625EB9" w:rsidP="00625EB9">
      <w:pPr>
        <w:spacing w:after="0" w:line="360" w:lineRule="auto"/>
        <w:ind w:right="69" w:firstLine="708"/>
        <w:jc w:val="both"/>
        <w:rPr>
          <w:rFonts w:ascii="Arial" w:hAnsi="Arial" w:cs="Arial"/>
          <w:sz w:val="26"/>
          <w:szCs w:val="26"/>
        </w:rPr>
      </w:pPr>
      <w:r w:rsidRPr="00A7465D">
        <w:rPr>
          <w:rFonts w:ascii="Arial" w:hAnsi="Arial" w:cs="Arial"/>
          <w:sz w:val="26"/>
          <w:szCs w:val="26"/>
        </w:rPr>
        <w:t xml:space="preserve">El efectivo cumplimiento de los requisitos que conste por escrito, que sea emitido por autoridad competente y que esté fundado y </w:t>
      </w:r>
      <w:r w:rsidRPr="00A7465D">
        <w:rPr>
          <w:rFonts w:ascii="Arial" w:hAnsi="Arial" w:cs="Arial"/>
          <w:sz w:val="26"/>
          <w:szCs w:val="26"/>
        </w:rPr>
        <w:lastRenderedPageBreak/>
        <w:t>motivado, que conforman la esencia del principio de legalidad garantizan la seguridad jurídica de las personas a quienes están dirigidos tales actos, ya que se asegura que las actuaciones de las autoridades se realiza dentro de los márgenes del derecho  y les posibilita, en todo caso, de los elementos necesarios para realizar una adecuada defensa impidiendo además que las autoridades actúen de manera arbitraria y por el contrario las conmina a ceñir sus actuaciones apegadas a derecho y, faculta a los órganos correspondientes para verificar si tales extremos han sido colmados e incluso permite la sanción de las ilegalidades ante su inobservancia, lo que necesariamente conduce al logro del estado democrático de derecho. Así lo ha entendido el máximo intérprete de la Constitución, ya que el Segundo Tribunal Colegiado en Materia Administrativa del Cuarto Circuito, dictó la tesis aislada  IV.2o.A.50 K (10a.) en la décima época, misma que está publicada en el Semanario Judicial de la Federación, en el Libro 3, Tomo III, de Febrero de 2014 y que es consultable a página 2241, con el rubro y texto siguientes:</w:t>
      </w:r>
    </w:p>
    <w:p w:rsidR="00625EB9" w:rsidRPr="00A7465D" w:rsidRDefault="00625EB9" w:rsidP="00625EB9">
      <w:pPr>
        <w:spacing w:after="0" w:line="360" w:lineRule="auto"/>
        <w:ind w:right="69" w:firstLine="708"/>
        <w:jc w:val="both"/>
        <w:rPr>
          <w:rFonts w:ascii="Arial" w:hAnsi="Arial" w:cs="Arial"/>
          <w:color w:val="FF0000"/>
          <w:sz w:val="26"/>
          <w:szCs w:val="26"/>
        </w:rPr>
      </w:pPr>
    </w:p>
    <w:p w:rsidR="00625EB9" w:rsidRPr="008C11D6" w:rsidRDefault="00625EB9" w:rsidP="00625EB9">
      <w:pPr>
        <w:spacing w:after="0" w:line="360" w:lineRule="auto"/>
        <w:ind w:left="851" w:right="636"/>
        <w:jc w:val="both"/>
        <w:rPr>
          <w:rFonts w:ascii="Arial" w:hAnsi="Arial" w:cs="Arial"/>
          <w:i/>
        </w:rPr>
      </w:pPr>
      <w:r>
        <w:rPr>
          <w:rFonts w:ascii="Arial" w:hAnsi="Arial" w:cs="Arial"/>
          <w:b/>
          <w:i/>
        </w:rPr>
        <w:t>“</w:t>
      </w:r>
      <w:r w:rsidRPr="008C11D6">
        <w:rPr>
          <w:rFonts w:ascii="Arial" w:hAnsi="Arial" w:cs="Arial"/>
          <w:b/>
          <w:i/>
        </w:rPr>
        <w:t>SEGURIDAD JURÍDICA. ALCANCE DE LAS GARANTÍAS INSTRUMENTALES DE MANDAMIENTO ESCRITO, AUTORIDAD COMPETENTE Y FUNDAMENTACIÓN Y MOTIVACIÓN, PREVISTAS EN EL ARTÍCULO 16, PRIMER PÁRRAFO, DE LA CONSTITUCIÓN FEDERAL, PARA ASEGURAR EL RESPETO A DICHO DERECHO HUMANO</w:t>
      </w:r>
      <w:r w:rsidRPr="008C11D6">
        <w:rPr>
          <w:rFonts w:ascii="Arial" w:hAnsi="Arial" w:cs="Arial"/>
          <w:i/>
        </w:rPr>
        <w:t xml:space="preserve">. De las jurisprudencias 1a./J. 74/2005 y 2a./J. 144/2006, de la Primera y Segunda Salas de la Suprema Corte de Justicia de la Nación, publicadas en el Semanario Judicial de la Federación y su Gaceta, Novena Época, Tomos XXII, agosto de 2005, página 107, de rubro: </w:t>
      </w:r>
      <w:r w:rsidRPr="008C11D6">
        <w:rPr>
          <w:rFonts w:ascii="Arial" w:hAnsi="Arial" w:cs="Arial"/>
          <w:b/>
          <w:i/>
        </w:rPr>
        <w:t>"PROCEDIMIENTO SEGUIDO EN UNA VÍA INCORRECTA. POR SÍ MISMO CAUSA AGRAVIO AL DEMANDADO Y, POR ENDE, CONTRAVIENE SU GARANTÍA DE SEGURIDAD JURÍDICA." y XXIV, octubre de 2006, página 351, de rubro: "GARANTÍA DE SEGURIDAD JURÍDICA. SUS ALCANCES.",</w:t>
      </w:r>
      <w:r w:rsidRPr="008C11D6">
        <w:rPr>
          <w:rFonts w:ascii="Arial" w:hAnsi="Arial" w:cs="Arial"/>
          <w:i/>
        </w:rPr>
        <w:t xml:space="preserve">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w:t>
      </w:r>
      <w:r w:rsidRPr="008C11D6">
        <w:rPr>
          <w:rFonts w:ascii="Arial" w:hAnsi="Arial" w:cs="Arial"/>
          <w:i/>
        </w:rPr>
        <w:lastRenderedPageBreak/>
        <w:t xml:space="preserve">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w:t>
      </w:r>
      <w:r w:rsidRPr="008C11D6">
        <w:rPr>
          <w:rFonts w:ascii="Arial" w:hAnsi="Arial" w:cs="Arial"/>
          <w:b/>
          <w:i/>
        </w:rPr>
        <w:t>"FUNDAMENTACIÓN Y MOTIVACIÓN.",</w:t>
      </w:r>
      <w:r w:rsidRPr="008C11D6">
        <w:rPr>
          <w:rFonts w:ascii="Arial" w:hAnsi="Arial" w:cs="Arial"/>
          <w:i/>
        </w:rPr>
        <w:t xml:space="preserve">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w:t>
      </w:r>
      <w:r w:rsidR="003557D5">
        <w:rPr>
          <w:noProof/>
          <w:lang w:val="es-MX" w:eastAsia="es-MX"/>
        </w:rPr>
        <mc:AlternateContent>
          <mc:Choice Requires="wps">
            <w:drawing>
              <wp:anchor distT="0" distB="0" distL="114300" distR="114300" simplePos="0" relativeHeight="251666944" behindDoc="0" locked="0" layoutInCell="1" allowOverlap="1" wp14:anchorId="052C27C5" wp14:editId="09FE5EBA">
                <wp:simplePos x="0" y="0"/>
                <wp:positionH relativeFrom="column">
                  <wp:posOffset>5427848</wp:posOffset>
                </wp:positionH>
                <wp:positionV relativeFrom="paragraph">
                  <wp:posOffset>7554895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27C5" id="Cuadro de texto 9" o:spid="_x0000_s1033" type="#_x0000_t202" style="position:absolute;left:0;text-align:left;margin-left:427.4pt;margin-top:594.85pt;width:84.7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Pr="008C11D6">
        <w:rPr>
          <w:rFonts w:ascii="Arial" w:hAnsi="Arial" w:cs="Arial"/>
          <w:i/>
        </w:rPr>
        <w:t xml:space="preserve">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w:t>
      </w:r>
      <w:r w:rsidRPr="00B31CDE">
        <w:rPr>
          <w:rFonts w:ascii="Arial" w:hAnsi="Arial" w:cs="Arial"/>
          <w:i/>
          <w:u w:val="single"/>
        </w:rPr>
        <w:t xml:space="preserve">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w:t>
      </w:r>
      <w:r w:rsidRPr="00B31CDE">
        <w:rPr>
          <w:rFonts w:ascii="Arial" w:hAnsi="Arial" w:cs="Arial"/>
          <w:i/>
          <w:u w:val="single"/>
        </w:rPr>
        <w:lastRenderedPageBreak/>
        <w:t>de la jurisdicción de control, como entidad imparcial a la que corresponde dirimir cuándo los referidos requisitos han sido incumplidos, y sancionar esa actuación arbitraria mediante su anulación en los procedimientos de mera legalidad y</w:t>
      </w:r>
      <w:r w:rsidRPr="008C11D6">
        <w:rPr>
          <w:rFonts w:ascii="Arial" w:hAnsi="Arial" w:cs="Arial"/>
          <w:i/>
        </w:rPr>
        <w:t>, por lo que atañe al juicio de amparo, a través de la restauración del derecho a la seguridad jurídica vulnerado.</w:t>
      </w:r>
      <w:r>
        <w:rPr>
          <w:rFonts w:ascii="Arial" w:hAnsi="Arial" w:cs="Arial"/>
          <w:i/>
        </w:rPr>
        <w:t>”</w:t>
      </w:r>
    </w:p>
    <w:p w:rsidR="00625EB9" w:rsidRPr="00B31CDE" w:rsidRDefault="00625EB9" w:rsidP="00625EB9">
      <w:pPr>
        <w:spacing w:after="0" w:line="360" w:lineRule="auto"/>
        <w:ind w:left="851" w:right="1345"/>
        <w:jc w:val="both"/>
        <w:rPr>
          <w:rFonts w:ascii="Arial" w:hAnsi="Arial" w:cs="Arial"/>
          <w:sz w:val="24"/>
          <w:szCs w:val="24"/>
        </w:rPr>
      </w:pPr>
      <w:r w:rsidRPr="00B31CDE">
        <w:rPr>
          <w:rFonts w:ascii="Arial" w:hAnsi="Arial" w:cs="Arial"/>
          <w:sz w:val="24"/>
          <w:szCs w:val="24"/>
        </w:rPr>
        <w:t>(</w:t>
      </w:r>
      <w:proofErr w:type="gramStart"/>
      <w:r w:rsidRPr="00B31CDE">
        <w:rPr>
          <w:rFonts w:ascii="Arial" w:hAnsi="Arial" w:cs="Arial"/>
          <w:sz w:val="24"/>
          <w:szCs w:val="24"/>
        </w:rPr>
        <w:t>subrayado</w:t>
      </w:r>
      <w:proofErr w:type="gramEnd"/>
      <w:r w:rsidRPr="00B31CDE">
        <w:rPr>
          <w:rFonts w:ascii="Arial" w:hAnsi="Arial" w:cs="Arial"/>
          <w:sz w:val="24"/>
          <w:szCs w:val="24"/>
        </w:rPr>
        <w:t xml:space="preserve"> nuestro)</w:t>
      </w:r>
    </w:p>
    <w:p w:rsidR="00625EB9" w:rsidRPr="00B31CDE" w:rsidRDefault="00625EB9" w:rsidP="00625EB9">
      <w:pPr>
        <w:spacing w:after="0" w:line="360" w:lineRule="auto"/>
        <w:ind w:left="851" w:right="1345"/>
        <w:jc w:val="both"/>
        <w:rPr>
          <w:rFonts w:ascii="Arial" w:hAnsi="Arial" w:cs="Arial"/>
          <w:sz w:val="24"/>
          <w:szCs w:val="24"/>
        </w:rPr>
      </w:pPr>
    </w:p>
    <w:p w:rsidR="00625EB9" w:rsidRPr="00A7465D" w:rsidRDefault="00625EB9" w:rsidP="00625EB9">
      <w:pPr>
        <w:spacing w:after="0" w:line="360" w:lineRule="auto"/>
        <w:ind w:right="69" w:firstLine="708"/>
        <w:jc w:val="both"/>
        <w:rPr>
          <w:rFonts w:ascii="Arial" w:hAnsi="Arial" w:cs="Arial"/>
          <w:sz w:val="26"/>
          <w:szCs w:val="26"/>
        </w:rPr>
      </w:pPr>
      <w:r w:rsidRPr="00A7465D">
        <w:rPr>
          <w:rFonts w:ascii="Arial" w:hAnsi="Arial" w:cs="Arial"/>
          <w:b/>
          <w:sz w:val="26"/>
          <w:szCs w:val="26"/>
        </w:rPr>
        <w:t xml:space="preserve">Siguiendo estas ideas, </w:t>
      </w:r>
      <w:r w:rsidRPr="00A7465D">
        <w:rPr>
          <w:rFonts w:ascii="Arial" w:hAnsi="Arial" w:cs="Arial"/>
          <w:sz w:val="26"/>
          <w:szCs w:val="26"/>
        </w:rPr>
        <w:t>la resolución aquí controvertida está emitida en contravención a las garantías de legalidad y seguridad jurídica, porque como quedó precisado, la enjuiciada emitió una resolución carente de exhaustividad y congruencia lo que reduce su posibilidad para ejercer una adecuada defensa y con ello se incurre en una indebida fundamentación y motivación exigida por el dispositivo 16 de la Constitución General y revela además una arbitrariedad en su actuación.</w:t>
      </w:r>
    </w:p>
    <w:p w:rsidR="00625EB9" w:rsidRPr="00A7465D" w:rsidRDefault="00625EB9" w:rsidP="00096A32">
      <w:pPr>
        <w:spacing w:after="0" w:line="360" w:lineRule="auto"/>
        <w:jc w:val="both"/>
        <w:rPr>
          <w:rFonts w:ascii="Arial" w:hAnsi="Arial" w:cs="Arial"/>
          <w:sz w:val="26"/>
          <w:szCs w:val="26"/>
        </w:rPr>
      </w:pPr>
    </w:p>
    <w:p w:rsidR="00217636" w:rsidRPr="00A7465D" w:rsidRDefault="00625EB9" w:rsidP="00625EB9">
      <w:pPr>
        <w:spacing w:after="0" w:line="360" w:lineRule="auto"/>
        <w:jc w:val="both"/>
        <w:rPr>
          <w:rFonts w:ascii="Arial" w:hAnsi="Arial" w:cs="Arial"/>
          <w:sz w:val="26"/>
          <w:szCs w:val="26"/>
        </w:rPr>
      </w:pPr>
      <w:r w:rsidRPr="00A7465D">
        <w:rPr>
          <w:rFonts w:ascii="Arial" w:hAnsi="Arial" w:cs="Arial"/>
          <w:sz w:val="26"/>
          <w:szCs w:val="26"/>
        </w:rPr>
        <w:tab/>
      </w:r>
      <w:r w:rsidR="00217636" w:rsidRPr="00A7465D">
        <w:rPr>
          <w:rFonts w:ascii="Arial" w:hAnsi="Arial" w:cs="Arial"/>
          <w:sz w:val="26"/>
          <w:szCs w:val="26"/>
        </w:rPr>
        <w:t xml:space="preserve">Más adelante, refieren ilegalidad en la resolución de veintinueve de septiembre de dos mil diecisiete, porque la Auditoría Superior del Estado sostuvo su omisión de valorar todas las pruebas aportadas en el procedimiento, argumentando que no se aplica en su totalidad el Código de Procedimientos Civiles del Estado de Oaxaca en el procedimiento resarcitorio porque éste tiene una naturaleza administrativa y considerar lo contrario es homologar tal procedimiento a un juicio civil, lo que desvirtuaría el procedimiento en cuestión. </w:t>
      </w:r>
    </w:p>
    <w:p w:rsidR="00217636" w:rsidRPr="00A7465D" w:rsidRDefault="00217636" w:rsidP="00217636">
      <w:pPr>
        <w:spacing w:after="0" w:line="360" w:lineRule="auto"/>
        <w:ind w:firstLine="705"/>
        <w:jc w:val="both"/>
        <w:rPr>
          <w:rFonts w:ascii="Arial" w:hAnsi="Arial" w:cs="Arial"/>
          <w:sz w:val="26"/>
          <w:szCs w:val="26"/>
        </w:rPr>
      </w:pPr>
    </w:p>
    <w:p w:rsidR="00217636" w:rsidRPr="00A7465D" w:rsidRDefault="00217636" w:rsidP="00217636">
      <w:pPr>
        <w:spacing w:after="0" w:line="360" w:lineRule="auto"/>
        <w:ind w:firstLine="705"/>
        <w:jc w:val="both"/>
        <w:rPr>
          <w:rFonts w:ascii="Arial" w:hAnsi="Arial" w:cs="Arial"/>
          <w:sz w:val="26"/>
          <w:szCs w:val="26"/>
        </w:rPr>
      </w:pPr>
      <w:r w:rsidRPr="00A7465D">
        <w:rPr>
          <w:rFonts w:ascii="Arial" w:hAnsi="Arial" w:cs="Arial"/>
          <w:sz w:val="26"/>
          <w:szCs w:val="26"/>
        </w:rPr>
        <w:t>Aduce ilegalidad en esta forma de resolver, porque en términos del artículo SEXTO TRANSITORIO  de la Ley de Fiscalización Superior del Estado de Oaxaca, los procedimientos seguidos por la Auditoría Superior del Estado deben seguirse conforme al Código de Procedimientos Administrativos de dicha Auditoría, empero que hasta en tanto se publique dicho ordenamiento jurídico se aplicará supletoriamente el Código Procesal Civil del Estado</w:t>
      </w:r>
      <w:r w:rsidR="00356854" w:rsidRPr="00A7465D">
        <w:rPr>
          <w:rFonts w:ascii="Arial" w:hAnsi="Arial" w:cs="Arial"/>
          <w:sz w:val="26"/>
          <w:szCs w:val="26"/>
        </w:rPr>
        <w:t xml:space="preserve"> y dice que tal disposición es de carácter general y de observancia obligatoria. De tal manera, dice, que aun cuando en efecto el procedimiento resarcitorio no puede equipararse a un juicio civil, la aplicación supletoria del Código Adjetivo Civil no es optativa, sino obligatoria. </w:t>
      </w:r>
    </w:p>
    <w:p w:rsidR="00356854" w:rsidRPr="00A7465D" w:rsidRDefault="00356854" w:rsidP="00217636">
      <w:pPr>
        <w:spacing w:after="0" w:line="360" w:lineRule="auto"/>
        <w:ind w:firstLine="705"/>
        <w:jc w:val="both"/>
        <w:rPr>
          <w:rFonts w:ascii="Arial" w:hAnsi="Arial" w:cs="Arial"/>
          <w:sz w:val="26"/>
          <w:szCs w:val="26"/>
        </w:rPr>
      </w:pPr>
    </w:p>
    <w:p w:rsidR="00356854" w:rsidRPr="00A7465D" w:rsidRDefault="00356854" w:rsidP="00217636">
      <w:pPr>
        <w:spacing w:after="0" w:line="360" w:lineRule="auto"/>
        <w:ind w:firstLine="705"/>
        <w:jc w:val="both"/>
        <w:rPr>
          <w:rFonts w:ascii="Arial" w:hAnsi="Arial" w:cs="Arial"/>
          <w:sz w:val="26"/>
          <w:szCs w:val="26"/>
        </w:rPr>
      </w:pPr>
      <w:r w:rsidRPr="00A7465D">
        <w:rPr>
          <w:rFonts w:ascii="Arial" w:hAnsi="Arial" w:cs="Arial"/>
          <w:sz w:val="26"/>
          <w:szCs w:val="26"/>
        </w:rPr>
        <w:lastRenderedPageBreak/>
        <w:t xml:space="preserve">En base a todo ello, apunta que es violatorio que durante la secuela procedimental se hayan admitido a trámite sus pruebas ofrecidas incluso en calidad de supervenientes y que al resolver el Titular de la Unidad de Asuntos Jurídicos de la Auditoría Superior del Estado haya determinado su inexistencia y por tanto haya omitido su valoración. </w:t>
      </w:r>
    </w:p>
    <w:p w:rsidR="00625EB9" w:rsidRPr="00A7465D" w:rsidRDefault="00625EB9" w:rsidP="00217636">
      <w:pPr>
        <w:spacing w:after="0" w:line="360" w:lineRule="auto"/>
        <w:ind w:firstLine="705"/>
        <w:jc w:val="both"/>
        <w:rPr>
          <w:rFonts w:ascii="Arial" w:hAnsi="Arial" w:cs="Arial"/>
          <w:sz w:val="26"/>
          <w:szCs w:val="26"/>
        </w:rPr>
      </w:pPr>
    </w:p>
    <w:p w:rsidR="00625EB9" w:rsidRPr="00A7465D" w:rsidRDefault="00625EB9" w:rsidP="00217636">
      <w:pPr>
        <w:spacing w:after="0" w:line="360" w:lineRule="auto"/>
        <w:ind w:firstLine="705"/>
        <w:jc w:val="both"/>
        <w:rPr>
          <w:rFonts w:ascii="Arial" w:hAnsi="Arial" w:cs="Arial"/>
          <w:sz w:val="26"/>
          <w:szCs w:val="26"/>
        </w:rPr>
      </w:pPr>
      <w:r w:rsidRPr="00A7465D">
        <w:rPr>
          <w:rFonts w:ascii="Arial" w:hAnsi="Arial" w:cs="Arial"/>
          <w:sz w:val="26"/>
          <w:szCs w:val="26"/>
        </w:rPr>
        <w:t>En la parte que interesa, la resolución impugnada es del tenor literal siguiente:</w:t>
      </w:r>
    </w:p>
    <w:p w:rsidR="00356854" w:rsidRDefault="00356854" w:rsidP="00217636">
      <w:pPr>
        <w:spacing w:after="0" w:line="360" w:lineRule="auto"/>
        <w:ind w:firstLine="705"/>
        <w:jc w:val="both"/>
        <w:rPr>
          <w:rFonts w:ascii="Arial" w:hAnsi="Arial" w:cs="Arial"/>
          <w:sz w:val="24"/>
          <w:szCs w:val="24"/>
        </w:rPr>
      </w:pPr>
    </w:p>
    <w:p w:rsidR="007C3290" w:rsidRDefault="00096A32" w:rsidP="00096A32">
      <w:pPr>
        <w:spacing w:after="0" w:line="360" w:lineRule="auto"/>
        <w:ind w:left="851" w:right="778"/>
        <w:jc w:val="both"/>
        <w:rPr>
          <w:rFonts w:ascii="Arial" w:hAnsi="Arial" w:cs="Arial"/>
          <w:i/>
          <w:sz w:val="24"/>
          <w:szCs w:val="24"/>
        </w:rPr>
      </w:pPr>
      <w:r w:rsidRPr="00625EB9">
        <w:rPr>
          <w:rFonts w:ascii="Arial" w:hAnsi="Arial" w:cs="Arial"/>
          <w:i/>
          <w:sz w:val="24"/>
          <w:szCs w:val="24"/>
        </w:rPr>
        <w:t xml:space="preserve">“… </w:t>
      </w:r>
      <w:r w:rsidR="007C3290" w:rsidRPr="00625EB9">
        <w:rPr>
          <w:rFonts w:ascii="Arial" w:hAnsi="Arial" w:cs="Arial"/>
          <w:i/>
          <w:sz w:val="24"/>
          <w:szCs w:val="24"/>
        </w:rPr>
        <w:t xml:space="preserve">El argumento plasmando en líneas anteriores por los recurrentes </w:t>
      </w:r>
      <w:r w:rsidR="009A2742">
        <w:rPr>
          <w:rFonts w:ascii="Arial" w:hAnsi="Arial" w:cs="Arial"/>
          <w:b/>
          <w:i/>
          <w:sz w:val="24"/>
          <w:szCs w:val="24"/>
        </w:rPr>
        <w:t>**********</w:t>
      </w:r>
      <w:r w:rsidR="007C3290" w:rsidRPr="00625EB9">
        <w:rPr>
          <w:rFonts w:ascii="Arial" w:hAnsi="Arial" w:cs="Arial"/>
          <w:b/>
          <w:i/>
          <w:sz w:val="24"/>
          <w:szCs w:val="24"/>
        </w:rPr>
        <w:t xml:space="preserve">, </w:t>
      </w:r>
      <w:r w:rsidR="007C3290" w:rsidRPr="00625EB9">
        <w:rPr>
          <w:rFonts w:ascii="Arial" w:hAnsi="Arial" w:cs="Arial"/>
          <w:i/>
          <w:sz w:val="24"/>
          <w:szCs w:val="24"/>
        </w:rPr>
        <w:t xml:space="preserve">es infundado ya que si bien es cierto en el artículo Sexto Transitorio de la Ley de Fiscalización Superior para el Estado de </w:t>
      </w:r>
      <w:r w:rsidR="007C3290">
        <w:rPr>
          <w:rFonts w:ascii="Arial" w:hAnsi="Arial" w:cs="Arial"/>
          <w:i/>
          <w:sz w:val="24"/>
          <w:szCs w:val="24"/>
        </w:rPr>
        <w:t>Oaxaca, contempla la supletoriedad de Código de Procedimientos Civiles para el Estado de Oaxaca, también lo es, que solo es para cuestiones relativas al Procedimiento no previstas en la Ley como el desahogo y valoración de pruebas. ….</w:t>
      </w:r>
    </w:p>
    <w:p w:rsidR="007C3290" w:rsidRDefault="003557D5" w:rsidP="00096A32">
      <w:pPr>
        <w:spacing w:after="0" w:line="360" w:lineRule="auto"/>
        <w:ind w:left="851" w:right="778"/>
        <w:jc w:val="both"/>
        <w:rPr>
          <w:rFonts w:ascii="Arial" w:hAnsi="Arial" w:cs="Arial"/>
          <w:i/>
          <w:sz w:val="24"/>
          <w:szCs w:val="24"/>
        </w:rPr>
      </w:pPr>
      <w:r>
        <w:rPr>
          <w:noProof/>
          <w:lang w:val="es-MX" w:eastAsia="es-MX"/>
        </w:rPr>
        <mc:AlternateContent>
          <mc:Choice Requires="wps">
            <w:drawing>
              <wp:anchor distT="0" distB="0" distL="114300" distR="114300" simplePos="0" relativeHeight="251667968" behindDoc="0" locked="0" layoutInCell="1" allowOverlap="1" wp14:anchorId="274EF957" wp14:editId="1BC046C4">
                <wp:simplePos x="0" y="0"/>
                <wp:positionH relativeFrom="column">
                  <wp:posOffset>5486400</wp:posOffset>
                </wp:positionH>
                <wp:positionV relativeFrom="paragraph">
                  <wp:posOffset>3347924</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F957" id="Cuadro de texto 10" o:spid="_x0000_s1034" type="#_x0000_t202" style="position:absolute;left:0;text-align:left;margin-left:6in;margin-top:263.6pt;width:84.7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7C3290">
        <w:rPr>
          <w:rFonts w:ascii="Arial" w:hAnsi="Arial" w:cs="Arial"/>
          <w:i/>
          <w:sz w:val="24"/>
          <w:szCs w:val="24"/>
        </w:rPr>
        <w:t>por lo cual no se aplica en totalidad el Código de Procedimientos Civiles para el Estado de Oaxaca, ya que estaríamos ante un juicio en materia civil propiamente</w:t>
      </w:r>
      <w:r w:rsidR="006A6E7E">
        <w:rPr>
          <w:rFonts w:ascii="Arial" w:hAnsi="Arial" w:cs="Arial"/>
          <w:i/>
          <w:sz w:val="24"/>
          <w:szCs w:val="24"/>
        </w:rPr>
        <w:t xml:space="preserve"> y no administrativo el cual es el que nos ocupa, desvirtuando así el Procedimiento para el </w:t>
      </w:r>
      <w:proofErr w:type="spellStart"/>
      <w:r w:rsidR="006A6E7E">
        <w:rPr>
          <w:rFonts w:ascii="Arial" w:hAnsi="Arial" w:cs="Arial"/>
          <w:i/>
          <w:sz w:val="24"/>
          <w:szCs w:val="24"/>
        </w:rPr>
        <w:t>Fincamiento</w:t>
      </w:r>
      <w:proofErr w:type="spellEnd"/>
      <w:r w:rsidR="006A6E7E">
        <w:rPr>
          <w:rFonts w:ascii="Arial" w:hAnsi="Arial" w:cs="Arial"/>
          <w:i/>
          <w:sz w:val="24"/>
          <w:szCs w:val="24"/>
        </w:rPr>
        <w:t xml:space="preserve"> de Responsabilidad Administrativa Resarcitoria instruido en la Ley de Fiscalización Superior del Estado de Oaxaca (vigente); ahora bien en cuanto a lo que alegan los recurrentes acerca de la valoración de sus pruebas supervenientes es decirle que dentro de la resolución emitida el nueve de marzo de dos mil diecisiete, en el expediente número ASE/UAJ/P.R./040/2014, del índice de la Unidad de Asuntos Jurídicos de la Auditoría Superior del Estado, se llevó a cabo una valoración minuciosa del material probatorio, tan es así, que se solventó el monto parcial de los daños a la Hacienda Pública Municipal del Municipio de Santiago </w:t>
      </w:r>
      <w:proofErr w:type="spellStart"/>
      <w:r w:rsidR="006A6E7E">
        <w:rPr>
          <w:rFonts w:ascii="Arial" w:hAnsi="Arial" w:cs="Arial"/>
          <w:i/>
          <w:sz w:val="24"/>
          <w:szCs w:val="24"/>
        </w:rPr>
        <w:t>Juxtlahuaca</w:t>
      </w:r>
      <w:proofErr w:type="spellEnd"/>
      <w:r w:rsidR="006A6E7E">
        <w:rPr>
          <w:rFonts w:ascii="Arial" w:hAnsi="Arial" w:cs="Arial"/>
          <w:i/>
          <w:sz w:val="24"/>
          <w:szCs w:val="24"/>
        </w:rPr>
        <w:t xml:space="preserve">, Distrito de </w:t>
      </w:r>
      <w:proofErr w:type="spellStart"/>
      <w:r w:rsidR="006A6E7E">
        <w:rPr>
          <w:rFonts w:ascii="Arial" w:hAnsi="Arial" w:cs="Arial"/>
          <w:i/>
          <w:sz w:val="24"/>
          <w:szCs w:val="24"/>
        </w:rPr>
        <w:t>Juxtlahuaca</w:t>
      </w:r>
      <w:proofErr w:type="spellEnd"/>
      <w:r w:rsidR="006A6E7E">
        <w:rPr>
          <w:rFonts w:ascii="Arial" w:hAnsi="Arial" w:cs="Arial"/>
          <w:i/>
          <w:sz w:val="24"/>
          <w:szCs w:val="24"/>
        </w:rPr>
        <w:t xml:space="preserve">, Oaxaca, ya que el saldo inicial era de </w:t>
      </w:r>
      <w:r w:rsidR="006A6E7E">
        <w:rPr>
          <w:rFonts w:ascii="Arial" w:hAnsi="Arial" w:cs="Arial"/>
          <w:b/>
          <w:i/>
          <w:sz w:val="24"/>
          <w:szCs w:val="24"/>
        </w:rPr>
        <w:t>$51,261,900.80 (CINCUENTA Y UN MILLONES DOSCIENTOS SESENTA Y UN MIL NOVECIENTOS PESOS 80/100m.n.)</w:t>
      </w:r>
      <w:r w:rsidR="006A6E7E">
        <w:rPr>
          <w:rFonts w:ascii="Arial" w:hAnsi="Arial" w:cs="Arial"/>
          <w:i/>
          <w:sz w:val="24"/>
          <w:szCs w:val="24"/>
        </w:rPr>
        <w:t xml:space="preserve"> y derivado de la revisión de las pruebas aportadas por los recurrentes, solventándose parcialmente la cantidad de $9,152,565.38 (NUEVE MILLONES CIENTO CINCUENTA Y DOS MIL QUINIENTOS SESETNA Y CINCO PESOS 38/100 M.N.) </w:t>
      </w:r>
      <w:r w:rsidR="006A6E7E">
        <w:rPr>
          <w:rFonts w:ascii="Arial" w:hAnsi="Arial" w:cs="Arial"/>
          <w:i/>
          <w:sz w:val="24"/>
          <w:szCs w:val="24"/>
        </w:rPr>
        <w:lastRenderedPageBreak/>
        <w:t xml:space="preserve">quedando pendiente por solventar la cantidad de </w:t>
      </w:r>
      <w:r w:rsidR="006A6E7E">
        <w:rPr>
          <w:rFonts w:ascii="Arial" w:hAnsi="Arial" w:cs="Arial"/>
          <w:b/>
          <w:i/>
          <w:sz w:val="24"/>
          <w:szCs w:val="24"/>
        </w:rPr>
        <w:t xml:space="preserve">$42,109,335.42 (CUARENTA Y DOS MILLONES CIENTO NUEVE MIL TRESCIENTOS TREINTA Y CINCO PESOS 42/100 M.N), </w:t>
      </w:r>
      <w:r w:rsidR="006A6E7E">
        <w:rPr>
          <w:rFonts w:ascii="Arial" w:hAnsi="Arial" w:cs="Arial"/>
          <w:i/>
          <w:sz w:val="24"/>
          <w:szCs w:val="24"/>
        </w:rPr>
        <w:t>quedando así desvirtuada la defensa de los re</w:t>
      </w:r>
      <w:r w:rsidR="00096A32">
        <w:rPr>
          <w:rFonts w:ascii="Arial" w:hAnsi="Arial" w:cs="Arial"/>
          <w:i/>
          <w:sz w:val="24"/>
          <w:szCs w:val="24"/>
        </w:rPr>
        <w:t>c</w:t>
      </w:r>
      <w:r w:rsidR="006A6E7E">
        <w:rPr>
          <w:rFonts w:ascii="Arial" w:hAnsi="Arial" w:cs="Arial"/>
          <w:i/>
          <w:sz w:val="24"/>
          <w:szCs w:val="24"/>
        </w:rPr>
        <w:t>urrentes.</w:t>
      </w:r>
    </w:p>
    <w:p w:rsidR="006A6E7E" w:rsidRDefault="006A6E7E" w:rsidP="00096A32">
      <w:pPr>
        <w:spacing w:after="0" w:line="360" w:lineRule="auto"/>
        <w:ind w:left="851" w:right="778"/>
        <w:jc w:val="both"/>
        <w:rPr>
          <w:rFonts w:ascii="Arial" w:hAnsi="Arial" w:cs="Arial"/>
          <w:i/>
          <w:sz w:val="24"/>
          <w:szCs w:val="24"/>
        </w:rPr>
      </w:pPr>
      <w:r>
        <w:rPr>
          <w:rFonts w:ascii="Arial" w:hAnsi="Arial" w:cs="Arial"/>
          <w:i/>
          <w:sz w:val="24"/>
          <w:szCs w:val="24"/>
        </w:rPr>
        <w:t>….</w:t>
      </w:r>
      <w:r w:rsidR="00096A32">
        <w:rPr>
          <w:rFonts w:ascii="Arial" w:hAnsi="Arial" w:cs="Arial"/>
          <w:i/>
          <w:sz w:val="24"/>
          <w:szCs w:val="24"/>
        </w:rPr>
        <w:t>”</w:t>
      </w:r>
    </w:p>
    <w:p w:rsidR="00096A32" w:rsidRDefault="00096A32" w:rsidP="00096A32">
      <w:pPr>
        <w:spacing w:after="0" w:line="360" w:lineRule="auto"/>
        <w:ind w:left="851" w:right="778"/>
        <w:jc w:val="both"/>
        <w:rPr>
          <w:rFonts w:ascii="Arial" w:hAnsi="Arial" w:cs="Arial"/>
          <w:i/>
          <w:sz w:val="24"/>
          <w:szCs w:val="24"/>
        </w:rPr>
      </w:pPr>
    </w:p>
    <w:p w:rsidR="00625EB9" w:rsidRPr="00A7465D" w:rsidRDefault="00625EB9" w:rsidP="00625EB9">
      <w:pPr>
        <w:spacing w:after="0" w:line="360" w:lineRule="auto"/>
        <w:ind w:right="778"/>
        <w:jc w:val="both"/>
        <w:rPr>
          <w:rFonts w:ascii="Arial" w:hAnsi="Arial" w:cs="Arial"/>
          <w:sz w:val="26"/>
          <w:szCs w:val="26"/>
        </w:rPr>
      </w:pPr>
      <w:r>
        <w:rPr>
          <w:rFonts w:ascii="Arial" w:hAnsi="Arial" w:cs="Arial"/>
          <w:sz w:val="24"/>
          <w:szCs w:val="24"/>
        </w:rPr>
        <w:tab/>
      </w:r>
      <w:r w:rsidR="000024D2" w:rsidRPr="00A7465D">
        <w:rPr>
          <w:rFonts w:ascii="Arial" w:hAnsi="Arial" w:cs="Arial"/>
          <w:sz w:val="26"/>
          <w:szCs w:val="26"/>
        </w:rPr>
        <w:t xml:space="preserve">La determinación de la Auditoría Superior del Estado en la que indica que no aplica en su totalidad el Código de Procedimientos Civiles para el Estado de Oaxaca porque el procedimiento de responsabilidad administrativa resarcitoria es un procedimiento administrativo y no un juicio civil, con lo que es suficiente para no aplicar el Código Adjetivo Civil, es </w:t>
      </w:r>
      <w:r w:rsidR="000024D2" w:rsidRPr="00A7465D">
        <w:rPr>
          <w:rFonts w:ascii="Arial" w:hAnsi="Arial" w:cs="Arial"/>
          <w:b/>
          <w:sz w:val="26"/>
          <w:szCs w:val="26"/>
        </w:rPr>
        <w:t xml:space="preserve">ilegal </w:t>
      </w:r>
      <w:r w:rsidR="000024D2" w:rsidRPr="00A7465D">
        <w:rPr>
          <w:rFonts w:ascii="Arial" w:hAnsi="Arial" w:cs="Arial"/>
          <w:sz w:val="26"/>
          <w:szCs w:val="26"/>
        </w:rPr>
        <w:t xml:space="preserve">porque en manera alguna se trata de un argumento jurídico el que otorga, si bien el  procedimiento resarcitorio no constituye un juicio civil porque se trata de un procedimiento administrativo y no jurisdiccional, también es cierto que el artículo SEXTO TRANSITORIO de la Ley de Fiscalización Superior del Estado estatuye que dicho ordenamiento legal es supletorio a esa ley, desde luego que en la parte procesal, y siempre que no exista disposición expresa en la comentada ley o bien algún artículo que sea contrario, pero de ninguna manera puede la enjuiciada sostener su inaplicación del referido código en el argumento que vierte, máxime que omite indicar </w:t>
      </w:r>
      <w:proofErr w:type="spellStart"/>
      <w:r w:rsidR="000024D2" w:rsidRPr="00A7465D">
        <w:rPr>
          <w:rFonts w:ascii="Arial" w:hAnsi="Arial" w:cs="Arial"/>
          <w:sz w:val="26"/>
          <w:szCs w:val="26"/>
        </w:rPr>
        <w:t>cual</w:t>
      </w:r>
      <w:proofErr w:type="spellEnd"/>
      <w:r w:rsidR="000024D2" w:rsidRPr="00A7465D">
        <w:rPr>
          <w:rFonts w:ascii="Arial" w:hAnsi="Arial" w:cs="Arial"/>
          <w:sz w:val="26"/>
          <w:szCs w:val="26"/>
        </w:rPr>
        <w:t xml:space="preserve"> es el precepto legal en que apoya esta decisión, de ahí que esta parte de su determinación está ausente de fundamentación, lo que implica que su actuación sea invalida y contraria a lo dispuesto por el artículo 16 de la Constitución Federal, que exige que los actos de autoridad estén fundados y motivados. </w:t>
      </w:r>
    </w:p>
    <w:p w:rsidR="000024D2" w:rsidRPr="00A7465D" w:rsidRDefault="000024D2" w:rsidP="00625EB9">
      <w:pPr>
        <w:spacing w:after="0" w:line="360" w:lineRule="auto"/>
        <w:ind w:right="778"/>
        <w:jc w:val="both"/>
        <w:rPr>
          <w:rFonts w:ascii="Arial" w:hAnsi="Arial" w:cs="Arial"/>
          <w:sz w:val="26"/>
          <w:szCs w:val="26"/>
        </w:rPr>
      </w:pPr>
    </w:p>
    <w:p w:rsidR="00096A32" w:rsidRPr="00A7465D" w:rsidRDefault="00096A32" w:rsidP="00096A32">
      <w:pPr>
        <w:spacing w:after="0" w:line="360" w:lineRule="auto"/>
        <w:ind w:firstLine="705"/>
        <w:jc w:val="both"/>
        <w:rPr>
          <w:rFonts w:ascii="Arial" w:hAnsi="Arial" w:cs="Arial"/>
          <w:sz w:val="26"/>
          <w:szCs w:val="26"/>
        </w:rPr>
      </w:pPr>
      <w:r w:rsidRPr="00A7465D">
        <w:rPr>
          <w:rFonts w:ascii="Arial" w:hAnsi="Arial" w:cs="Arial"/>
          <w:sz w:val="26"/>
          <w:szCs w:val="26"/>
        </w:rPr>
        <w:t xml:space="preserve">Por último, también refieren ilegalidad en la resolución de 29 veintinueve de septiembre de 2017 dos mil diecisiete dictada por el Auditor Superior del Estado dentro del Recurso de Reconsideración ASE/REC.R./056/2017 porque en el RESOLUTIVO PRIMERO se estableció una responsabilidad resarcitoria a los hoy demandantes </w:t>
      </w:r>
      <w:r w:rsidRPr="00A7465D">
        <w:rPr>
          <w:rFonts w:ascii="Arial" w:hAnsi="Arial" w:cs="Arial"/>
          <w:i/>
          <w:sz w:val="26"/>
          <w:szCs w:val="26"/>
        </w:rPr>
        <w:t xml:space="preserve">“…por los daños y perjuicios, causados a la Hacienda Pública Municipal del Municipio de Santiago </w:t>
      </w:r>
      <w:proofErr w:type="spellStart"/>
      <w:r w:rsidRPr="00A7465D">
        <w:rPr>
          <w:rFonts w:ascii="Arial" w:hAnsi="Arial" w:cs="Arial"/>
          <w:i/>
          <w:sz w:val="26"/>
          <w:szCs w:val="26"/>
        </w:rPr>
        <w:t>Tenango</w:t>
      </w:r>
      <w:proofErr w:type="spellEnd"/>
      <w:r w:rsidRPr="00A7465D">
        <w:rPr>
          <w:rFonts w:ascii="Arial" w:hAnsi="Arial" w:cs="Arial"/>
          <w:i/>
          <w:sz w:val="26"/>
          <w:szCs w:val="26"/>
        </w:rPr>
        <w:t xml:space="preserve">, Distrito de </w:t>
      </w:r>
      <w:proofErr w:type="spellStart"/>
      <w:r w:rsidRPr="00A7465D">
        <w:rPr>
          <w:rFonts w:ascii="Arial" w:hAnsi="Arial" w:cs="Arial"/>
          <w:i/>
          <w:sz w:val="26"/>
          <w:szCs w:val="26"/>
        </w:rPr>
        <w:t>Etla</w:t>
      </w:r>
      <w:proofErr w:type="spellEnd"/>
      <w:r w:rsidRPr="00A7465D">
        <w:rPr>
          <w:rFonts w:ascii="Arial" w:hAnsi="Arial" w:cs="Arial"/>
          <w:i/>
          <w:sz w:val="26"/>
          <w:szCs w:val="26"/>
        </w:rPr>
        <w:t>, Oaxaca, durante el ejercicio fiscal dos mil diez, fincando responsabilidad resarcitoria a los recurrentes…”</w:t>
      </w:r>
      <w:r w:rsidRPr="00A7465D">
        <w:rPr>
          <w:rFonts w:ascii="Arial" w:hAnsi="Arial" w:cs="Arial"/>
          <w:sz w:val="26"/>
          <w:szCs w:val="26"/>
        </w:rPr>
        <w:t xml:space="preserve">. </w:t>
      </w:r>
    </w:p>
    <w:p w:rsidR="00096A32" w:rsidRPr="00A7465D" w:rsidRDefault="00096A32" w:rsidP="00096A32">
      <w:pPr>
        <w:spacing w:after="0" w:line="360" w:lineRule="auto"/>
        <w:ind w:firstLine="705"/>
        <w:jc w:val="both"/>
        <w:rPr>
          <w:rFonts w:ascii="Arial" w:hAnsi="Arial" w:cs="Arial"/>
          <w:sz w:val="26"/>
          <w:szCs w:val="26"/>
        </w:rPr>
      </w:pPr>
    </w:p>
    <w:p w:rsidR="00096A32" w:rsidRPr="00A7465D" w:rsidRDefault="00096A32" w:rsidP="00096A32">
      <w:pPr>
        <w:spacing w:after="0" w:line="360" w:lineRule="auto"/>
        <w:ind w:firstLine="705"/>
        <w:jc w:val="both"/>
        <w:rPr>
          <w:rFonts w:ascii="Arial" w:hAnsi="Arial" w:cs="Arial"/>
          <w:sz w:val="26"/>
          <w:szCs w:val="26"/>
        </w:rPr>
      </w:pPr>
      <w:r w:rsidRPr="00A7465D">
        <w:rPr>
          <w:rFonts w:ascii="Arial" w:hAnsi="Arial" w:cs="Arial"/>
          <w:sz w:val="26"/>
          <w:szCs w:val="26"/>
        </w:rPr>
        <w:t xml:space="preserve">Y, aducen ilegalidad porque refieren que no han tenido ningún cargo como servidores públicos del Municipio de Santiago </w:t>
      </w:r>
      <w:proofErr w:type="spellStart"/>
      <w:r w:rsidRPr="00A7465D">
        <w:rPr>
          <w:rFonts w:ascii="Arial" w:hAnsi="Arial" w:cs="Arial"/>
          <w:sz w:val="26"/>
          <w:szCs w:val="26"/>
        </w:rPr>
        <w:t>Tenango</w:t>
      </w:r>
      <w:proofErr w:type="spellEnd"/>
      <w:r w:rsidRPr="00A7465D">
        <w:rPr>
          <w:rFonts w:ascii="Arial" w:hAnsi="Arial" w:cs="Arial"/>
          <w:sz w:val="26"/>
          <w:szCs w:val="26"/>
        </w:rPr>
        <w:t xml:space="preserve">, Distrito de </w:t>
      </w:r>
      <w:proofErr w:type="spellStart"/>
      <w:r w:rsidRPr="00A7465D">
        <w:rPr>
          <w:rFonts w:ascii="Arial" w:hAnsi="Arial" w:cs="Arial"/>
          <w:sz w:val="26"/>
          <w:szCs w:val="26"/>
        </w:rPr>
        <w:t>Etla</w:t>
      </w:r>
      <w:proofErr w:type="spellEnd"/>
      <w:r w:rsidRPr="00A7465D">
        <w:rPr>
          <w:rFonts w:ascii="Arial" w:hAnsi="Arial" w:cs="Arial"/>
          <w:sz w:val="26"/>
          <w:szCs w:val="26"/>
        </w:rPr>
        <w:t xml:space="preserve">, Oaxaca, virtud que ellos se desempeñaron como Presidente Municipal, Síndico Municipal, Regidor de Hacienda y Tesorero Municipal, todos del Municipio de Santiago </w:t>
      </w:r>
      <w:proofErr w:type="spellStart"/>
      <w:r w:rsidRPr="00A7465D">
        <w:rPr>
          <w:rFonts w:ascii="Arial" w:hAnsi="Arial" w:cs="Arial"/>
          <w:sz w:val="26"/>
          <w:szCs w:val="26"/>
        </w:rPr>
        <w:t>Juxtlahuaca</w:t>
      </w:r>
      <w:proofErr w:type="spellEnd"/>
      <w:r w:rsidRPr="00A7465D">
        <w:rPr>
          <w:rFonts w:ascii="Arial" w:hAnsi="Arial" w:cs="Arial"/>
          <w:sz w:val="26"/>
          <w:szCs w:val="26"/>
        </w:rPr>
        <w:t xml:space="preserve">, de ahí que la resolución resulte incongruente y por ende ilegal. </w:t>
      </w:r>
    </w:p>
    <w:p w:rsidR="00096A32" w:rsidRPr="00A7465D" w:rsidRDefault="00096A32" w:rsidP="00096A32">
      <w:pPr>
        <w:spacing w:after="0" w:line="360" w:lineRule="auto"/>
        <w:ind w:left="851" w:right="778"/>
        <w:jc w:val="both"/>
        <w:rPr>
          <w:rFonts w:ascii="Arial" w:hAnsi="Arial" w:cs="Arial"/>
          <w:i/>
          <w:sz w:val="26"/>
          <w:szCs w:val="26"/>
        </w:rPr>
      </w:pPr>
    </w:p>
    <w:p w:rsidR="000024D2" w:rsidRPr="00A7465D" w:rsidRDefault="000024D2" w:rsidP="00096A32">
      <w:pPr>
        <w:spacing w:after="0" w:line="360" w:lineRule="auto"/>
        <w:ind w:left="851" w:right="778"/>
        <w:jc w:val="both"/>
        <w:rPr>
          <w:rFonts w:ascii="Arial" w:hAnsi="Arial" w:cs="Arial"/>
          <w:sz w:val="26"/>
          <w:szCs w:val="26"/>
        </w:rPr>
      </w:pPr>
      <w:r w:rsidRPr="00A7465D">
        <w:rPr>
          <w:rFonts w:ascii="Arial" w:hAnsi="Arial" w:cs="Arial"/>
          <w:sz w:val="26"/>
          <w:szCs w:val="26"/>
        </w:rPr>
        <w:t>En este punto, la resolución combatida es como sigue:</w:t>
      </w:r>
    </w:p>
    <w:p w:rsidR="00096A32" w:rsidRDefault="00096A32" w:rsidP="00096A32">
      <w:pPr>
        <w:spacing w:after="0" w:line="360" w:lineRule="auto"/>
        <w:ind w:left="851" w:right="778"/>
        <w:jc w:val="both"/>
        <w:rPr>
          <w:rFonts w:ascii="Arial" w:hAnsi="Arial" w:cs="Arial"/>
          <w:i/>
          <w:sz w:val="24"/>
          <w:szCs w:val="24"/>
        </w:rPr>
      </w:pPr>
    </w:p>
    <w:p w:rsidR="006A6E7E" w:rsidRDefault="003557D5" w:rsidP="00096A32">
      <w:pPr>
        <w:spacing w:after="0" w:line="360" w:lineRule="auto"/>
        <w:ind w:left="851" w:right="778"/>
        <w:jc w:val="both"/>
        <w:rPr>
          <w:rFonts w:ascii="Arial" w:hAnsi="Arial" w:cs="Arial"/>
          <w:i/>
          <w:color w:val="FF0000"/>
          <w:sz w:val="24"/>
          <w:szCs w:val="24"/>
        </w:rPr>
      </w:pPr>
      <w:r>
        <w:rPr>
          <w:noProof/>
          <w:lang w:val="es-MX" w:eastAsia="es-MX"/>
        </w:rPr>
        <mc:AlternateContent>
          <mc:Choice Requires="wps">
            <w:drawing>
              <wp:anchor distT="0" distB="0" distL="114300" distR="114300" simplePos="0" relativeHeight="251668992" behindDoc="0" locked="0" layoutInCell="1" allowOverlap="1" wp14:anchorId="095761A3" wp14:editId="784970F2">
                <wp:simplePos x="0" y="0"/>
                <wp:positionH relativeFrom="column">
                  <wp:posOffset>5520905</wp:posOffset>
                </wp:positionH>
                <wp:positionV relativeFrom="paragraph">
                  <wp:posOffset>4244208</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61A3" id="Cuadro de texto 11" o:spid="_x0000_s1035" type="#_x0000_t202" style="position:absolute;left:0;text-align:left;margin-left:434.7pt;margin-top:334.2pt;width:84.75pt;height:5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0024D2">
        <w:rPr>
          <w:rFonts w:ascii="Arial" w:hAnsi="Arial" w:cs="Arial"/>
          <w:b/>
          <w:i/>
          <w:sz w:val="24"/>
          <w:szCs w:val="24"/>
        </w:rPr>
        <w:t>“…</w:t>
      </w:r>
      <w:r w:rsidR="006A6E7E">
        <w:rPr>
          <w:rFonts w:ascii="Arial" w:hAnsi="Arial" w:cs="Arial"/>
          <w:b/>
          <w:i/>
          <w:sz w:val="24"/>
          <w:szCs w:val="24"/>
        </w:rPr>
        <w:t xml:space="preserve">PRIMERO.- </w:t>
      </w:r>
      <w:r w:rsidR="006A6E7E">
        <w:rPr>
          <w:rFonts w:ascii="Arial" w:hAnsi="Arial" w:cs="Arial"/>
          <w:i/>
          <w:sz w:val="24"/>
          <w:szCs w:val="24"/>
        </w:rPr>
        <w:t xml:space="preserve">Por las razones expuestas en el considerando TERCERO de la presente resolución, esta Auditoría Superior del Estado de Oaxaca, </w:t>
      </w:r>
      <w:r w:rsidR="006A6E7E">
        <w:rPr>
          <w:rFonts w:ascii="Arial" w:hAnsi="Arial" w:cs="Arial"/>
          <w:b/>
          <w:i/>
          <w:sz w:val="24"/>
          <w:szCs w:val="24"/>
        </w:rPr>
        <w:t xml:space="preserve">CONFIRMA LA RESOLUCIÓN DE FECHA SEIS DE OCTUBRE DE DOS MIL DIECISÉIS, </w:t>
      </w:r>
      <w:r w:rsidR="006A6E7E">
        <w:rPr>
          <w:rFonts w:ascii="Arial" w:hAnsi="Arial" w:cs="Arial"/>
          <w:i/>
          <w:sz w:val="24"/>
          <w:szCs w:val="24"/>
        </w:rPr>
        <w:t xml:space="preserve">en contra de los ciudadanos </w:t>
      </w:r>
      <w:r w:rsidR="006A6E7E">
        <w:rPr>
          <w:rFonts w:ascii="Arial" w:hAnsi="Arial" w:cs="Arial"/>
          <w:b/>
          <w:i/>
          <w:sz w:val="24"/>
          <w:szCs w:val="24"/>
        </w:rPr>
        <w:t xml:space="preserve">Miguel Victorino Mejía Sierra, </w:t>
      </w:r>
      <w:r w:rsidR="006A6E7E">
        <w:rPr>
          <w:rFonts w:ascii="Arial" w:hAnsi="Arial" w:cs="Arial"/>
          <w:i/>
          <w:sz w:val="24"/>
          <w:szCs w:val="24"/>
        </w:rPr>
        <w:t xml:space="preserve">quien fungió como Presidente Municipal, </w:t>
      </w:r>
      <w:r w:rsidR="009A2742">
        <w:rPr>
          <w:rFonts w:ascii="Arial" w:hAnsi="Arial" w:cs="Arial"/>
          <w:b/>
          <w:i/>
          <w:sz w:val="24"/>
          <w:szCs w:val="24"/>
        </w:rPr>
        <w:t>**********</w:t>
      </w:r>
      <w:r w:rsidR="006A6E7E">
        <w:rPr>
          <w:rFonts w:ascii="Arial" w:hAnsi="Arial" w:cs="Arial"/>
          <w:b/>
          <w:i/>
          <w:sz w:val="24"/>
          <w:szCs w:val="24"/>
        </w:rPr>
        <w:t xml:space="preserve">, </w:t>
      </w:r>
      <w:r w:rsidR="006A6E7E">
        <w:rPr>
          <w:rFonts w:ascii="Arial" w:hAnsi="Arial" w:cs="Arial"/>
          <w:i/>
          <w:sz w:val="24"/>
          <w:szCs w:val="24"/>
        </w:rPr>
        <w:t xml:space="preserve">quien fungió como Síndico Municipal, </w:t>
      </w:r>
      <w:r w:rsidR="009A2742">
        <w:rPr>
          <w:rFonts w:ascii="Arial" w:hAnsi="Arial" w:cs="Arial"/>
          <w:b/>
          <w:i/>
          <w:sz w:val="24"/>
          <w:szCs w:val="24"/>
        </w:rPr>
        <w:t>**********</w:t>
      </w:r>
      <w:r w:rsidR="006A6E7E">
        <w:rPr>
          <w:rFonts w:ascii="Arial" w:hAnsi="Arial" w:cs="Arial"/>
          <w:b/>
          <w:i/>
          <w:sz w:val="24"/>
          <w:szCs w:val="24"/>
        </w:rPr>
        <w:t xml:space="preserve">, </w:t>
      </w:r>
      <w:r w:rsidR="006A6E7E">
        <w:rPr>
          <w:rFonts w:ascii="Arial" w:hAnsi="Arial" w:cs="Arial"/>
          <w:i/>
          <w:sz w:val="24"/>
          <w:szCs w:val="24"/>
        </w:rPr>
        <w:t xml:space="preserve">Regidor de Hacienda y </w:t>
      </w:r>
      <w:r w:rsidR="009A2742">
        <w:rPr>
          <w:rFonts w:ascii="Arial" w:hAnsi="Arial" w:cs="Arial"/>
          <w:b/>
          <w:i/>
          <w:sz w:val="24"/>
          <w:szCs w:val="24"/>
        </w:rPr>
        <w:t>**********</w:t>
      </w:r>
      <w:r w:rsidR="006A6E7E">
        <w:rPr>
          <w:rFonts w:ascii="Arial" w:hAnsi="Arial" w:cs="Arial"/>
          <w:b/>
          <w:i/>
          <w:sz w:val="24"/>
          <w:szCs w:val="24"/>
        </w:rPr>
        <w:t xml:space="preserve">, </w:t>
      </w:r>
      <w:r w:rsidR="006A6E7E">
        <w:rPr>
          <w:rFonts w:ascii="Arial" w:hAnsi="Arial" w:cs="Arial"/>
          <w:i/>
          <w:sz w:val="24"/>
          <w:szCs w:val="24"/>
        </w:rPr>
        <w:t xml:space="preserve">quien fungió como Tesorero Municipal todos del Municipio de </w:t>
      </w:r>
      <w:r w:rsidR="006A6E7E">
        <w:rPr>
          <w:rFonts w:ascii="Arial" w:hAnsi="Arial" w:cs="Arial"/>
          <w:b/>
          <w:i/>
          <w:sz w:val="24"/>
          <w:szCs w:val="24"/>
        </w:rPr>
        <w:t xml:space="preserve">Santiago </w:t>
      </w:r>
      <w:proofErr w:type="spellStart"/>
      <w:r w:rsidR="006A6E7E">
        <w:rPr>
          <w:rFonts w:ascii="Arial" w:hAnsi="Arial" w:cs="Arial"/>
          <w:b/>
          <w:i/>
          <w:sz w:val="24"/>
          <w:szCs w:val="24"/>
        </w:rPr>
        <w:t>Juxtlahuaca</w:t>
      </w:r>
      <w:proofErr w:type="spellEnd"/>
      <w:r w:rsidR="006A6E7E">
        <w:rPr>
          <w:rFonts w:ascii="Arial" w:hAnsi="Arial" w:cs="Arial"/>
          <w:b/>
          <w:i/>
          <w:sz w:val="24"/>
          <w:szCs w:val="24"/>
        </w:rPr>
        <w:t xml:space="preserve">, Distrito de </w:t>
      </w:r>
      <w:proofErr w:type="spellStart"/>
      <w:r w:rsidR="006A6E7E">
        <w:rPr>
          <w:rFonts w:ascii="Arial" w:hAnsi="Arial" w:cs="Arial"/>
          <w:b/>
          <w:i/>
          <w:sz w:val="24"/>
          <w:szCs w:val="24"/>
        </w:rPr>
        <w:t>Juxtlahuaca</w:t>
      </w:r>
      <w:proofErr w:type="spellEnd"/>
      <w:r w:rsidR="006A6E7E">
        <w:rPr>
          <w:rFonts w:ascii="Arial" w:hAnsi="Arial" w:cs="Arial"/>
          <w:b/>
          <w:i/>
          <w:sz w:val="24"/>
          <w:szCs w:val="24"/>
        </w:rPr>
        <w:t>, Oaxaca</w:t>
      </w:r>
      <w:r w:rsidR="00096A32">
        <w:rPr>
          <w:rFonts w:ascii="Arial" w:hAnsi="Arial" w:cs="Arial"/>
          <w:i/>
          <w:sz w:val="24"/>
          <w:szCs w:val="24"/>
        </w:rPr>
        <w:t xml:space="preserve">, durante el ejercicio fiscal dos mil doce, en la que se les condenó a título de indemnización a pagar las cantidades siguientes: a los Ciudadanos </w:t>
      </w:r>
      <w:r w:rsidR="009A2742">
        <w:rPr>
          <w:rFonts w:ascii="Arial" w:hAnsi="Arial" w:cs="Arial"/>
          <w:b/>
          <w:i/>
          <w:sz w:val="24"/>
          <w:szCs w:val="24"/>
        </w:rPr>
        <w:t>**********</w:t>
      </w:r>
      <w:r w:rsidR="00096A32">
        <w:rPr>
          <w:rFonts w:ascii="Arial" w:hAnsi="Arial" w:cs="Arial"/>
          <w:b/>
          <w:i/>
          <w:sz w:val="24"/>
          <w:szCs w:val="24"/>
        </w:rPr>
        <w:t xml:space="preserve">, </w:t>
      </w:r>
      <w:r w:rsidR="00096A32">
        <w:rPr>
          <w:rFonts w:ascii="Arial" w:hAnsi="Arial" w:cs="Arial"/>
          <w:i/>
          <w:sz w:val="24"/>
          <w:szCs w:val="24"/>
        </w:rPr>
        <w:t xml:space="preserve"> a pagar cada uno la cantidad de </w:t>
      </w:r>
      <w:r w:rsidR="00096A32">
        <w:rPr>
          <w:rFonts w:ascii="Arial" w:hAnsi="Arial" w:cs="Arial"/>
          <w:b/>
          <w:i/>
          <w:sz w:val="24"/>
          <w:szCs w:val="24"/>
        </w:rPr>
        <w:t xml:space="preserve">$10,527,333.85 (DIEZ MILLONES QUINIENTOS VEINTISIETE MIL TRESCIENTOS TREINTA Y TRES PESOS 85/100 M.N.) </w:t>
      </w:r>
      <w:r w:rsidR="00096A32">
        <w:rPr>
          <w:rFonts w:ascii="Arial" w:hAnsi="Arial" w:cs="Arial"/>
          <w:i/>
          <w:sz w:val="24"/>
          <w:szCs w:val="24"/>
        </w:rPr>
        <w:t xml:space="preserve">por los daños y perjuicios, causados en la Hacienda Pública Municipal del Municipio de Santiago </w:t>
      </w:r>
      <w:proofErr w:type="spellStart"/>
      <w:r w:rsidR="00096A32">
        <w:rPr>
          <w:rFonts w:ascii="Arial" w:hAnsi="Arial" w:cs="Arial"/>
          <w:i/>
          <w:sz w:val="24"/>
          <w:szCs w:val="24"/>
        </w:rPr>
        <w:t>Tenango</w:t>
      </w:r>
      <w:proofErr w:type="spellEnd"/>
      <w:r w:rsidR="00096A32">
        <w:rPr>
          <w:rFonts w:ascii="Arial" w:hAnsi="Arial" w:cs="Arial"/>
          <w:i/>
          <w:sz w:val="24"/>
          <w:szCs w:val="24"/>
        </w:rPr>
        <w:t xml:space="preserve">, Distrito de </w:t>
      </w:r>
      <w:proofErr w:type="spellStart"/>
      <w:r w:rsidR="00096A32">
        <w:rPr>
          <w:rFonts w:ascii="Arial" w:hAnsi="Arial" w:cs="Arial"/>
          <w:i/>
          <w:sz w:val="24"/>
          <w:szCs w:val="24"/>
        </w:rPr>
        <w:t>Etla</w:t>
      </w:r>
      <w:proofErr w:type="spellEnd"/>
      <w:r w:rsidR="00096A32">
        <w:rPr>
          <w:rFonts w:ascii="Arial" w:hAnsi="Arial" w:cs="Arial"/>
          <w:i/>
          <w:sz w:val="24"/>
          <w:szCs w:val="24"/>
        </w:rPr>
        <w:t xml:space="preserve">, Oaxaca, durante el ejercicio fiscal dos mil diez, fincando responsabilidad resarcitoria a los </w:t>
      </w:r>
      <w:r w:rsidR="00096A32" w:rsidRPr="00A7465D">
        <w:rPr>
          <w:rFonts w:ascii="Arial" w:hAnsi="Arial" w:cs="Arial"/>
          <w:i/>
          <w:sz w:val="24"/>
          <w:szCs w:val="24"/>
        </w:rPr>
        <w:t>recurrentes mencionados…”</w:t>
      </w:r>
    </w:p>
    <w:p w:rsidR="00F6232C" w:rsidRDefault="00F6232C" w:rsidP="00096A32">
      <w:pPr>
        <w:spacing w:after="0" w:line="360" w:lineRule="auto"/>
        <w:ind w:left="851" w:right="778"/>
        <w:jc w:val="both"/>
        <w:rPr>
          <w:rFonts w:ascii="Arial" w:hAnsi="Arial" w:cs="Arial"/>
          <w:i/>
          <w:color w:val="FF0000"/>
          <w:sz w:val="24"/>
          <w:szCs w:val="24"/>
        </w:rPr>
      </w:pPr>
    </w:p>
    <w:p w:rsidR="00217636" w:rsidRPr="00A7465D" w:rsidRDefault="00F6232C" w:rsidP="00E77215">
      <w:pPr>
        <w:spacing w:after="0" w:line="360" w:lineRule="auto"/>
        <w:ind w:left="142" w:firstLine="566"/>
        <w:jc w:val="both"/>
        <w:rPr>
          <w:rFonts w:ascii="Arial" w:hAnsi="Arial" w:cs="Arial"/>
          <w:sz w:val="26"/>
          <w:szCs w:val="26"/>
        </w:rPr>
      </w:pPr>
      <w:r w:rsidRPr="00A7465D">
        <w:rPr>
          <w:rFonts w:ascii="Arial" w:hAnsi="Arial" w:cs="Arial"/>
          <w:sz w:val="26"/>
          <w:szCs w:val="26"/>
        </w:rPr>
        <w:t>La resolución definitiva o la sentencia constituye el acto procesal por el cual se pone fin a un procedimiento, administrativo o jurisdicci</w:t>
      </w:r>
      <w:r w:rsidR="00324718" w:rsidRPr="00A7465D">
        <w:rPr>
          <w:rFonts w:ascii="Arial" w:hAnsi="Arial" w:cs="Arial"/>
          <w:sz w:val="26"/>
          <w:szCs w:val="26"/>
        </w:rPr>
        <w:t xml:space="preserve">onal. </w:t>
      </w:r>
    </w:p>
    <w:p w:rsidR="00324718" w:rsidRPr="00A7465D" w:rsidRDefault="00324718" w:rsidP="00E77215">
      <w:pPr>
        <w:spacing w:after="0" w:line="360" w:lineRule="auto"/>
        <w:ind w:left="142"/>
        <w:jc w:val="both"/>
        <w:rPr>
          <w:rFonts w:ascii="Arial" w:hAnsi="Arial" w:cs="Arial"/>
          <w:sz w:val="26"/>
          <w:szCs w:val="26"/>
        </w:rPr>
      </w:pPr>
      <w:r w:rsidRPr="00A7465D">
        <w:rPr>
          <w:rFonts w:ascii="Arial" w:hAnsi="Arial" w:cs="Arial"/>
          <w:sz w:val="26"/>
          <w:szCs w:val="26"/>
        </w:rPr>
        <w:t xml:space="preserve">En el procedimiento administrativo se debe respetar la garantía de audiencia, por ello, “la administración antes de pronunciase y dictar </w:t>
      </w:r>
      <w:r w:rsidRPr="00A7465D">
        <w:rPr>
          <w:rFonts w:ascii="Arial" w:hAnsi="Arial" w:cs="Arial"/>
          <w:b/>
          <w:i/>
          <w:sz w:val="26"/>
          <w:szCs w:val="26"/>
        </w:rPr>
        <w:t>resolución</w:t>
      </w:r>
      <w:r w:rsidRPr="00A7465D">
        <w:rPr>
          <w:rFonts w:ascii="Arial" w:hAnsi="Arial" w:cs="Arial"/>
          <w:sz w:val="26"/>
          <w:szCs w:val="26"/>
        </w:rPr>
        <w:t xml:space="preserve">, conoce la realidad concreta que examina y oye a los administrados con la amplitud necesaria, recibiendo y valorando las pruebas que éstos presentan y analizando las razones de hecho y de </w:t>
      </w:r>
      <w:r w:rsidRPr="00A7465D">
        <w:rPr>
          <w:rFonts w:ascii="Arial" w:hAnsi="Arial" w:cs="Arial"/>
          <w:sz w:val="26"/>
          <w:szCs w:val="26"/>
        </w:rPr>
        <w:lastRenderedPageBreak/>
        <w:t>derecho que se deduzcan para evitar pretensiones que puedan resultar injustas o ilegales.”</w:t>
      </w:r>
      <w:r w:rsidRPr="00A7465D">
        <w:rPr>
          <w:rStyle w:val="Refdenotaalpie"/>
          <w:rFonts w:ascii="Arial" w:hAnsi="Arial" w:cs="Arial"/>
          <w:sz w:val="26"/>
          <w:szCs w:val="26"/>
        </w:rPr>
        <w:footnoteReference w:id="4"/>
      </w:r>
    </w:p>
    <w:p w:rsidR="00324718" w:rsidRPr="00A7465D" w:rsidRDefault="00324718" w:rsidP="00E77215">
      <w:pPr>
        <w:spacing w:after="0" w:line="360" w:lineRule="auto"/>
        <w:ind w:left="142"/>
        <w:jc w:val="both"/>
        <w:rPr>
          <w:rFonts w:ascii="Arial" w:hAnsi="Arial" w:cs="Arial"/>
          <w:sz w:val="26"/>
          <w:szCs w:val="26"/>
        </w:rPr>
      </w:pPr>
    </w:p>
    <w:p w:rsidR="00324718" w:rsidRPr="00A7465D" w:rsidRDefault="00324718" w:rsidP="00E77215">
      <w:pPr>
        <w:spacing w:after="0" w:line="360" w:lineRule="auto"/>
        <w:ind w:left="142"/>
        <w:jc w:val="both"/>
        <w:rPr>
          <w:rFonts w:ascii="Arial" w:hAnsi="Arial" w:cs="Arial"/>
          <w:i/>
          <w:sz w:val="26"/>
          <w:szCs w:val="26"/>
        </w:rPr>
      </w:pPr>
      <w:r w:rsidRPr="00A7465D">
        <w:rPr>
          <w:rFonts w:ascii="Arial" w:hAnsi="Arial" w:cs="Arial"/>
          <w:sz w:val="26"/>
          <w:szCs w:val="26"/>
        </w:rPr>
        <w:tab/>
        <w:t>De esto se tiene entonces que al finalizar el procedimiento la autoridad administrativa dictará una resolución</w:t>
      </w:r>
      <w:r w:rsidR="006C616B" w:rsidRPr="00A7465D">
        <w:rPr>
          <w:rFonts w:ascii="Arial" w:hAnsi="Arial" w:cs="Arial"/>
          <w:sz w:val="26"/>
          <w:szCs w:val="26"/>
        </w:rPr>
        <w:t xml:space="preserve">, la cual es de naturaleza administrativa, pero que al igual que las sentencias jurisdiccionales debe contener elementos formales como son: </w:t>
      </w:r>
      <w:r w:rsidR="006C616B" w:rsidRPr="00A7465D">
        <w:rPr>
          <w:rFonts w:ascii="Arial" w:hAnsi="Arial" w:cs="Arial"/>
          <w:b/>
          <w:sz w:val="26"/>
          <w:szCs w:val="26"/>
        </w:rPr>
        <w:t xml:space="preserve">a) </w:t>
      </w:r>
      <w:r w:rsidR="006C616B" w:rsidRPr="00A7465D">
        <w:rPr>
          <w:rFonts w:ascii="Arial" w:hAnsi="Arial" w:cs="Arial"/>
          <w:sz w:val="26"/>
          <w:szCs w:val="26"/>
        </w:rPr>
        <w:t xml:space="preserve">la relación de los hechos de la controversia, </w:t>
      </w:r>
      <w:r w:rsidR="006C616B" w:rsidRPr="00A7465D">
        <w:rPr>
          <w:rFonts w:ascii="Arial" w:hAnsi="Arial" w:cs="Arial"/>
          <w:b/>
          <w:sz w:val="26"/>
          <w:szCs w:val="26"/>
        </w:rPr>
        <w:t xml:space="preserve">b) </w:t>
      </w:r>
      <w:r w:rsidR="006C616B" w:rsidRPr="00A7465D">
        <w:rPr>
          <w:rFonts w:ascii="Arial" w:hAnsi="Arial" w:cs="Arial"/>
          <w:sz w:val="26"/>
          <w:szCs w:val="26"/>
        </w:rPr>
        <w:t xml:space="preserve">las consideraciones y fundamentos legales y </w:t>
      </w:r>
      <w:r w:rsidR="006C616B" w:rsidRPr="00A7465D">
        <w:rPr>
          <w:rFonts w:ascii="Arial" w:hAnsi="Arial" w:cs="Arial"/>
          <w:b/>
          <w:sz w:val="26"/>
          <w:szCs w:val="26"/>
        </w:rPr>
        <w:t xml:space="preserve">c) </w:t>
      </w:r>
      <w:r w:rsidR="006C616B" w:rsidRPr="00A7465D">
        <w:rPr>
          <w:rFonts w:ascii="Arial" w:hAnsi="Arial" w:cs="Arial"/>
          <w:sz w:val="26"/>
          <w:szCs w:val="26"/>
        </w:rPr>
        <w:t xml:space="preserve"> los puntos resolutivos. Estos tres aspectos corresponden a los tres aspectos tradicionales de </w:t>
      </w:r>
      <w:r w:rsidR="006C616B" w:rsidRPr="00A7465D">
        <w:rPr>
          <w:rFonts w:ascii="Arial" w:hAnsi="Arial" w:cs="Arial"/>
          <w:i/>
          <w:sz w:val="26"/>
          <w:szCs w:val="26"/>
        </w:rPr>
        <w:t xml:space="preserve">resultandos, considerandos </w:t>
      </w:r>
      <w:r w:rsidR="006C616B" w:rsidRPr="00A7465D">
        <w:rPr>
          <w:rFonts w:ascii="Arial" w:hAnsi="Arial" w:cs="Arial"/>
          <w:sz w:val="26"/>
          <w:szCs w:val="26"/>
        </w:rPr>
        <w:t xml:space="preserve">y </w:t>
      </w:r>
      <w:r w:rsidR="006C616B" w:rsidRPr="00A7465D">
        <w:rPr>
          <w:rFonts w:ascii="Arial" w:hAnsi="Arial" w:cs="Arial"/>
          <w:i/>
          <w:sz w:val="26"/>
          <w:szCs w:val="26"/>
        </w:rPr>
        <w:t>puntos resolutivos.</w:t>
      </w:r>
      <w:r w:rsidR="006C616B" w:rsidRPr="00A7465D">
        <w:rPr>
          <w:rStyle w:val="Refdenotaalpie"/>
          <w:rFonts w:ascii="Arial" w:hAnsi="Arial" w:cs="Arial"/>
          <w:i/>
          <w:sz w:val="26"/>
          <w:szCs w:val="26"/>
        </w:rPr>
        <w:footnoteReference w:id="5"/>
      </w:r>
      <w:r w:rsidR="006C616B" w:rsidRPr="00A7465D">
        <w:rPr>
          <w:rFonts w:ascii="Arial" w:hAnsi="Arial" w:cs="Arial"/>
          <w:i/>
          <w:sz w:val="26"/>
          <w:szCs w:val="26"/>
        </w:rPr>
        <w:t xml:space="preserve"> </w:t>
      </w:r>
    </w:p>
    <w:p w:rsidR="006C616B" w:rsidRPr="00A7465D" w:rsidRDefault="006C616B" w:rsidP="00E77215">
      <w:pPr>
        <w:spacing w:after="0" w:line="360" w:lineRule="auto"/>
        <w:ind w:left="142"/>
        <w:jc w:val="both"/>
        <w:rPr>
          <w:rFonts w:ascii="Arial" w:hAnsi="Arial" w:cs="Arial"/>
          <w:i/>
          <w:sz w:val="26"/>
          <w:szCs w:val="26"/>
        </w:rPr>
      </w:pPr>
    </w:p>
    <w:p w:rsidR="006C616B" w:rsidRPr="00A7465D" w:rsidRDefault="006C616B" w:rsidP="00E77215">
      <w:pPr>
        <w:spacing w:after="0" w:line="360" w:lineRule="auto"/>
        <w:ind w:left="142"/>
        <w:jc w:val="both"/>
        <w:rPr>
          <w:rFonts w:ascii="Arial" w:hAnsi="Arial" w:cs="Arial"/>
          <w:sz w:val="26"/>
          <w:szCs w:val="26"/>
        </w:rPr>
      </w:pPr>
      <w:r w:rsidRPr="00A7465D">
        <w:rPr>
          <w:rFonts w:ascii="Arial" w:hAnsi="Arial" w:cs="Arial"/>
          <w:sz w:val="26"/>
          <w:szCs w:val="26"/>
        </w:rPr>
        <w:tab/>
        <w:t xml:space="preserve">Los puntos resolutivos, constituyen las declaraciones sintetizadas de las consideraciones de la resolución, por tanto, su contenido está basado en los argumentos y fundamentos que integran las razones de la resolución, luego en los puntos resolutivos no se contiene alguna deliberación respecto al fondo de la asunto, ya que sólo sintetizan lo expuesto en el cuerpo de la resolución o considerandos. </w:t>
      </w:r>
      <w:r w:rsidR="00E77215" w:rsidRPr="00A7465D">
        <w:rPr>
          <w:rFonts w:ascii="Arial" w:hAnsi="Arial" w:cs="Arial"/>
          <w:sz w:val="26"/>
          <w:szCs w:val="26"/>
        </w:rPr>
        <w:t xml:space="preserve">Pues la parte de la resolución que rige la misma, es la relativa a los considerandos ya que en ellos se contienen las decisiones del fondo de la cuestión planteada. </w:t>
      </w:r>
    </w:p>
    <w:p w:rsidR="006C616B" w:rsidRPr="00A7465D" w:rsidRDefault="006C616B" w:rsidP="00E77215">
      <w:pPr>
        <w:spacing w:after="0" w:line="360" w:lineRule="auto"/>
        <w:ind w:left="142"/>
        <w:jc w:val="both"/>
        <w:rPr>
          <w:rFonts w:ascii="Arial" w:hAnsi="Arial" w:cs="Arial"/>
          <w:sz w:val="26"/>
          <w:szCs w:val="26"/>
        </w:rPr>
      </w:pPr>
    </w:p>
    <w:p w:rsidR="006C616B" w:rsidRPr="00A7465D" w:rsidRDefault="006C616B" w:rsidP="00E77215">
      <w:pPr>
        <w:spacing w:after="0" w:line="360" w:lineRule="auto"/>
        <w:ind w:left="142"/>
        <w:jc w:val="both"/>
        <w:rPr>
          <w:rFonts w:ascii="Arial" w:hAnsi="Arial" w:cs="Arial"/>
          <w:sz w:val="26"/>
          <w:szCs w:val="26"/>
        </w:rPr>
      </w:pPr>
      <w:r w:rsidRPr="00A7465D">
        <w:rPr>
          <w:rFonts w:ascii="Arial" w:hAnsi="Arial" w:cs="Arial"/>
          <w:sz w:val="26"/>
          <w:szCs w:val="26"/>
        </w:rPr>
        <w:tab/>
        <w:t xml:space="preserve">En este sentido, los puntos resolutivos por sí mismos, no generan una consecuencia de derecho para las partes, sino que sólo de traducen en un acotamiento de todo lo discutido y resuelto en el cuerpo de la </w:t>
      </w:r>
      <w:r w:rsidR="006F4EE3" w:rsidRPr="00A7465D">
        <w:rPr>
          <w:rFonts w:ascii="Arial" w:hAnsi="Arial" w:cs="Arial"/>
          <w:sz w:val="26"/>
          <w:szCs w:val="26"/>
        </w:rPr>
        <w:t>resolución</w:t>
      </w:r>
      <w:r w:rsidRPr="00A7465D">
        <w:rPr>
          <w:rFonts w:ascii="Arial" w:hAnsi="Arial" w:cs="Arial"/>
          <w:sz w:val="26"/>
          <w:szCs w:val="26"/>
        </w:rPr>
        <w:t>.</w:t>
      </w:r>
    </w:p>
    <w:p w:rsidR="006F4EE3" w:rsidRPr="00A7465D" w:rsidRDefault="006F4EE3" w:rsidP="00E77215">
      <w:pPr>
        <w:spacing w:after="0" w:line="360" w:lineRule="auto"/>
        <w:ind w:left="142"/>
        <w:jc w:val="both"/>
        <w:rPr>
          <w:rFonts w:ascii="Arial" w:hAnsi="Arial" w:cs="Arial"/>
          <w:sz w:val="26"/>
          <w:szCs w:val="26"/>
        </w:rPr>
      </w:pPr>
    </w:p>
    <w:p w:rsidR="006F4EE3" w:rsidRPr="00A7465D" w:rsidRDefault="006F4EE3" w:rsidP="00E77215">
      <w:pPr>
        <w:spacing w:after="0" w:line="360" w:lineRule="auto"/>
        <w:ind w:left="142"/>
        <w:jc w:val="both"/>
        <w:rPr>
          <w:rFonts w:ascii="Arial" w:hAnsi="Arial" w:cs="Arial"/>
          <w:sz w:val="26"/>
          <w:szCs w:val="26"/>
        </w:rPr>
      </w:pPr>
      <w:r w:rsidRPr="00A7465D">
        <w:rPr>
          <w:rFonts w:ascii="Arial" w:hAnsi="Arial" w:cs="Arial"/>
          <w:sz w:val="26"/>
          <w:szCs w:val="26"/>
        </w:rPr>
        <w:tab/>
        <w:t xml:space="preserve">Es verdad que para que la resolución guarde un claro y total estado de congruencia, debe existir una consonancia entre lo debatido y resuelto (considerandos) y lo expuesto en los puntos resolutivos, ya que ello brindará una certeza a las partes sobre lo considerado y lo resuelto, </w:t>
      </w:r>
      <w:r w:rsidRPr="00A7465D">
        <w:rPr>
          <w:rFonts w:ascii="Arial" w:hAnsi="Arial" w:cs="Arial"/>
          <w:b/>
          <w:sz w:val="26"/>
          <w:szCs w:val="26"/>
        </w:rPr>
        <w:t xml:space="preserve">empero, </w:t>
      </w:r>
      <w:r w:rsidRPr="00A7465D">
        <w:rPr>
          <w:rFonts w:ascii="Arial" w:hAnsi="Arial" w:cs="Arial"/>
          <w:sz w:val="26"/>
          <w:szCs w:val="26"/>
        </w:rPr>
        <w:t xml:space="preserve">si dentro de las consideraciones expresadas en la resolución existe uniformidad y claridad sobre los puntos debatidos y los datos específicos del expediente (como son nombre de las partes, número de expediente, fecha, lugar, objeto) aun cuando haya un error dentro de los puntos resolutivos ese no es </w:t>
      </w:r>
      <w:r w:rsidRPr="00A7465D">
        <w:rPr>
          <w:rFonts w:ascii="Arial" w:hAnsi="Arial" w:cs="Arial"/>
          <w:sz w:val="26"/>
          <w:szCs w:val="26"/>
        </w:rPr>
        <w:lastRenderedPageBreak/>
        <w:t xml:space="preserve">motivo suficiente para dejar sin efectos una resolución, virtud que dicho error puede ser subsanado, al tratarse de errores de forma y no así de cuestiones de fondo. </w:t>
      </w:r>
      <w:r w:rsidR="00E77215" w:rsidRPr="00A7465D">
        <w:rPr>
          <w:rFonts w:ascii="Arial" w:hAnsi="Arial" w:cs="Arial"/>
          <w:sz w:val="26"/>
          <w:szCs w:val="26"/>
        </w:rPr>
        <w:t xml:space="preserve">Ya que sólo amerita una revocación de la resolución cuando el error transciende de manea grave a las defensas de las partes. </w:t>
      </w:r>
    </w:p>
    <w:p w:rsidR="00E77215" w:rsidRPr="00A7465D" w:rsidRDefault="00E77215" w:rsidP="00217636">
      <w:pPr>
        <w:spacing w:after="0" w:line="360" w:lineRule="auto"/>
        <w:ind w:left="705"/>
        <w:jc w:val="both"/>
        <w:rPr>
          <w:rFonts w:ascii="Arial" w:hAnsi="Arial" w:cs="Arial"/>
          <w:sz w:val="26"/>
          <w:szCs w:val="26"/>
        </w:rPr>
      </w:pPr>
    </w:p>
    <w:p w:rsidR="00E77215" w:rsidRPr="00A7465D" w:rsidRDefault="00E77215" w:rsidP="00E77215">
      <w:pPr>
        <w:spacing w:after="0" w:line="360" w:lineRule="auto"/>
        <w:ind w:left="142"/>
        <w:jc w:val="both"/>
        <w:rPr>
          <w:rFonts w:ascii="Arial" w:hAnsi="Arial" w:cs="Arial"/>
          <w:sz w:val="26"/>
          <w:szCs w:val="26"/>
        </w:rPr>
      </w:pPr>
      <w:r w:rsidRPr="00A7465D">
        <w:rPr>
          <w:rFonts w:ascii="Arial" w:hAnsi="Arial" w:cs="Arial"/>
          <w:sz w:val="26"/>
          <w:szCs w:val="26"/>
        </w:rPr>
        <w:tab/>
        <w:t>Sirve de apoyo a estas consideraciones la jurisprudencia P</w:t>
      </w:r>
      <w:proofErr w:type="gramStart"/>
      <w:r w:rsidRPr="00A7465D">
        <w:rPr>
          <w:rFonts w:ascii="Arial" w:hAnsi="Arial" w:cs="Arial"/>
          <w:sz w:val="26"/>
          <w:szCs w:val="26"/>
        </w:rPr>
        <w:t>./</w:t>
      </w:r>
      <w:proofErr w:type="gramEnd"/>
      <w:r w:rsidRPr="00A7465D">
        <w:rPr>
          <w:rFonts w:ascii="Arial" w:hAnsi="Arial" w:cs="Arial"/>
          <w:sz w:val="26"/>
          <w:szCs w:val="26"/>
        </w:rPr>
        <w:t>J. 133/99 del Pleno de la Suprema Corte de Justicia de la Nación dictada en la novena época, la cual está publicada en el página 36 del Semanario Judicial de la Federación y su Gaceta en el tomo X de noviembre de 1999, bajo el rubro y texto del tenor literal siguientes:</w:t>
      </w:r>
    </w:p>
    <w:p w:rsidR="00E77215" w:rsidRDefault="00E77215" w:rsidP="00E77215">
      <w:pPr>
        <w:spacing w:after="0" w:line="360" w:lineRule="auto"/>
        <w:ind w:left="705"/>
        <w:jc w:val="both"/>
      </w:pPr>
      <w:r>
        <w:t xml:space="preserve"> </w:t>
      </w:r>
    </w:p>
    <w:p w:rsidR="00E77215" w:rsidRDefault="003557D5" w:rsidP="00E77215">
      <w:pPr>
        <w:spacing w:after="0" w:line="360" w:lineRule="auto"/>
        <w:ind w:left="851" w:right="778"/>
        <w:jc w:val="both"/>
        <w:rPr>
          <w:rFonts w:ascii="Arial" w:hAnsi="Arial" w:cs="Arial"/>
          <w:i/>
        </w:rPr>
      </w:pPr>
      <w:r>
        <w:rPr>
          <w:noProof/>
          <w:lang w:val="es-MX" w:eastAsia="es-MX"/>
        </w:rPr>
        <mc:AlternateContent>
          <mc:Choice Requires="wps">
            <w:drawing>
              <wp:anchor distT="0" distB="0" distL="114300" distR="114300" simplePos="0" relativeHeight="251670016" behindDoc="0" locked="0" layoutInCell="1" allowOverlap="1" wp14:anchorId="0B60E4D8" wp14:editId="1F37FA1A">
                <wp:simplePos x="0" y="0"/>
                <wp:positionH relativeFrom="column">
                  <wp:posOffset>5451894</wp:posOffset>
                </wp:positionH>
                <wp:positionV relativeFrom="paragraph">
                  <wp:posOffset>4223793</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0E4D8" id="Cuadro de texto 12" o:spid="_x0000_s1036" type="#_x0000_t202" style="position:absolute;left:0;text-align:left;margin-left:429.3pt;margin-top:332.6pt;width:84.75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GHKAIAAFU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r w:rsidR="00E77215">
        <w:rPr>
          <w:rFonts w:ascii="Arial" w:hAnsi="Arial" w:cs="Arial"/>
          <w:b/>
          <w:i/>
        </w:rPr>
        <w:t>“</w:t>
      </w:r>
      <w:r w:rsidR="00E77215" w:rsidRPr="000432D0">
        <w:rPr>
          <w:rFonts w:ascii="Arial" w:hAnsi="Arial" w:cs="Arial"/>
          <w:b/>
          <w:i/>
        </w:rPr>
        <w:t>SENTENCIA DE AMPARO. INCONGRUENCIA ENTRE LOS RESOLUTIVOS Y LA PARTE CONSIDERATIVA, EL TRIBUNAL REVISOR DEBE CORREGIRLA DE OFICIO.</w:t>
      </w:r>
      <w:r w:rsidR="00E77215" w:rsidRPr="000432D0">
        <w:rPr>
          <w:rFonts w:ascii="Arial" w:hAnsi="Arial" w:cs="Arial"/>
          <w:i/>
        </w:rPr>
        <w:t xml:space="preserve"> Siendo el dictado de las sentencias de amparo y su correcta formulación una cuestión de orden público, al constituir la base del cumplimiento correcto que eventualmente pudiera darse a la ejecutoria de amparo, evitando ejecutorias forzadas e incongruentes que lleven a un imposible cumplimiento, además de que en las incongruencias puedan verse involucradas causales de improcedencia que son también de orden público y de estudio oficioso, y en atención a que el artículo 79 de la Ley de Amparo otorga al juzgador la facultad de corregir los errores en la cita de garantías violadas, para amparar por las realmente transgredidas dicha facultad debe ser aplicada, por igualdad de razón, al tribunal revisor para corregir de oficio las incongruencias que advierta en las sentencias, ajustando los puntos resolutivos a las consideraciones de la misma, pues son éstas las que rigen el fallo y no los resolutivos, contemplándose la posibilidad de que, en el supuesto de que una incongruencia fuese de tal modo grave que su corrección dejara a alguna de las partes en estado de indefensión, el órgano revisor revocará la sentencia y ordenará la reposición del procedimiento para que el Juez de Distrito emita otra resolución, toda vez que es un error no imputable a ninguna de las partes y que puede depararles un perjuicio no previsto en su defensa. Lo anterior no debe confundirse con la suplencia de la queja, en virtud de que la coherencia en las sentencias de amparo al igual que la improcedencia del juicio es de orden público y por ello de estudio oficioso, y la suplencia de la queja presupone la interposición del medio de defensa por la parte perjudicada y sólo se lleva a cabo en los supuestos previstos por el artículo 76 bis de la Ley de Amparo, para beneficio o por interés del sujeto a quien se le suple la queja, y no del bien común de la </w:t>
      </w:r>
      <w:r w:rsidR="00E77215" w:rsidRPr="000432D0">
        <w:rPr>
          <w:rFonts w:ascii="Arial" w:hAnsi="Arial" w:cs="Arial"/>
          <w:i/>
        </w:rPr>
        <w:lastRenderedPageBreak/>
        <w:t>sociedad que deposita su orden jurídico, entre otros, en los órganos judiciales. Por las razones expuestas se abandona el criterio sostenido en la tesis visible en las páginas mil doscientos cuarenta y siete y mil doscientos cuarenta y ocho de la Primera Parte, Sección Segunda del Apéndice al Semanario Judicial de la Federación de mil novecientos diecisiete a mil novecientos ochenta y ocho, cuyo rubro dice: "SENTENCIA DE AMPARO CONTRA LEYES. INCONGRUENCIA ENTRE LOS RESOLUTIVOS Y LA PARTE CONSIDERATIVA. CUÁNDO NO PUEDE CORREGIRSE DE OFICIO.", en virtud de que éste se supera con lo mencionado, toda vez que, como se explicó el dictado de la sentencia y su congruencia son de orden público, y por ende, de estudio oficioso, existiendo la posibilidad de revocar la sentencia y ordenar la reposición del procedimiento para el efecto de que se dicte otra, cuando la corrección de la incongruencia sea de tal manera grave que se deje en estado de indefensión a alguna de las partes, pero de no ser así, el órgano revisor de oficio debe corregir la incongruencia que advierta en la sentencia recurrida, máxime que se encuentra sub júdice y constituirá la base del cumplimiento que eventualmente pudiera dársele.</w:t>
      </w:r>
      <w:r w:rsidR="00E77215">
        <w:rPr>
          <w:rFonts w:ascii="Arial" w:hAnsi="Arial" w:cs="Arial"/>
          <w:i/>
        </w:rPr>
        <w:t>”</w:t>
      </w:r>
    </w:p>
    <w:p w:rsidR="00E77215" w:rsidRDefault="00E77215" w:rsidP="00E77215">
      <w:pPr>
        <w:spacing w:after="0" w:line="360" w:lineRule="auto"/>
        <w:ind w:left="851" w:right="778"/>
        <w:jc w:val="both"/>
        <w:rPr>
          <w:rFonts w:ascii="Arial" w:hAnsi="Arial" w:cs="Arial"/>
          <w:i/>
        </w:rPr>
      </w:pPr>
    </w:p>
    <w:p w:rsidR="00E77215" w:rsidRPr="00A7465D" w:rsidRDefault="00E77215" w:rsidP="00FF209D">
      <w:pPr>
        <w:spacing w:after="0" w:line="360" w:lineRule="auto"/>
        <w:ind w:left="142" w:right="69" w:firstLine="566"/>
        <w:jc w:val="both"/>
        <w:rPr>
          <w:rFonts w:ascii="Arial" w:hAnsi="Arial" w:cs="Arial"/>
          <w:sz w:val="26"/>
          <w:szCs w:val="26"/>
        </w:rPr>
      </w:pPr>
      <w:r w:rsidRPr="00A7465D">
        <w:rPr>
          <w:rFonts w:ascii="Arial" w:hAnsi="Arial" w:cs="Arial"/>
          <w:sz w:val="26"/>
          <w:szCs w:val="26"/>
        </w:rPr>
        <w:t xml:space="preserve">Y, si bien este Tribunal no constituye una instancia </w:t>
      </w:r>
      <w:r w:rsidRPr="00A7465D">
        <w:rPr>
          <w:rFonts w:ascii="Arial" w:hAnsi="Arial" w:cs="Arial"/>
          <w:i/>
          <w:sz w:val="26"/>
          <w:szCs w:val="26"/>
        </w:rPr>
        <w:t xml:space="preserve">revisora </w:t>
      </w:r>
      <w:r w:rsidRPr="00A7465D">
        <w:rPr>
          <w:rFonts w:ascii="Arial" w:hAnsi="Arial" w:cs="Arial"/>
          <w:sz w:val="26"/>
          <w:szCs w:val="26"/>
        </w:rPr>
        <w:t>de la Auditoría Superior del Estado hoy, Órgano Superior de Fiscalización del Estado pues esa es una autoridad administrativa y este Tribunal constituye una instancia jurisdiccional, tampoco es de considerarse que debido al a incongruencia presentada</w:t>
      </w:r>
      <w:r w:rsidR="00FF209D" w:rsidRPr="00A7465D">
        <w:rPr>
          <w:rFonts w:ascii="Arial" w:hAnsi="Arial" w:cs="Arial"/>
          <w:sz w:val="26"/>
          <w:szCs w:val="26"/>
        </w:rPr>
        <w:t xml:space="preserve"> deba revocarse en esa parte la sentencia. </w:t>
      </w:r>
    </w:p>
    <w:p w:rsidR="00FF209D" w:rsidRPr="00A7465D" w:rsidRDefault="00FF209D" w:rsidP="00E77215">
      <w:pPr>
        <w:spacing w:after="0" w:line="360" w:lineRule="auto"/>
        <w:ind w:left="851" w:right="778"/>
        <w:jc w:val="both"/>
        <w:rPr>
          <w:rFonts w:ascii="Arial" w:hAnsi="Arial" w:cs="Arial"/>
          <w:sz w:val="26"/>
          <w:szCs w:val="26"/>
        </w:rPr>
      </w:pPr>
    </w:p>
    <w:p w:rsidR="002737FF" w:rsidRPr="00A7465D" w:rsidRDefault="00FF209D" w:rsidP="00AF1605">
      <w:pPr>
        <w:spacing w:after="0" w:line="360" w:lineRule="auto"/>
        <w:ind w:right="69" w:firstLine="708"/>
        <w:jc w:val="both"/>
        <w:rPr>
          <w:rFonts w:ascii="Arial" w:hAnsi="Arial" w:cs="Arial"/>
          <w:sz w:val="26"/>
          <w:szCs w:val="26"/>
        </w:rPr>
      </w:pPr>
      <w:r w:rsidRPr="00A7465D">
        <w:rPr>
          <w:rFonts w:ascii="Arial" w:hAnsi="Arial" w:cs="Arial"/>
          <w:sz w:val="26"/>
          <w:szCs w:val="26"/>
        </w:rPr>
        <w:t xml:space="preserve">Con independencia de lo dicho en el párrafo que antecede, debido a la falta de congruencia y exhaustividad detectada en la resolución impugnada y que se puntualizó en líneas anteriores, asimismo, debido a la falta de fundamentación y motivación de la sede administrativa para resolver no aplicar el Código Procesal del Estado de Oaxaca, con fundamento en los artículos 40 fracción III y 43 de la Ley de Justicia de Fiscalización y Rendición de Cuentas para el Estado de Oaxaca </w:t>
      </w:r>
      <w:r w:rsidR="00F31AFA" w:rsidRPr="00A7465D">
        <w:rPr>
          <w:rFonts w:ascii="Arial" w:hAnsi="Arial" w:cs="Arial"/>
          <w:b/>
          <w:sz w:val="26"/>
          <w:szCs w:val="26"/>
        </w:rPr>
        <w:t xml:space="preserve">SE DEJA SIN EFECTOS </w:t>
      </w:r>
      <w:r w:rsidRPr="00A7465D">
        <w:rPr>
          <w:rFonts w:ascii="Arial" w:hAnsi="Arial" w:cs="Arial"/>
          <w:sz w:val="26"/>
          <w:szCs w:val="26"/>
        </w:rPr>
        <w:t xml:space="preserve">la resolución de veintinueve de septiembre de dos mil diecisiete emitida en el recurso de reconsideración ASE/REC.R./056/2017 </w:t>
      </w:r>
      <w:r w:rsidR="00F31AFA" w:rsidRPr="00A7465D">
        <w:rPr>
          <w:rFonts w:ascii="Arial" w:hAnsi="Arial" w:cs="Arial"/>
          <w:b/>
          <w:sz w:val="26"/>
          <w:szCs w:val="26"/>
        </w:rPr>
        <w:t xml:space="preserve">PARA EFECTO </w:t>
      </w:r>
      <w:r w:rsidRPr="00A7465D">
        <w:rPr>
          <w:rFonts w:ascii="Arial" w:hAnsi="Arial" w:cs="Arial"/>
          <w:sz w:val="26"/>
          <w:szCs w:val="26"/>
        </w:rPr>
        <w:t xml:space="preserve">de que la Auditoría Superior del Estado hoy </w:t>
      </w:r>
      <w:r w:rsidRPr="00A7465D">
        <w:rPr>
          <w:rFonts w:ascii="Arial" w:hAnsi="Arial" w:cs="Arial"/>
          <w:b/>
          <w:sz w:val="26"/>
          <w:szCs w:val="26"/>
        </w:rPr>
        <w:t xml:space="preserve">Órgano Superior de Fiscalización del Estado de Oaxaca </w:t>
      </w:r>
      <w:r w:rsidRPr="00A7465D">
        <w:rPr>
          <w:rFonts w:ascii="Arial" w:hAnsi="Arial" w:cs="Arial"/>
          <w:sz w:val="26"/>
          <w:szCs w:val="26"/>
        </w:rPr>
        <w:t xml:space="preserve">con libertad de jurisdicción pero agotando todos los puntos controvertidos en el recurso de reconsideración </w:t>
      </w:r>
      <w:r w:rsidRPr="00A7465D">
        <w:rPr>
          <w:rFonts w:ascii="Arial" w:hAnsi="Arial" w:cs="Arial"/>
          <w:sz w:val="26"/>
          <w:szCs w:val="26"/>
        </w:rPr>
        <w:lastRenderedPageBreak/>
        <w:t xml:space="preserve">interpuesto por los aquí actores, </w:t>
      </w:r>
      <w:r w:rsidR="00F31AFA" w:rsidRPr="00A7465D">
        <w:rPr>
          <w:rFonts w:ascii="Arial" w:hAnsi="Arial" w:cs="Arial"/>
          <w:b/>
          <w:sz w:val="26"/>
          <w:szCs w:val="26"/>
        </w:rPr>
        <w:t xml:space="preserve">EMITA UNA NUEVA </w:t>
      </w:r>
      <w:r w:rsidRPr="00A7465D">
        <w:rPr>
          <w:rFonts w:ascii="Arial" w:hAnsi="Arial" w:cs="Arial"/>
          <w:sz w:val="26"/>
          <w:szCs w:val="26"/>
        </w:rPr>
        <w:t xml:space="preserve">en la que resuelva todos los puntos litigiosos expuestos sin añadir cuestiones que no hayan sido sometidas a su consideración pero tampoco </w:t>
      </w:r>
      <w:r w:rsidRPr="00A7465D">
        <w:rPr>
          <w:rFonts w:ascii="Arial" w:hAnsi="Arial" w:cs="Arial"/>
          <w:b/>
          <w:sz w:val="26"/>
          <w:szCs w:val="26"/>
        </w:rPr>
        <w:t xml:space="preserve">sin dejar </w:t>
      </w:r>
      <w:r w:rsidRPr="00A7465D">
        <w:rPr>
          <w:rFonts w:ascii="Arial" w:hAnsi="Arial" w:cs="Arial"/>
          <w:sz w:val="26"/>
          <w:szCs w:val="26"/>
        </w:rPr>
        <w:t>de r</w:t>
      </w:r>
      <w:r w:rsidR="00F31AFA" w:rsidRPr="00A7465D">
        <w:rPr>
          <w:rFonts w:ascii="Arial" w:hAnsi="Arial" w:cs="Arial"/>
          <w:sz w:val="26"/>
          <w:szCs w:val="26"/>
        </w:rPr>
        <w:t xml:space="preserve">esolver todo lo debatido, resolución en la que deberá fundar y motivar su actuación en términos de lo establecido por los artículos 14 y 16 de la Constitución Federal y, en la que deberá emitir los puntos resolutivos de manera </w:t>
      </w:r>
      <w:r w:rsidR="00F31AFA" w:rsidRPr="00A7465D">
        <w:rPr>
          <w:rFonts w:ascii="Arial" w:hAnsi="Arial" w:cs="Arial"/>
          <w:b/>
          <w:sz w:val="26"/>
          <w:szCs w:val="26"/>
        </w:rPr>
        <w:t xml:space="preserve">congruente </w:t>
      </w:r>
      <w:r w:rsidR="00F31AFA" w:rsidRPr="00A7465D">
        <w:rPr>
          <w:rFonts w:ascii="Arial" w:hAnsi="Arial" w:cs="Arial"/>
          <w:sz w:val="26"/>
          <w:szCs w:val="26"/>
        </w:rPr>
        <w:t xml:space="preserve">a lo que resuelva en los considerandos. </w:t>
      </w:r>
    </w:p>
    <w:p w:rsidR="00451B81" w:rsidRPr="00A7465D" w:rsidRDefault="00451B81" w:rsidP="00C8424F">
      <w:pPr>
        <w:spacing w:after="0" w:line="360" w:lineRule="auto"/>
        <w:ind w:firstLine="708"/>
        <w:jc w:val="both"/>
        <w:rPr>
          <w:rFonts w:ascii="Arial" w:eastAsia="Calibri" w:hAnsi="Arial" w:cs="Arial"/>
          <w:sz w:val="26"/>
          <w:szCs w:val="26"/>
          <w:lang w:val="es-MX"/>
        </w:rPr>
      </w:pPr>
      <w:r w:rsidRPr="00A7465D">
        <w:rPr>
          <w:rFonts w:ascii="Arial" w:eastAsia="Calibri" w:hAnsi="Arial" w:cs="Arial"/>
          <w:sz w:val="26"/>
          <w:szCs w:val="26"/>
          <w:lang w:val="es-MX"/>
        </w:rPr>
        <w:t>En mérito de lo anterior se:</w:t>
      </w:r>
    </w:p>
    <w:p w:rsidR="00AF1605" w:rsidRPr="00A7465D" w:rsidRDefault="00451B81" w:rsidP="00AF1605">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A7465D">
        <w:rPr>
          <w:rFonts w:ascii="Arial" w:eastAsia="Calibri" w:hAnsi="Arial" w:cs="Arial"/>
          <w:b/>
          <w:sz w:val="26"/>
          <w:szCs w:val="26"/>
          <w:lang w:val="es-MX"/>
        </w:rPr>
        <w:t>R E S U E L V E</w:t>
      </w:r>
    </w:p>
    <w:p w:rsidR="00451B81" w:rsidRPr="00A7465D" w:rsidRDefault="00451B81" w:rsidP="00AF1605">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A7465D">
        <w:rPr>
          <w:rFonts w:ascii="Arial" w:eastAsia="Times New Roman" w:hAnsi="Arial" w:cs="Arial"/>
          <w:b/>
          <w:sz w:val="26"/>
          <w:szCs w:val="26"/>
          <w:lang w:val="es-MX" w:eastAsia="es-ES"/>
        </w:rPr>
        <w:t>PRIMERO</w:t>
      </w:r>
      <w:r w:rsidRPr="00A7465D">
        <w:rPr>
          <w:rFonts w:ascii="Arial" w:eastAsia="Times New Roman" w:hAnsi="Arial" w:cs="Arial"/>
          <w:sz w:val="26"/>
          <w:szCs w:val="26"/>
          <w:lang w:val="es-MX" w:eastAsia="es-ES"/>
        </w:rPr>
        <w:t>.</w:t>
      </w:r>
      <w:r w:rsidRPr="00A7465D">
        <w:rPr>
          <w:rFonts w:ascii="Arial" w:eastAsia="Calibri" w:hAnsi="Arial" w:cs="Arial"/>
          <w:b/>
          <w:sz w:val="26"/>
          <w:szCs w:val="26"/>
          <w:lang w:val="es-MX"/>
        </w:rPr>
        <w:t xml:space="preserve"> </w:t>
      </w:r>
      <w:r w:rsidRPr="00A7465D">
        <w:rPr>
          <w:rFonts w:ascii="Arial" w:eastAsia="Calibri" w:hAnsi="Arial" w:cs="Arial"/>
          <w:sz w:val="26"/>
          <w:szCs w:val="26"/>
          <w:lang w:val="es-MX"/>
        </w:rPr>
        <w:t xml:space="preserve">Esta Sala Superior del Tribunal de Justicia Administrativa del Estado de Oaxaca, fue competente para conocer y resolver del presente asunto.  </w:t>
      </w:r>
    </w:p>
    <w:p w:rsidR="00451B81" w:rsidRPr="00A7465D" w:rsidRDefault="00451B81" w:rsidP="00451B81">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A7465D">
        <w:rPr>
          <w:rFonts w:ascii="Arial" w:eastAsia="Calibri" w:hAnsi="Arial" w:cs="Arial"/>
          <w:b/>
          <w:sz w:val="26"/>
          <w:szCs w:val="26"/>
          <w:lang w:val="es-MX"/>
        </w:rPr>
        <w:t xml:space="preserve">SEGUNDO. </w:t>
      </w:r>
      <w:r w:rsidRPr="00A7465D">
        <w:rPr>
          <w:rFonts w:ascii="Arial" w:eastAsia="Calibri" w:hAnsi="Arial" w:cs="Arial"/>
          <w:sz w:val="26"/>
          <w:szCs w:val="26"/>
          <w:lang w:val="es-MX"/>
        </w:rPr>
        <w:t>La personalidad de las partes quedó acreditada en autos.</w:t>
      </w:r>
    </w:p>
    <w:p w:rsidR="00451B81" w:rsidRPr="00A7465D" w:rsidRDefault="00451B81" w:rsidP="00AF1605">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A7465D">
        <w:rPr>
          <w:rFonts w:ascii="Arial" w:eastAsia="Calibri" w:hAnsi="Arial" w:cs="Arial"/>
          <w:b/>
          <w:sz w:val="26"/>
          <w:szCs w:val="26"/>
          <w:lang w:val="es-MX"/>
        </w:rPr>
        <w:t xml:space="preserve">TERCERO. </w:t>
      </w:r>
      <w:r w:rsidRPr="00A7465D">
        <w:rPr>
          <w:rFonts w:ascii="Arial" w:eastAsia="Calibri" w:hAnsi="Arial" w:cs="Arial"/>
          <w:sz w:val="26"/>
          <w:szCs w:val="26"/>
          <w:lang w:val="es-MX"/>
        </w:rPr>
        <w:t xml:space="preserve">No se actualizó alguna causal de improcedencia, por lo que </w:t>
      </w:r>
      <w:r w:rsidRPr="00A7465D">
        <w:rPr>
          <w:rFonts w:ascii="Arial" w:eastAsia="Calibri" w:hAnsi="Arial" w:cs="Arial"/>
          <w:b/>
          <w:sz w:val="26"/>
          <w:szCs w:val="26"/>
          <w:lang w:val="es-MX"/>
        </w:rPr>
        <w:t xml:space="preserve">NO SE SOBRESEE EN EL JUICIO. </w:t>
      </w:r>
    </w:p>
    <w:p w:rsidR="00401EAE" w:rsidRPr="00A7465D" w:rsidRDefault="003557D5" w:rsidP="00451B81">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Pr>
          <w:noProof/>
          <w:lang w:val="es-MX" w:eastAsia="es-MX"/>
        </w:rPr>
        <mc:AlternateContent>
          <mc:Choice Requires="wps">
            <w:drawing>
              <wp:anchor distT="0" distB="0" distL="114300" distR="114300" simplePos="0" relativeHeight="251671040" behindDoc="0" locked="0" layoutInCell="1" allowOverlap="1" wp14:anchorId="7DC072BD" wp14:editId="5AFEAF39">
                <wp:simplePos x="0" y="0"/>
                <wp:positionH relativeFrom="column">
                  <wp:posOffset>5589917</wp:posOffset>
                </wp:positionH>
                <wp:positionV relativeFrom="paragraph">
                  <wp:posOffset>3045555</wp:posOffset>
                </wp:positionV>
                <wp:extent cx="1076325" cy="6572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72BD" id="Cuadro de texto 13" o:spid="_x0000_s1037" type="#_x0000_t202" style="position:absolute;left:0;text-align:left;margin-left:440.15pt;margin-top:239.8pt;width:84.75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mKAIAAFU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">
                <v:textbox>
                  <w:txbxContent>
                    <w:p w:rsidR="003557D5" w:rsidRDefault="003557D5" w:rsidP="003557D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51B81" w:rsidRPr="00A7465D">
        <w:rPr>
          <w:rFonts w:ascii="Arial" w:eastAsia="Calibri" w:hAnsi="Arial" w:cs="Arial"/>
          <w:b/>
          <w:sz w:val="26"/>
          <w:szCs w:val="26"/>
          <w:lang w:val="es-MX"/>
        </w:rPr>
        <w:t xml:space="preserve">CUARTO. </w:t>
      </w:r>
      <w:r w:rsidR="00451B81" w:rsidRPr="00A7465D">
        <w:rPr>
          <w:rFonts w:ascii="Arial" w:eastAsia="Times New Roman" w:hAnsi="Arial" w:cs="Arial"/>
          <w:sz w:val="26"/>
          <w:szCs w:val="26"/>
          <w:lang w:val="es-MX" w:eastAsia="es-ES"/>
        </w:rPr>
        <w:t xml:space="preserve"> </w:t>
      </w:r>
      <w:r w:rsidR="00451B81" w:rsidRPr="00A7465D">
        <w:rPr>
          <w:rFonts w:ascii="Arial" w:eastAsia="Times New Roman" w:hAnsi="Arial" w:cs="Arial"/>
          <w:b/>
          <w:sz w:val="26"/>
          <w:szCs w:val="26"/>
          <w:lang w:val="es-MX" w:eastAsia="es-ES"/>
        </w:rPr>
        <w:t>SE DEJA SIN EFECTOS</w:t>
      </w:r>
      <w:r w:rsidR="00451B81" w:rsidRPr="00A7465D">
        <w:rPr>
          <w:rFonts w:ascii="Arial" w:hAnsi="Arial" w:cs="Arial"/>
          <w:b/>
          <w:sz w:val="26"/>
          <w:szCs w:val="26"/>
        </w:rPr>
        <w:t xml:space="preserve"> </w:t>
      </w:r>
      <w:r w:rsidR="00451B81" w:rsidRPr="00A7465D">
        <w:rPr>
          <w:rFonts w:ascii="Arial" w:hAnsi="Arial" w:cs="Arial"/>
          <w:sz w:val="26"/>
          <w:szCs w:val="26"/>
        </w:rPr>
        <w:t xml:space="preserve">la </w:t>
      </w:r>
      <w:r w:rsidR="00AF1605">
        <w:rPr>
          <w:rFonts w:ascii="Arial" w:hAnsi="Arial" w:cs="Arial"/>
          <w:sz w:val="26"/>
          <w:szCs w:val="26"/>
        </w:rPr>
        <w:t>resolución de</w:t>
      </w:r>
      <w:r w:rsidR="00FF209D" w:rsidRPr="00A7465D">
        <w:rPr>
          <w:rFonts w:ascii="Arial" w:hAnsi="Arial" w:cs="Arial"/>
          <w:sz w:val="26"/>
          <w:szCs w:val="26"/>
        </w:rPr>
        <w:t xml:space="preserve"> veintinueve de septiembre de </w:t>
      </w:r>
      <w:r w:rsidR="00451B81" w:rsidRPr="00A7465D">
        <w:rPr>
          <w:rFonts w:ascii="Arial" w:hAnsi="Arial" w:cs="Arial"/>
          <w:sz w:val="26"/>
          <w:szCs w:val="26"/>
        </w:rPr>
        <w:t>dos mil diecisiete, dictada por el Auditor Superior del Estado dentro del  expediente administrativo ASE/REC.R./0</w:t>
      </w:r>
      <w:r w:rsidR="00401EAE" w:rsidRPr="00A7465D">
        <w:rPr>
          <w:rFonts w:ascii="Arial" w:hAnsi="Arial" w:cs="Arial"/>
          <w:sz w:val="26"/>
          <w:szCs w:val="26"/>
        </w:rPr>
        <w:t>0</w:t>
      </w:r>
      <w:r w:rsidR="00FF209D" w:rsidRPr="00A7465D">
        <w:rPr>
          <w:rFonts w:ascii="Arial" w:hAnsi="Arial" w:cs="Arial"/>
          <w:sz w:val="26"/>
          <w:szCs w:val="26"/>
        </w:rPr>
        <w:t>56</w:t>
      </w:r>
      <w:r w:rsidR="00401EAE" w:rsidRPr="00A7465D">
        <w:rPr>
          <w:rFonts w:ascii="Arial" w:hAnsi="Arial" w:cs="Arial"/>
          <w:sz w:val="26"/>
          <w:szCs w:val="26"/>
        </w:rPr>
        <w:t>/2017</w:t>
      </w:r>
      <w:r w:rsidR="00451B81" w:rsidRPr="00A7465D">
        <w:rPr>
          <w:rFonts w:ascii="Arial" w:hAnsi="Arial" w:cs="Arial"/>
          <w:sz w:val="26"/>
          <w:szCs w:val="26"/>
        </w:rPr>
        <w:t xml:space="preserve"> </w:t>
      </w:r>
      <w:r w:rsidR="00401EAE" w:rsidRPr="00A7465D">
        <w:rPr>
          <w:rFonts w:ascii="Arial" w:hAnsi="Arial" w:cs="Arial"/>
          <w:sz w:val="26"/>
          <w:szCs w:val="26"/>
        </w:rPr>
        <w:t>en la que confirma la</w:t>
      </w:r>
      <w:r w:rsidR="00FF209D" w:rsidRPr="00A7465D">
        <w:rPr>
          <w:rFonts w:ascii="Arial" w:hAnsi="Arial" w:cs="Arial"/>
          <w:sz w:val="26"/>
          <w:szCs w:val="26"/>
        </w:rPr>
        <w:t xml:space="preserve"> responsabilidad resarcitoria a </w:t>
      </w:r>
      <w:r w:rsidR="009A2742">
        <w:rPr>
          <w:rFonts w:ascii="Arial" w:hAnsi="Arial" w:cs="Arial"/>
          <w:b/>
          <w:sz w:val="26"/>
          <w:szCs w:val="26"/>
        </w:rPr>
        <w:t>**********</w:t>
      </w:r>
      <w:r w:rsidR="00AF1605">
        <w:rPr>
          <w:rFonts w:ascii="Arial" w:hAnsi="Arial" w:cs="Arial"/>
          <w:sz w:val="26"/>
          <w:szCs w:val="26"/>
        </w:rPr>
        <w:t xml:space="preserve">en su calidad de </w:t>
      </w:r>
      <w:r w:rsidR="00FF209D" w:rsidRPr="00A7465D">
        <w:rPr>
          <w:rFonts w:ascii="Arial" w:hAnsi="Arial" w:cs="Arial"/>
          <w:b/>
          <w:sz w:val="26"/>
          <w:szCs w:val="26"/>
        </w:rPr>
        <w:t xml:space="preserve">EX PRESIDENTE CONSTITUCIONAL, EX SÍNDICO MUNICIPAL, EX REGIDOR DE HACIENDA y EX TESORERO MUNICIPAL, </w:t>
      </w:r>
      <w:r w:rsidR="00FF209D" w:rsidRPr="00A7465D">
        <w:rPr>
          <w:rFonts w:ascii="Arial" w:hAnsi="Arial" w:cs="Arial"/>
          <w:sz w:val="26"/>
          <w:szCs w:val="26"/>
        </w:rPr>
        <w:t xml:space="preserve">respectivamente, todos del municipio de </w:t>
      </w:r>
      <w:r w:rsidR="00FF209D" w:rsidRPr="00A7465D">
        <w:rPr>
          <w:rFonts w:ascii="Arial" w:hAnsi="Arial" w:cs="Arial"/>
          <w:b/>
          <w:sz w:val="26"/>
          <w:szCs w:val="26"/>
        </w:rPr>
        <w:t xml:space="preserve">SANTIAGO JUXTLAHUACA, OAXACA, </w:t>
      </w:r>
      <w:r w:rsidR="00FF209D" w:rsidRPr="00A7465D">
        <w:rPr>
          <w:rFonts w:ascii="Arial" w:hAnsi="Arial" w:cs="Arial"/>
          <w:sz w:val="26"/>
          <w:szCs w:val="26"/>
        </w:rPr>
        <w:t xml:space="preserve">para </w:t>
      </w:r>
      <w:r w:rsidR="00F31AFA" w:rsidRPr="00A7465D">
        <w:rPr>
          <w:rFonts w:ascii="Arial" w:hAnsi="Arial" w:cs="Arial"/>
          <w:b/>
          <w:sz w:val="26"/>
          <w:szCs w:val="26"/>
        </w:rPr>
        <w:t xml:space="preserve">efecto </w:t>
      </w:r>
      <w:r w:rsidR="00F31AFA" w:rsidRPr="00A7465D">
        <w:rPr>
          <w:rFonts w:ascii="Arial" w:hAnsi="Arial" w:cs="Arial"/>
          <w:sz w:val="26"/>
          <w:szCs w:val="26"/>
        </w:rPr>
        <w:t xml:space="preserve">de que la Auditoría Superior del Estado hoy </w:t>
      </w:r>
      <w:r w:rsidR="00F31AFA" w:rsidRPr="00A7465D">
        <w:rPr>
          <w:rFonts w:ascii="Arial" w:hAnsi="Arial" w:cs="Arial"/>
          <w:b/>
          <w:sz w:val="26"/>
          <w:szCs w:val="26"/>
        </w:rPr>
        <w:t xml:space="preserve">Órgano Superior de Fiscalización del Estado de Oaxaca emita una nueva </w:t>
      </w:r>
      <w:r w:rsidR="00F31AFA" w:rsidRPr="00A7465D">
        <w:rPr>
          <w:rFonts w:ascii="Arial" w:hAnsi="Arial" w:cs="Arial"/>
          <w:sz w:val="26"/>
          <w:szCs w:val="26"/>
        </w:rPr>
        <w:t>en la que resuelva todos los puntos litigiosos expuestos fundando y motivando su determinación, conforme a</w:t>
      </w:r>
      <w:r w:rsidR="00401EAE" w:rsidRPr="00A7465D">
        <w:rPr>
          <w:rFonts w:ascii="Arial" w:hAnsi="Arial" w:cs="Arial"/>
          <w:sz w:val="26"/>
          <w:szCs w:val="26"/>
        </w:rPr>
        <w:t xml:space="preserve"> las razones anotadas en el considerando que antecede. </w:t>
      </w:r>
    </w:p>
    <w:p w:rsidR="00A7465D" w:rsidRPr="000E79D4" w:rsidRDefault="00A7465D" w:rsidP="00A7465D">
      <w:pPr>
        <w:pStyle w:val="corte4fondo"/>
        <w:tabs>
          <w:tab w:val="left" w:pos="0"/>
        </w:tabs>
        <w:ind w:right="51"/>
        <w:rPr>
          <w:sz w:val="26"/>
          <w:szCs w:val="26"/>
          <w:lang w:val="es-MX"/>
        </w:rPr>
      </w:pPr>
      <w:r w:rsidRPr="006B1771">
        <w:rPr>
          <w:b/>
          <w:sz w:val="26"/>
          <w:szCs w:val="26"/>
          <w:lang w:val="es-MX"/>
        </w:rPr>
        <w:t xml:space="preserve">QUINTO. </w:t>
      </w:r>
      <w:r w:rsidRPr="006B1771">
        <w:rPr>
          <w:sz w:val="26"/>
          <w:szCs w:val="26"/>
          <w:lang w:val="es-MX"/>
        </w:rPr>
        <w:t>Conforme a los artículos 45 y 46, fracción I de la Ley de Justicia de Fiscalización y Rendición de Cuentas para el Estado de Oaxaca, Notifíquese personalmente a los actores y por oficio a la demandada. Cúmplase.</w:t>
      </w:r>
    </w:p>
    <w:p w:rsidR="00A7465D" w:rsidRDefault="00A7465D" w:rsidP="00A7465D">
      <w:pPr>
        <w:pStyle w:val="Sinespaciado"/>
        <w:spacing w:before="240" w:line="360" w:lineRule="auto"/>
        <w:ind w:firstLine="709"/>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del Estado de Oaxaca, quienes, actúan con la Secretaria General de Acuerdos de este Tribunal, que autoriza y da fe.</w:t>
      </w:r>
    </w:p>
    <w:p w:rsidR="00A7465D" w:rsidRDefault="00A7465D" w:rsidP="00A7465D">
      <w:pPr>
        <w:jc w:val="both"/>
        <w:rPr>
          <w:rFonts w:ascii="Arial" w:hAnsi="Arial" w:cs="Arial"/>
          <w:sz w:val="26"/>
          <w:szCs w:val="26"/>
        </w:rPr>
      </w:pPr>
    </w:p>
    <w:p w:rsidR="00A7465D" w:rsidRDefault="00A7465D" w:rsidP="00A7465D">
      <w:pPr>
        <w:jc w:val="both"/>
        <w:rPr>
          <w:rFonts w:ascii="Arial" w:hAnsi="Arial" w:cs="Arial"/>
          <w:sz w:val="26"/>
          <w:szCs w:val="26"/>
        </w:rPr>
      </w:pPr>
    </w:p>
    <w:p w:rsidR="00A7465D" w:rsidRDefault="00A7465D" w:rsidP="00A7465D">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A7465D" w:rsidRDefault="00A7465D" w:rsidP="00A7465D">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rPr>
          <w:rFonts w:ascii="Arial" w:eastAsia="Calibri" w:hAnsi="Arial" w:cs="Arial"/>
          <w:sz w:val="26"/>
          <w:szCs w:val="26"/>
        </w:rPr>
      </w:pPr>
    </w:p>
    <w:p w:rsidR="00A7465D" w:rsidRDefault="00A7465D" w:rsidP="00A7465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7465D" w:rsidRDefault="00A7465D" w:rsidP="00A7465D">
      <w:pPr>
        <w:spacing w:line="360" w:lineRule="auto"/>
        <w:jc w:val="center"/>
        <w:rPr>
          <w:rFonts w:ascii="Arial" w:eastAsia="Calibri" w:hAnsi="Arial" w:cs="Arial"/>
          <w:sz w:val="26"/>
          <w:szCs w:val="26"/>
        </w:rPr>
      </w:pPr>
    </w:p>
    <w:p w:rsidR="00A7465D" w:rsidRDefault="00A7465D" w:rsidP="00A7465D">
      <w:pPr>
        <w:spacing w:line="360" w:lineRule="auto"/>
        <w:rPr>
          <w:rFonts w:ascii="Arial" w:eastAsia="Calibri" w:hAnsi="Arial" w:cs="Arial"/>
          <w:sz w:val="26"/>
          <w:szCs w:val="26"/>
        </w:rPr>
      </w:pPr>
    </w:p>
    <w:p w:rsidR="00A7465D" w:rsidRDefault="00A7465D" w:rsidP="00A7465D">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451B81" w:rsidRPr="00A7465D" w:rsidRDefault="00A7465D" w:rsidP="00A7465D">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sectPr w:rsidR="00451B81" w:rsidRPr="00A7465D" w:rsidSect="00A7465D">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68" w:rsidRDefault="00555768" w:rsidP="00EF10F0">
      <w:pPr>
        <w:spacing w:after="0" w:line="240" w:lineRule="auto"/>
      </w:pPr>
      <w:r>
        <w:separator/>
      </w:r>
    </w:p>
  </w:endnote>
  <w:endnote w:type="continuationSeparator" w:id="0">
    <w:p w:rsidR="00555768" w:rsidRDefault="00555768" w:rsidP="00EF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D5" w:rsidRDefault="003557D5">
    <w:pPr>
      <w:pStyle w:val="Piedepgina"/>
    </w:pPr>
    <w:r>
      <w:rPr>
        <w:noProof/>
        <w:lang w:val="es-MX" w:eastAsia="es-MX"/>
      </w:rPr>
      <mc:AlternateContent>
        <mc:Choice Requires="wps">
          <w:drawing>
            <wp:anchor distT="0" distB="0" distL="114300" distR="114300" simplePos="0" relativeHeight="251648512" behindDoc="0" locked="0" layoutInCell="1" allowOverlap="1" wp14:anchorId="254FD18A" wp14:editId="02266E15">
              <wp:simplePos x="0" y="0"/>
              <wp:positionH relativeFrom="column">
                <wp:posOffset>-1699404</wp:posOffset>
              </wp:positionH>
              <wp:positionV relativeFrom="paragraph">
                <wp:posOffset>-5476839</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57D5" w:rsidRDefault="003557D5" w:rsidP="003557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FD18A" id="_x0000_t202" coordsize="21600,21600" o:spt="202" path="m,l,21600r21600,l21600,xe">
              <v:stroke joinstyle="miter"/>
              <v:path gradientshapeok="t" o:connecttype="rect"/>
            </v:shapetype>
            <v:shape id="Cuadro de texto 4" o:spid="_x0000_s1038" type="#_x0000_t202" style="position:absolute;margin-left:-133.8pt;margin-top:-431.25pt;width:84.7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">
              <v:textbox>
                <w:txbxContent>
                  <w:p w:rsidR="003557D5" w:rsidRDefault="003557D5" w:rsidP="003557D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68" w:rsidRDefault="00555768" w:rsidP="00EF10F0">
      <w:pPr>
        <w:spacing w:after="0" w:line="240" w:lineRule="auto"/>
      </w:pPr>
      <w:r>
        <w:separator/>
      </w:r>
    </w:p>
  </w:footnote>
  <w:footnote w:type="continuationSeparator" w:id="0">
    <w:p w:rsidR="00555768" w:rsidRDefault="00555768" w:rsidP="00EF10F0">
      <w:pPr>
        <w:spacing w:after="0" w:line="240" w:lineRule="auto"/>
      </w:pPr>
      <w:r>
        <w:continuationSeparator/>
      </w:r>
    </w:p>
  </w:footnote>
  <w:footnote w:id="1">
    <w:p w:rsidR="00625EB9" w:rsidRPr="00CF765D" w:rsidRDefault="00625EB9" w:rsidP="00625EB9">
      <w:pPr>
        <w:spacing w:after="0" w:line="360" w:lineRule="auto"/>
        <w:jc w:val="both"/>
        <w:rPr>
          <w:rFonts w:cstheme="minorHAnsi"/>
          <w:sz w:val="20"/>
          <w:szCs w:val="20"/>
        </w:rPr>
      </w:pPr>
      <w:r>
        <w:rPr>
          <w:rStyle w:val="Refdenotaalpie"/>
        </w:rPr>
        <w:footnoteRef/>
      </w:r>
      <w:r>
        <w:t xml:space="preserve"> </w:t>
      </w:r>
      <w:r w:rsidRPr="00CF765D">
        <w:rPr>
          <w:rFonts w:cstheme="minorHAnsi"/>
          <w:sz w:val="20"/>
          <w:szCs w:val="20"/>
        </w:rPr>
        <w:t xml:space="preserve">Para el concepto de exhaustividad cfr. la jurisprudencia  IV.2o.T. J/44 dictada en la novena época por el </w:t>
      </w:r>
      <w:r>
        <w:rPr>
          <w:rFonts w:cstheme="minorHAnsi"/>
          <w:sz w:val="20"/>
          <w:szCs w:val="20"/>
        </w:rPr>
        <w:t xml:space="preserve"> S</w:t>
      </w:r>
      <w:r w:rsidRPr="00CF765D">
        <w:rPr>
          <w:rFonts w:cstheme="minorHAnsi"/>
          <w:sz w:val="20"/>
          <w:szCs w:val="20"/>
        </w:rPr>
        <w:t xml:space="preserve">egundo Tribunal Colegiado en Materia de Trabajo del Cuarto Circuito, publicada en el Semanario Judicial de la Federación y su Gaceta Tomo XXI, de Marzo de 2005, con el rubro: </w:t>
      </w:r>
      <w:r w:rsidRPr="00CF765D">
        <w:rPr>
          <w:rFonts w:cstheme="minorHAnsi"/>
          <w:b/>
          <w:i/>
          <w:sz w:val="20"/>
          <w:szCs w:val="20"/>
        </w:rPr>
        <w:t>“CONGRUENCIA Y EXHAUSTIVIDAD, PRINCIPIOS DE. SUS DIFERENCIAS Y CASO EN QUE EL LAUDO INCUMPLE EL SEGUNDO DE ELLOS.</w:t>
      </w:r>
      <w:r w:rsidRPr="00CF765D">
        <w:rPr>
          <w:rFonts w:cstheme="minorHAnsi"/>
          <w:i/>
          <w:sz w:val="20"/>
          <w:szCs w:val="20"/>
        </w:rPr>
        <w:t xml:space="preserve">   </w:t>
      </w:r>
    </w:p>
  </w:footnote>
  <w:footnote w:id="2">
    <w:p w:rsidR="00625EB9" w:rsidRPr="00CF765D" w:rsidRDefault="00625EB9" w:rsidP="00625EB9">
      <w:pPr>
        <w:pStyle w:val="Textonotapie"/>
        <w:spacing w:line="360" w:lineRule="auto"/>
        <w:jc w:val="both"/>
        <w:rPr>
          <w:rFonts w:cstheme="minorHAnsi"/>
        </w:rPr>
      </w:pPr>
      <w:r>
        <w:rPr>
          <w:rStyle w:val="Refdenotaalpie"/>
        </w:rPr>
        <w:footnoteRef/>
      </w:r>
      <w:r>
        <w:t xml:space="preserve"> </w:t>
      </w:r>
      <w:r w:rsidRPr="00CF765D">
        <w:rPr>
          <w:b/>
        </w:rPr>
        <w:t xml:space="preserve">Artículo 17.- </w:t>
      </w:r>
      <w:r>
        <w:rPr>
          <w:b/>
        </w:rPr>
        <w:t>“</w:t>
      </w:r>
      <w:r>
        <w:t>…</w:t>
      </w:r>
      <w:r w:rsidRPr="00CF765D">
        <w:rPr>
          <w:rFonts w:ascii="Arial" w:hAnsi="Arial" w:cs="Arial"/>
          <w:color w:val="000000"/>
        </w:rPr>
        <w:t xml:space="preserve"> </w:t>
      </w:r>
      <w:r w:rsidRPr="00CF765D">
        <w:rPr>
          <w:rFonts w:cstheme="minorHAnsi"/>
          <w:color w:val="000000"/>
        </w:rPr>
        <w:t>Toda persona tiene derecho a que se le administre justicia por tribunales que estarán expeditos para impartirla en los plazos y términos que fijen las leyes, emitiendo sus resoluciones de manera pronta, completa e imparcial</w:t>
      </w:r>
      <w:r>
        <w:rPr>
          <w:rFonts w:cstheme="minorHAnsi"/>
          <w:color w:val="000000"/>
        </w:rPr>
        <w:t>…”</w:t>
      </w:r>
    </w:p>
  </w:footnote>
  <w:footnote w:id="3">
    <w:p w:rsidR="00625EB9" w:rsidRPr="00CF765D" w:rsidRDefault="00625EB9" w:rsidP="00625EB9">
      <w:pPr>
        <w:pStyle w:val="texto"/>
        <w:spacing w:before="0" w:beforeAutospacing="0" w:after="0" w:afterAutospacing="0" w:line="360" w:lineRule="auto"/>
        <w:ind w:firstLine="289"/>
        <w:jc w:val="both"/>
        <w:rPr>
          <w:rFonts w:asciiTheme="minorHAnsi" w:hAnsiTheme="minorHAnsi" w:cstheme="minorHAnsi"/>
          <w:color w:val="000000"/>
          <w:sz w:val="20"/>
          <w:szCs w:val="20"/>
        </w:rPr>
      </w:pPr>
      <w:r>
        <w:rPr>
          <w:rStyle w:val="Refdenotaalpie"/>
        </w:rPr>
        <w:footnoteRef/>
      </w:r>
      <w:r w:rsidRPr="00CF765D">
        <w:rPr>
          <w:rFonts w:asciiTheme="minorHAnsi" w:hAnsiTheme="minorHAnsi" w:cstheme="minorHAnsi"/>
          <w:sz w:val="20"/>
          <w:szCs w:val="20"/>
        </w:rPr>
        <w:t xml:space="preserve"> </w:t>
      </w:r>
      <w:r w:rsidRPr="00CF765D">
        <w:rPr>
          <w:rFonts w:asciiTheme="minorHAnsi" w:hAnsiTheme="minorHAnsi" w:cstheme="minorHAnsi"/>
          <w:b/>
          <w:sz w:val="20"/>
          <w:szCs w:val="20"/>
        </w:rPr>
        <w:t>Artículo 1.- “…</w:t>
      </w:r>
      <w:r w:rsidRPr="00CF765D">
        <w:rPr>
          <w:rFonts w:asciiTheme="minorHAnsi" w:hAnsiTheme="minorHAnsi" w:cstheme="minorHAnsi"/>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625EB9" w:rsidRPr="00CF765D" w:rsidRDefault="00625EB9" w:rsidP="00625EB9">
      <w:pPr>
        <w:pStyle w:val="Textonotapie"/>
        <w:rPr>
          <w:b/>
        </w:rPr>
      </w:pPr>
    </w:p>
  </w:footnote>
  <w:footnote w:id="4">
    <w:p w:rsidR="00324718" w:rsidRPr="00324718" w:rsidRDefault="00324718">
      <w:pPr>
        <w:pStyle w:val="Textonotapie"/>
        <w:rPr>
          <w:lang w:val="es-MX"/>
        </w:rPr>
      </w:pPr>
      <w:r>
        <w:rPr>
          <w:rStyle w:val="Refdenotaalpie"/>
        </w:rPr>
        <w:footnoteRef/>
      </w:r>
      <w:r>
        <w:t xml:space="preserve"> </w:t>
      </w:r>
      <w:r>
        <w:rPr>
          <w:lang w:val="es-MX"/>
        </w:rPr>
        <w:t>Diccionario Jurídico Mexicano, Instituto de Investigaciones Jurídicas de la Universidad Nacional Autónoma De México, Editorial Porrúa, Tomo P-Z, página 3046.</w:t>
      </w:r>
    </w:p>
  </w:footnote>
  <w:footnote w:id="5">
    <w:p w:rsidR="006C616B" w:rsidRPr="006C616B" w:rsidRDefault="006C616B">
      <w:pPr>
        <w:pStyle w:val="Textonotapie"/>
        <w:rPr>
          <w:lang w:val="es-MX"/>
        </w:rPr>
      </w:pPr>
      <w:r>
        <w:rPr>
          <w:rStyle w:val="Refdenotaalpie"/>
        </w:rPr>
        <w:footnoteRef/>
      </w:r>
      <w:r>
        <w:t xml:space="preserve"> </w:t>
      </w:r>
      <w:r>
        <w:rPr>
          <w:lang w:val="es-MX"/>
        </w:rPr>
        <w:t xml:space="preserve">Ídem, página 3441.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6B48BD" w:rsidRDefault="00FF178E">
        <w:pPr>
          <w:pStyle w:val="Encabezado"/>
          <w:jc w:val="center"/>
        </w:pPr>
        <w:r>
          <w:fldChar w:fldCharType="begin"/>
        </w:r>
        <w:r>
          <w:instrText>PAGE   \* MERGEFORMAT</w:instrText>
        </w:r>
        <w:r>
          <w:fldChar w:fldCharType="separate"/>
        </w:r>
        <w:r>
          <w:rPr>
            <w:noProof/>
          </w:rPr>
          <w:t>20</w:t>
        </w:r>
        <w:r>
          <w:fldChar w:fldCharType="end"/>
        </w:r>
      </w:p>
    </w:sdtContent>
  </w:sdt>
  <w:p w:rsidR="006B48BD" w:rsidRDefault="003557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6B48BD" w:rsidRDefault="00FF178E" w:rsidP="00206B99">
        <w:pPr>
          <w:pStyle w:val="Encabezado"/>
          <w:jc w:val="center"/>
          <w:rPr>
            <w:noProof/>
          </w:rPr>
        </w:pPr>
        <w:r>
          <w:fldChar w:fldCharType="begin"/>
        </w:r>
        <w:r>
          <w:instrText xml:space="preserve"> PAGE   \* MERGEFORMAT </w:instrText>
        </w:r>
        <w:r>
          <w:fldChar w:fldCharType="separate"/>
        </w:r>
        <w:r w:rsidR="003557D5">
          <w:rPr>
            <w:noProof/>
          </w:rPr>
          <w:t>24</w:t>
        </w:r>
        <w:r>
          <w:rPr>
            <w:noProof/>
          </w:rPr>
          <w:fldChar w:fldCharType="end"/>
        </w:r>
      </w:p>
      <w:p w:rsidR="006B48BD" w:rsidRDefault="003557D5" w:rsidP="00206B99">
        <w:pPr>
          <w:pStyle w:val="Encabezado"/>
          <w:jc w:val="center"/>
        </w:pPr>
      </w:p>
    </w:sdtContent>
  </w:sdt>
  <w:p w:rsidR="006B48BD" w:rsidRDefault="003557D5"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BAE"/>
    <w:multiLevelType w:val="hybridMultilevel"/>
    <w:tmpl w:val="5218B45E"/>
    <w:lvl w:ilvl="0" w:tplc="7BC6F9F8">
      <w:numFmt w:val="bullet"/>
      <w:lvlText w:val=""/>
      <w:lvlJc w:val="left"/>
      <w:pPr>
        <w:ind w:left="1065" w:hanging="360"/>
      </w:pPr>
      <w:rPr>
        <w:rFonts w:ascii="Symbol" w:eastAsiaTheme="minorHAnsi" w:hAnsi="Symbol" w:cs="Arial" w:hint="default"/>
        <w:sz w:val="24"/>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nsid w:val="44146304"/>
    <w:multiLevelType w:val="hybridMultilevel"/>
    <w:tmpl w:val="5C6C1E5C"/>
    <w:lvl w:ilvl="0" w:tplc="059A52C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7F91AC1"/>
    <w:multiLevelType w:val="hybridMultilevel"/>
    <w:tmpl w:val="7998275A"/>
    <w:lvl w:ilvl="0" w:tplc="12FCB79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F0"/>
    <w:rsid w:val="000024D2"/>
    <w:rsid w:val="00006BA5"/>
    <w:rsid w:val="00067D64"/>
    <w:rsid w:val="00096A32"/>
    <w:rsid w:val="000A3EF2"/>
    <w:rsid w:val="000E2938"/>
    <w:rsid w:val="000E5E99"/>
    <w:rsid w:val="000F05C6"/>
    <w:rsid w:val="000F3431"/>
    <w:rsid w:val="00134DF0"/>
    <w:rsid w:val="00157FE2"/>
    <w:rsid w:val="00166476"/>
    <w:rsid w:val="002022E2"/>
    <w:rsid w:val="00217636"/>
    <w:rsid w:val="00261337"/>
    <w:rsid w:val="002737FF"/>
    <w:rsid w:val="00283F7A"/>
    <w:rsid w:val="002A432E"/>
    <w:rsid w:val="002B4644"/>
    <w:rsid w:val="002D713D"/>
    <w:rsid w:val="00324718"/>
    <w:rsid w:val="00333F14"/>
    <w:rsid w:val="00336729"/>
    <w:rsid w:val="00340623"/>
    <w:rsid w:val="003557D5"/>
    <w:rsid w:val="00356854"/>
    <w:rsid w:val="00401EAE"/>
    <w:rsid w:val="0042666B"/>
    <w:rsid w:val="004337BF"/>
    <w:rsid w:val="00451B81"/>
    <w:rsid w:val="00453C1A"/>
    <w:rsid w:val="004768A9"/>
    <w:rsid w:val="004768F0"/>
    <w:rsid w:val="004C105A"/>
    <w:rsid w:val="00555768"/>
    <w:rsid w:val="0057494C"/>
    <w:rsid w:val="00577369"/>
    <w:rsid w:val="005A0231"/>
    <w:rsid w:val="005A0356"/>
    <w:rsid w:val="005A6A4E"/>
    <w:rsid w:val="005F339E"/>
    <w:rsid w:val="006010C5"/>
    <w:rsid w:val="00625EB9"/>
    <w:rsid w:val="006A0E15"/>
    <w:rsid w:val="006A6E7E"/>
    <w:rsid w:val="006B06D2"/>
    <w:rsid w:val="006C3554"/>
    <w:rsid w:val="006C616B"/>
    <w:rsid w:val="006D0E07"/>
    <w:rsid w:val="006D1E87"/>
    <w:rsid w:val="006D348E"/>
    <w:rsid w:val="006F4EE3"/>
    <w:rsid w:val="00710C56"/>
    <w:rsid w:val="00734503"/>
    <w:rsid w:val="007576BC"/>
    <w:rsid w:val="007870BD"/>
    <w:rsid w:val="007A2943"/>
    <w:rsid w:val="007A2F35"/>
    <w:rsid w:val="007C3290"/>
    <w:rsid w:val="007C48BC"/>
    <w:rsid w:val="007E6EE6"/>
    <w:rsid w:val="00805129"/>
    <w:rsid w:val="00830EA6"/>
    <w:rsid w:val="00854471"/>
    <w:rsid w:val="00857487"/>
    <w:rsid w:val="00863008"/>
    <w:rsid w:val="00897B8D"/>
    <w:rsid w:val="008A64AB"/>
    <w:rsid w:val="008B1095"/>
    <w:rsid w:val="008D0322"/>
    <w:rsid w:val="00940F89"/>
    <w:rsid w:val="009A2742"/>
    <w:rsid w:val="009C53DD"/>
    <w:rsid w:val="009D0535"/>
    <w:rsid w:val="009D5C50"/>
    <w:rsid w:val="00A13042"/>
    <w:rsid w:val="00A31DB8"/>
    <w:rsid w:val="00A351A8"/>
    <w:rsid w:val="00A42D69"/>
    <w:rsid w:val="00A7465D"/>
    <w:rsid w:val="00A84D2B"/>
    <w:rsid w:val="00A95517"/>
    <w:rsid w:val="00AA5249"/>
    <w:rsid w:val="00AC758D"/>
    <w:rsid w:val="00AF1605"/>
    <w:rsid w:val="00B52190"/>
    <w:rsid w:val="00BA554F"/>
    <w:rsid w:val="00BB1891"/>
    <w:rsid w:val="00C0675D"/>
    <w:rsid w:val="00C64FB6"/>
    <w:rsid w:val="00C8424F"/>
    <w:rsid w:val="00D07401"/>
    <w:rsid w:val="00D14177"/>
    <w:rsid w:val="00D3283A"/>
    <w:rsid w:val="00D51B3D"/>
    <w:rsid w:val="00E122CF"/>
    <w:rsid w:val="00E526DD"/>
    <w:rsid w:val="00E73223"/>
    <w:rsid w:val="00E74110"/>
    <w:rsid w:val="00E77215"/>
    <w:rsid w:val="00E96BDE"/>
    <w:rsid w:val="00EA34F8"/>
    <w:rsid w:val="00EE207D"/>
    <w:rsid w:val="00EF10F0"/>
    <w:rsid w:val="00F145A7"/>
    <w:rsid w:val="00F31AFA"/>
    <w:rsid w:val="00F31FA6"/>
    <w:rsid w:val="00F46648"/>
    <w:rsid w:val="00F6232C"/>
    <w:rsid w:val="00F8744D"/>
    <w:rsid w:val="00FA748C"/>
    <w:rsid w:val="00FB5C9B"/>
    <w:rsid w:val="00FD287A"/>
    <w:rsid w:val="00FF178E"/>
    <w:rsid w:val="00FF2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064E8-F034-45D6-B36D-E2693A8F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F0"/>
    <w:pPr>
      <w:spacing w:after="200" w:line="276" w:lineRule="auto"/>
    </w:pPr>
  </w:style>
  <w:style w:type="paragraph" w:styleId="Ttulo1">
    <w:name w:val="heading 1"/>
    <w:basedOn w:val="Normal"/>
    <w:next w:val="Normal"/>
    <w:link w:val="Ttulo1Car"/>
    <w:uiPriority w:val="9"/>
    <w:qFormat/>
    <w:rsid w:val="00A955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10F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EF10F0"/>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EF10F0"/>
    <w:pPr>
      <w:spacing w:after="0" w:line="240" w:lineRule="auto"/>
    </w:pPr>
    <w:rPr>
      <w:sz w:val="20"/>
      <w:szCs w:val="20"/>
    </w:rPr>
  </w:style>
  <w:style w:type="character" w:customStyle="1" w:styleId="TextonotapieCar">
    <w:name w:val="Texto nota pie Car"/>
    <w:basedOn w:val="Fuentedeprrafopredeter"/>
    <w:link w:val="Textonotapie"/>
    <w:uiPriority w:val="99"/>
    <w:rsid w:val="00EF10F0"/>
    <w:rPr>
      <w:sz w:val="20"/>
      <w:szCs w:val="20"/>
    </w:rPr>
  </w:style>
  <w:style w:type="character" w:styleId="Refdenotaalpie">
    <w:name w:val="footnote reference"/>
    <w:basedOn w:val="Fuentedeprrafopredeter"/>
    <w:uiPriority w:val="99"/>
    <w:semiHidden/>
    <w:unhideWhenUsed/>
    <w:rsid w:val="00EF10F0"/>
    <w:rPr>
      <w:vertAlign w:val="superscript"/>
    </w:rPr>
  </w:style>
  <w:style w:type="character" w:customStyle="1" w:styleId="corte4fondoCar3">
    <w:name w:val="corte4 fondo Car3"/>
    <w:link w:val="corte4fondo"/>
    <w:locked/>
    <w:rsid w:val="00EF10F0"/>
    <w:rPr>
      <w:rFonts w:ascii="Arial" w:hAnsi="Arial" w:cs="Arial"/>
      <w:sz w:val="30"/>
      <w:szCs w:val="30"/>
      <w:lang w:val="es-ES_tradnl"/>
    </w:rPr>
  </w:style>
  <w:style w:type="paragraph" w:customStyle="1" w:styleId="corte4fondo">
    <w:name w:val="corte4 fondo"/>
    <w:basedOn w:val="Normal"/>
    <w:link w:val="corte4fondoCar3"/>
    <w:qFormat/>
    <w:rsid w:val="00EF10F0"/>
    <w:pPr>
      <w:spacing w:after="0" w:line="360" w:lineRule="auto"/>
      <w:ind w:firstLine="709"/>
      <w:jc w:val="both"/>
    </w:pPr>
    <w:rPr>
      <w:rFonts w:ascii="Arial" w:hAnsi="Arial" w:cs="Arial"/>
      <w:sz w:val="30"/>
      <w:szCs w:val="30"/>
      <w:lang w:val="es-ES_tradnl"/>
    </w:rPr>
  </w:style>
  <w:style w:type="paragraph" w:styleId="Sinespaciado">
    <w:name w:val="No Spacing"/>
    <w:uiPriority w:val="1"/>
    <w:qFormat/>
    <w:rsid w:val="00451B81"/>
    <w:pPr>
      <w:spacing w:after="0" w:line="240" w:lineRule="auto"/>
    </w:pPr>
  </w:style>
  <w:style w:type="paragraph" w:styleId="Prrafodelista">
    <w:name w:val="List Paragraph"/>
    <w:basedOn w:val="Normal"/>
    <w:uiPriority w:val="34"/>
    <w:qFormat/>
    <w:rsid w:val="002737FF"/>
    <w:pPr>
      <w:ind w:left="720"/>
      <w:contextualSpacing/>
    </w:pPr>
  </w:style>
  <w:style w:type="paragraph" w:customStyle="1" w:styleId="texto">
    <w:name w:val="texto"/>
    <w:basedOn w:val="Normal"/>
    <w:rsid w:val="00625EB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A95517"/>
    <w:rPr>
      <w:rFonts w:asciiTheme="majorHAnsi" w:eastAsiaTheme="majorEastAsia" w:hAnsiTheme="majorHAnsi" w:cstheme="majorBidi"/>
      <w:color w:val="2E74B5" w:themeColor="accent1" w:themeShade="BF"/>
      <w:sz w:val="32"/>
      <w:szCs w:val="32"/>
    </w:rPr>
  </w:style>
  <w:style w:type="paragraph" w:styleId="Piedepgina">
    <w:name w:val="footer"/>
    <w:basedOn w:val="Normal"/>
    <w:link w:val="PiedepginaCar"/>
    <w:uiPriority w:val="99"/>
    <w:unhideWhenUsed/>
    <w:rsid w:val="00A746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C9A3-943D-4ACB-8785-013F04B4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25</Pages>
  <Words>8210</Words>
  <Characters>45155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23</cp:revision>
  <cp:lastPrinted>2018-04-02T15:50:00Z</cp:lastPrinted>
  <dcterms:created xsi:type="dcterms:W3CDTF">2018-02-14T18:34:00Z</dcterms:created>
  <dcterms:modified xsi:type="dcterms:W3CDTF">2018-12-10T00:32:00Z</dcterms:modified>
</cp:coreProperties>
</file>