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7B6187">
        <w:rPr>
          <w:rFonts w:cs="Arial"/>
          <w:b/>
          <w:i/>
          <w:sz w:val="22"/>
          <w:szCs w:val="22"/>
        </w:rPr>
        <w:t>91</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1D61AD">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E637A4" w:rsidRDefault="00977577" w:rsidP="00B40F04">
      <w:pPr>
        <w:spacing w:line="360" w:lineRule="auto"/>
        <w:ind w:right="-518"/>
        <w:jc w:val="both"/>
        <w:rPr>
          <w:rFonts w:ascii="Arial" w:hAnsi="Arial" w:cs="Arial"/>
          <w:b/>
          <w:bCs/>
          <w:sz w:val="24"/>
          <w:szCs w:val="24"/>
          <w:lang w:val="es-MX"/>
        </w:rPr>
      </w:pPr>
      <w:r>
        <w:rPr>
          <w:rFonts w:ascii="Arial" w:hAnsi="Arial" w:cs="Arial"/>
          <w:b/>
          <w:sz w:val="24"/>
          <w:szCs w:val="24"/>
        </w:rPr>
        <w:t xml:space="preserve">OAXACA DE JUÁREZ, OAXACA A </w:t>
      </w:r>
      <w:r w:rsidR="009F2A82">
        <w:rPr>
          <w:rFonts w:ascii="Arial" w:hAnsi="Arial" w:cs="Arial"/>
          <w:b/>
          <w:sz w:val="24"/>
          <w:szCs w:val="24"/>
        </w:rPr>
        <w:t>3</w:t>
      </w:r>
      <w:r w:rsidR="007B6187">
        <w:rPr>
          <w:rFonts w:ascii="Arial" w:hAnsi="Arial" w:cs="Arial"/>
          <w:b/>
          <w:sz w:val="24"/>
          <w:szCs w:val="24"/>
        </w:rPr>
        <w:t>0 TREINTA DE</w:t>
      </w:r>
      <w:r w:rsidR="000476EE">
        <w:rPr>
          <w:rFonts w:ascii="Arial" w:hAnsi="Arial" w:cs="Arial"/>
          <w:b/>
          <w:sz w:val="24"/>
          <w:szCs w:val="24"/>
        </w:rPr>
        <w:t xml:space="preserve"> ENERO DEL 2018 DOS MIL </w:t>
      </w:r>
      <w:r w:rsidR="003C226E" w:rsidRPr="00E163C7">
        <w:rPr>
          <w:rFonts w:ascii="Arial" w:hAnsi="Arial" w:cs="Arial"/>
          <w:b/>
          <w:bCs/>
          <w:sz w:val="24"/>
          <w:szCs w:val="24"/>
          <w:lang w:val="es-MX"/>
        </w:rPr>
        <w:t>VISTOS,</w:t>
      </w:r>
      <w:r w:rsidR="003C226E" w:rsidRPr="00E163C7">
        <w:rPr>
          <w:rFonts w:ascii="Arial" w:hAnsi="Arial" w:cs="Arial"/>
          <w:b/>
          <w:sz w:val="24"/>
          <w:szCs w:val="24"/>
          <w:lang w:val="es-MX"/>
        </w:rPr>
        <w:t xml:space="preserve"> </w:t>
      </w:r>
      <w:r w:rsidR="003C226E"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B6187">
        <w:rPr>
          <w:rFonts w:ascii="Arial" w:hAnsi="Arial" w:cs="Arial"/>
          <w:b/>
          <w:sz w:val="24"/>
          <w:szCs w:val="24"/>
          <w:lang w:val="es-MX"/>
        </w:rPr>
        <w:t>91</w:t>
      </w:r>
      <w:r w:rsidRPr="00977577">
        <w:rPr>
          <w:rFonts w:ascii="Arial" w:hAnsi="Arial" w:cs="Arial"/>
          <w:b/>
          <w:sz w:val="24"/>
          <w:szCs w:val="24"/>
          <w:lang w:val="es-MX"/>
        </w:rPr>
        <w:t>/2017</w:t>
      </w:r>
      <w:r w:rsidR="003C226E" w:rsidRPr="00E163C7">
        <w:rPr>
          <w:rFonts w:ascii="Arial" w:hAnsi="Arial" w:cs="Arial"/>
          <w:sz w:val="24"/>
          <w:szCs w:val="24"/>
        </w:rPr>
        <w:t>,</w:t>
      </w:r>
      <w:r w:rsidR="001C6624" w:rsidRPr="00E163C7">
        <w:rPr>
          <w:rFonts w:ascii="Arial" w:hAnsi="Arial" w:cs="Arial"/>
          <w:sz w:val="24"/>
          <w:szCs w:val="24"/>
        </w:rPr>
        <w:t xml:space="preserve"> </w:t>
      </w:r>
      <w:r w:rsidR="003C226E" w:rsidRPr="00E163C7">
        <w:rPr>
          <w:rFonts w:ascii="Arial" w:hAnsi="Arial" w:cs="Arial"/>
          <w:sz w:val="24"/>
          <w:szCs w:val="24"/>
          <w:lang w:val="es-MX"/>
        </w:rPr>
        <w:t xml:space="preserve">promovido por </w:t>
      </w:r>
      <w:r w:rsidR="001D61AD">
        <w:rPr>
          <w:rFonts w:ascii="Arial" w:hAnsi="Arial" w:cs="Arial"/>
          <w:sz w:val="24"/>
          <w:szCs w:val="24"/>
        </w:rPr>
        <w:t>**********</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003C226E"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B40F04"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E35D27E" wp14:editId="71D92F1F">
                <wp:simplePos x="0" y="0"/>
                <wp:positionH relativeFrom="column">
                  <wp:posOffset>-1332230</wp:posOffset>
                </wp:positionH>
                <wp:positionV relativeFrom="paragraph">
                  <wp:posOffset>2903855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4.9pt;margin-top:228.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">
                <v:textbo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F7896">
        <w:rPr>
          <w:rFonts w:ascii="Arial" w:hAnsi="Arial" w:cs="Arial"/>
          <w:color w:val="000000"/>
          <w:sz w:val="24"/>
          <w:szCs w:val="24"/>
        </w:rPr>
        <w:t>2</w:t>
      </w:r>
      <w:r w:rsidR="007B6187">
        <w:rPr>
          <w:rFonts w:ascii="Arial" w:hAnsi="Arial" w:cs="Arial"/>
          <w:color w:val="000000"/>
          <w:sz w:val="24"/>
          <w:szCs w:val="24"/>
        </w:rPr>
        <w:t>5</w:t>
      </w:r>
      <w:r w:rsidR="00EF7896">
        <w:rPr>
          <w:rFonts w:ascii="Arial" w:hAnsi="Arial" w:cs="Arial"/>
          <w:color w:val="000000"/>
          <w:sz w:val="24"/>
          <w:szCs w:val="24"/>
        </w:rPr>
        <w:t xml:space="preserve"> veinti</w:t>
      </w:r>
      <w:r w:rsidR="007B6187">
        <w:rPr>
          <w:rFonts w:ascii="Arial" w:hAnsi="Arial" w:cs="Arial"/>
          <w:color w:val="000000"/>
          <w:sz w:val="24"/>
          <w:szCs w:val="24"/>
        </w:rPr>
        <w:t xml:space="preserve">cinco </w:t>
      </w:r>
      <w:r w:rsidR="00EF7896">
        <w:rPr>
          <w:rFonts w:ascii="Arial" w:hAnsi="Arial" w:cs="Arial"/>
          <w:color w:val="000000"/>
          <w:sz w:val="24"/>
          <w:szCs w:val="24"/>
        </w:rPr>
        <w:t xml:space="preserve">de </w:t>
      </w:r>
      <w:r w:rsidR="0042187B">
        <w:rPr>
          <w:rFonts w:ascii="Arial" w:hAnsi="Arial" w:cs="Arial"/>
          <w:color w:val="000000"/>
          <w:sz w:val="24"/>
          <w:szCs w:val="24"/>
        </w:rPr>
        <w:t>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D61AD">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EF7896">
        <w:rPr>
          <w:rFonts w:ascii="Arial" w:hAnsi="Arial" w:cs="Arial"/>
          <w:color w:val="000000"/>
          <w:sz w:val="24"/>
          <w:szCs w:val="24"/>
        </w:rPr>
        <w:t xml:space="preserve">relacionada  con la presentación de declaraciones del impuesto cedular a los ingresos por el otorgamiento del uso o goce temporal de bienes inmuebles con número de control </w:t>
      </w:r>
      <w:r w:rsidR="00C034AC">
        <w:rPr>
          <w:rFonts w:ascii="Arial" w:hAnsi="Arial" w:cs="Arial"/>
          <w:sz w:val="24"/>
          <w:szCs w:val="24"/>
        </w:rPr>
        <w:t xml:space="preserve">********** </w:t>
      </w:r>
      <w:r w:rsidR="00EF7896">
        <w:rPr>
          <w:rFonts w:ascii="Arial" w:hAnsi="Arial" w:cs="Arial"/>
          <w:color w:val="000000"/>
          <w:sz w:val="24"/>
          <w:szCs w:val="24"/>
        </w:rPr>
        <w:t xml:space="preserve">de 17 diecisiete de agosto de </w:t>
      </w:r>
      <w:r w:rsidR="000F2596">
        <w:rPr>
          <w:rFonts w:ascii="Arial" w:hAnsi="Arial" w:cs="Arial"/>
          <w:color w:val="000000"/>
          <w:sz w:val="24"/>
          <w:szCs w:val="24"/>
        </w:rPr>
        <w:t>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EF7896"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formó cuaderno de suspensión, mismo q</w:t>
      </w:r>
      <w:r w:rsidR="00C31B0A">
        <w:rPr>
          <w:rFonts w:ascii="Arial" w:hAnsi="Arial" w:cs="Arial"/>
          <w:color w:val="000000"/>
          <w:sz w:val="24"/>
          <w:szCs w:val="24"/>
        </w:rPr>
        <w:t>ue fue resuelto 29 veintinueve de noviembre del año próximo pasado</w:t>
      </w:r>
      <w:r>
        <w:rPr>
          <w:rFonts w:ascii="Arial" w:hAnsi="Arial" w:cs="Arial"/>
          <w:color w:val="000000"/>
          <w:sz w:val="24"/>
          <w:szCs w:val="24"/>
        </w:rPr>
        <w:t>. - - - - - - - - - -</w:t>
      </w:r>
      <w:r w:rsidR="006A03AA">
        <w:rPr>
          <w:rFonts w:ascii="Arial" w:hAnsi="Arial" w:cs="Arial"/>
          <w:color w:val="000000"/>
          <w:sz w:val="24"/>
          <w:szCs w:val="24"/>
        </w:rPr>
        <w:t xml:space="preserve">-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EF7896">
        <w:rPr>
          <w:rFonts w:ascii="Arial" w:hAnsi="Arial" w:cs="Arial"/>
          <w:sz w:val="24"/>
          <w:szCs w:val="24"/>
        </w:rPr>
        <w:t>1</w:t>
      </w:r>
      <w:r w:rsidR="007B6187">
        <w:rPr>
          <w:rFonts w:ascii="Arial" w:hAnsi="Arial" w:cs="Arial"/>
          <w:sz w:val="24"/>
          <w:szCs w:val="24"/>
        </w:rPr>
        <w:t>6</w:t>
      </w:r>
      <w:r w:rsidR="00EF7896">
        <w:rPr>
          <w:rFonts w:ascii="Arial" w:hAnsi="Arial" w:cs="Arial"/>
          <w:sz w:val="24"/>
          <w:szCs w:val="24"/>
        </w:rPr>
        <w:t xml:space="preserve"> </w:t>
      </w:r>
      <w:r w:rsidR="007B6187">
        <w:rPr>
          <w:rFonts w:ascii="Arial" w:hAnsi="Arial" w:cs="Arial"/>
          <w:sz w:val="24"/>
          <w:szCs w:val="24"/>
        </w:rPr>
        <w:t>dieciséis</w:t>
      </w:r>
      <w:r w:rsidR="002A0256">
        <w:rPr>
          <w:rFonts w:ascii="Arial" w:hAnsi="Arial" w:cs="Arial"/>
          <w:sz w:val="24"/>
          <w:szCs w:val="24"/>
        </w:rPr>
        <w:t xml:space="preserve"> de </w:t>
      </w:r>
      <w:r w:rsidR="007B6187">
        <w:rPr>
          <w:rFonts w:ascii="Arial" w:hAnsi="Arial" w:cs="Arial"/>
          <w:sz w:val="24"/>
          <w:szCs w:val="24"/>
        </w:rPr>
        <w:t>enero 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C31B0A">
        <w:rPr>
          <w:rFonts w:ascii="Arial" w:hAnsi="Arial" w:cs="Arial"/>
          <w:sz w:val="24"/>
          <w:szCs w:val="24"/>
        </w:rPr>
        <w:t>;</w:t>
      </w:r>
      <w:r w:rsidR="002A0256">
        <w:rPr>
          <w:rFonts w:ascii="Arial" w:hAnsi="Arial" w:cs="Arial"/>
          <w:sz w:val="24"/>
          <w:szCs w:val="24"/>
        </w:rPr>
        <w:t xml:space="preserve">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 xml:space="preserve">120, 153 párrafo segundo, 154 fracciones I, II, III, IV, V, VI y 155 de la Ley de Justicia Administrativa para el Estado de Oaxaca,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Asimismo como lo establece el artículo 157 y 174 de la citada ley,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r w:rsidR="00C31B0A">
        <w:rPr>
          <w:rFonts w:ascii="Arial" w:hAnsi="Arial" w:cs="Arial"/>
          <w:sz w:val="24"/>
          <w:szCs w:val="24"/>
        </w:rPr>
        <w:t>- - - - - - - - - - -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C31B0A">
        <w:rPr>
          <w:rFonts w:ascii="Arial" w:hAnsi="Arial" w:cs="Arial"/>
          <w:sz w:val="24"/>
          <w:szCs w:val="24"/>
          <w:lang w:val="es-MX"/>
        </w:rPr>
        <w:t>30 treinta d</w:t>
      </w:r>
      <w:r w:rsidR="000F2596">
        <w:rPr>
          <w:rFonts w:ascii="Arial" w:hAnsi="Arial" w:cs="Arial"/>
          <w:sz w:val="24"/>
          <w:szCs w:val="24"/>
          <w:lang w:val="es-MX"/>
        </w:rPr>
        <w:t>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r w:rsidR="00C31B0A">
        <w:rPr>
          <w:rFonts w:ascii="Arial" w:hAnsi="Arial" w:cs="Arial"/>
          <w:sz w:val="24"/>
          <w:szCs w:val="24"/>
        </w:rPr>
        <w:t xml:space="preserve">- - </w:t>
      </w:r>
    </w:p>
    <w:p w:rsidR="002A3764" w:rsidRPr="006755D4" w:rsidRDefault="002A3764" w:rsidP="002A3764">
      <w:pPr>
        <w:spacing w:line="360" w:lineRule="auto"/>
        <w:ind w:firstLine="708"/>
        <w:jc w:val="both"/>
        <w:rPr>
          <w:rFonts w:ascii="Arial" w:hAnsi="Arial" w:cs="Arial"/>
          <w:sz w:val="24"/>
          <w:szCs w:val="24"/>
        </w:rPr>
      </w:pPr>
    </w:p>
    <w:p w:rsidR="002B7F87" w:rsidRPr="000655A7" w:rsidRDefault="002A3764" w:rsidP="000655A7">
      <w:pPr>
        <w:spacing w:line="360" w:lineRule="auto"/>
        <w:ind w:right="-518" w:firstLine="567"/>
        <w:jc w:val="both"/>
        <w:rPr>
          <w:rFonts w:ascii="Arial" w:hAnsi="Arial" w:cs="Arial"/>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1D61AD">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27363E">
        <w:rPr>
          <w:rFonts w:ascii="Arial" w:hAnsi="Arial" w:cs="Arial"/>
          <w:sz w:val="24"/>
          <w:szCs w:val="24"/>
        </w:rPr>
        <w:t xml:space="preserve">- - - - - - - </w:t>
      </w:r>
    </w:p>
    <w:p w:rsidR="00136097" w:rsidRDefault="00136097" w:rsidP="002B7F87">
      <w:pPr>
        <w:spacing w:line="360" w:lineRule="auto"/>
        <w:ind w:right="-518" w:firstLine="567"/>
        <w:jc w:val="both"/>
        <w:rPr>
          <w:rFonts w:ascii="Arial" w:hAnsi="Arial" w:cs="Arial"/>
          <w:sz w:val="24"/>
          <w:szCs w:val="24"/>
        </w:rPr>
      </w:pPr>
    </w:p>
    <w:p w:rsidR="00F67B4C" w:rsidRDefault="00C108C5" w:rsidP="00F67B4C">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D61AD">
        <w:rPr>
          <w:rFonts w:cs="Arial"/>
          <w:sz w:val="24"/>
          <w:szCs w:val="24"/>
        </w:rPr>
        <w:t>**********</w:t>
      </w:r>
      <w:r w:rsidR="00F67B4C" w:rsidRPr="00D7799B">
        <w:rPr>
          <w:rFonts w:cs="Arial"/>
          <w:sz w:val="24"/>
          <w:szCs w:val="24"/>
        </w:rPr>
        <w:t xml:space="preserve">, </w:t>
      </w:r>
      <w:r w:rsidR="00F67B4C" w:rsidRPr="00D7799B">
        <w:rPr>
          <w:rFonts w:cs="Arial"/>
          <w:b w:val="0"/>
          <w:sz w:val="24"/>
          <w:szCs w:val="24"/>
        </w:rPr>
        <w:t>demandó la nulidad del documento en donde consta la multa por infracción establecida en el Código Fiscal para el Estado de Oaxaca, co</w:t>
      </w:r>
      <w:r w:rsidR="00F67B4C">
        <w:rPr>
          <w:rFonts w:cs="Arial"/>
          <w:b w:val="0"/>
          <w:sz w:val="24"/>
          <w:szCs w:val="24"/>
        </w:rPr>
        <w:t xml:space="preserve">n número de control </w:t>
      </w:r>
      <w:r w:rsidR="00C034AC">
        <w:rPr>
          <w:rFonts w:cs="Arial"/>
          <w:sz w:val="24"/>
          <w:szCs w:val="24"/>
        </w:rPr>
        <w:t>**********</w:t>
      </w:r>
      <w:r w:rsidR="00F67B4C" w:rsidRPr="00D7799B">
        <w:rPr>
          <w:rFonts w:cs="Arial"/>
          <w:b w:val="0"/>
          <w:sz w:val="24"/>
          <w:szCs w:val="24"/>
        </w:rPr>
        <w:t xml:space="preserve"> de </w:t>
      </w:r>
      <w:r w:rsidR="00F67B4C">
        <w:rPr>
          <w:rFonts w:cs="Arial"/>
          <w:b w:val="0"/>
          <w:sz w:val="24"/>
          <w:szCs w:val="24"/>
        </w:rPr>
        <w:t>17 diecisiete</w:t>
      </w:r>
      <w:r w:rsidR="00F67B4C" w:rsidRPr="00D7799B">
        <w:rPr>
          <w:rFonts w:cs="Arial"/>
          <w:b w:val="0"/>
          <w:sz w:val="24"/>
          <w:szCs w:val="24"/>
        </w:rPr>
        <w:t xml:space="preserve"> de agosto de 2017 dos mil diecisiete, emitido por la Directora de Ingresos y Recaudación de la Secretaría de Finanzas del Poder Ejecutivo del Estado de Oaxaca, al considerar que la resolución impugnada, </w:t>
      </w:r>
      <w:r w:rsidR="00F67B4C">
        <w:rPr>
          <w:rFonts w:cs="Arial"/>
          <w:b w:val="0"/>
          <w:sz w:val="24"/>
          <w:szCs w:val="24"/>
        </w:rPr>
        <w:t>no está debidamente fundada ni motivada, habida cuenta que la demandada se limitó a determinar e imponerle la multa, sustentando que dicha secretaría lo identificó como sujeto obligado en materia del Impuesto Cedular a los Ingresos por el Otorgamiento del Uso o Goce temporal de Bienes Inmuebles, y que no se advierte el dispositivo legal en que se previera que la autoridad tuviera facultades para</w:t>
      </w:r>
      <w:r w:rsidR="00197E47">
        <w:rPr>
          <w:rFonts w:cs="Arial"/>
          <w:b w:val="0"/>
          <w:sz w:val="24"/>
          <w:szCs w:val="24"/>
        </w:rPr>
        <w:t xml:space="preserve"> </w:t>
      </w:r>
      <w:r w:rsidR="00197E47">
        <w:rPr>
          <w:rFonts w:cs="Arial"/>
          <w:b w:val="0"/>
          <w:sz w:val="24"/>
          <w:szCs w:val="24"/>
        </w:rPr>
        <w:lastRenderedPageBreak/>
        <w:t>imponerle sanciones, en base só</w:t>
      </w:r>
      <w:r w:rsidR="00F67B4C">
        <w:rPr>
          <w:rFonts w:cs="Arial"/>
          <w:b w:val="0"/>
          <w:sz w:val="24"/>
          <w:szCs w:val="24"/>
        </w:rPr>
        <w:t>lo a un supuesta identificación del contribuyente. Y que no se advierten los elementos lógicos jurídicos en que la autoridad demandada sustentó para identificarlo como sujeto obligado al citado impuesto.</w:t>
      </w:r>
    </w:p>
    <w:p w:rsidR="00F67B4C" w:rsidRDefault="00F67B4C" w:rsidP="00F67B4C">
      <w:pPr>
        <w:pStyle w:val="corte3centro"/>
        <w:ind w:right="-518" w:firstLine="567"/>
        <w:jc w:val="both"/>
        <w:rPr>
          <w:rFonts w:cs="Arial"/>
          <w:b w:val="0"/>
          <w:sz w:val="24"/>
          <w:szCs w:val="24"/>
        </w:rPr>
      </w:pPr>
    </w:p>
    <w:p w:rsidR="00F67B4C" w:rsidRDefault="00F67B4C" w:rsidP="00F67B4C">
      <w:pPr>
        <w:pStyle w:val="corte3centro"/>
        <w:ind w:right="-518" w:firstLine="567"/>
        <w:jc w:val="both"/>
        <w:rPr>
          <w:rFonts w:cs="Arial"/>
          <w:b w:val="0"/>
          <w:bCs/>
          <w:sz w:val="24"/>
          <w:szCs w:val="24"/>
          <w:lang w:val="es-ES"/>
        </w:rPr>
      </w:pPr>
      <w:r>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sí motivó la </w:t>
      </w:r>
      <w:r w:rsidRPr="00383F66">
        <w:rPr>
          <w:rFonts w:cs="Arial"/>
          <w:b w:val="0"/>
          <w:bCs/>
          <w:sz w:val="24"/>
          <w:szCs w:val="24"/>
          <w:lang w:val="es-ES"/>
        </w:rPr>
        <w:t>imposición de la multa establecida en el Código Fiscal para el Estado de Oaxaca, a la par de que fundó su actuar, conforme al artículo 6</w:t>
      </w:r>
      <w:r>
        <w:rPr>
          <w:rFonts w:cs="Arial"/>
          <w:b w:val="0"/>
          <w:bCs/>
          <w:sz w:val="24"/>
          <w:szCs w:val="24"/>
          <w:lang w:val="es-ES"/>
        </w:rPr>
        <w:t>1</w:t>
      </w:r>
      <w:r w:rsidRPr="00383F66">
        <w:rPr>
          <w:rFonts w:cs="Arial"/>
          <w:b w:val="0"/>
          <w:bCs/>
          <w:sz w:val="24"/>
          <w:szCs w:val="24"/>
          <w:lang w:val="es-ES"/>
        </w:rPr>
        <w:t xml:space="preserve"> </w:t>
      </w:r>
      <w:r>
        <w:rPr>
          <w:rFonts w:cs="Arial"/>
          <w:b w:val="0"/>
          <w:bCs/>
          <w:sz w:val="24"/>
          <w:szCs w:val="24"/>
          <w:lang w:val="es-ES"/>
        </w:rPr>
        <w:t xml:space="preserve">párrafos primero y tercero del </w:t>
      </w:r>
      <w:r w:rsidRPr="00383F66">
        <w:rPr>
          <w:rFonts w:cs="Arial"/>
          <w:b w:val="0"/>
          <w:bCs/>
          <w:sz w:val="24"/>
          <w:szCs w:val="24"/>
          <w:lang w:val="es-ES"/>
        </w:rPr>
        <w:t xml:space="preserve">Código Fiscal para el Estado de Oaxaca, </w:t>
      </w:r>
      <w:r>
        <w:rPr>
          <w:rFonts w:cs="Arial"/>
          <w:b w:val="0"/>
          <w:bCs/>
          <w:sz w:val="24"/>
          <w:szCs w:val="24"/>
          <w:lang w:val="es-ES"/>
        </w:rPr>
        <w:t>53 y 55 fracción I, II y III, 56 fracción III</w:t>
      </w:r>
      <w:r w:rsidRPr="00383F66">
        <w:rPr>
          <w:rFonts w:cs="Arial"/>
          <w:b w:val="0"/>
          <w:bCs/>
          <w:sz w:val="24"/>
          <w:szCs w:val="24"/>
          <w:lang w:val="es-ES"/>
        </w:rPr>
        <w:t xml:space="preserve"> del Reglamento del citado </w:t>
      </w:r>
      <w:r w:rsidRPr="00641A6B">
        <w:rPr>
          <w:rFonts w:cs="Arial"/>
          <w:b w:val="0"/>
          <w:bCs/>
          <w:sz w:val="24"/>
          <w:szCs w:val="24"/>
          <w:lang w:val="es-ES"/>
        </w:rPr>
        <w:t xml:space="preserve">código, los cuales señalan que los contribuyentes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w:t>
      </w:r>
      <w:r w:rsidR="00B40F04">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5854065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6.15pt;margin-top:460.9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">
                <v:textbo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7B4C" w:rsidRPr="009C66B4" w:rsidRDefault="00F67B4C" w:rsidP="00F67B4C">
      <w:pPr>
        <w:pStyle w:val="corte3centro"/>
        <w:ind w:right="-518" w:firstLine="567"/>
        <w:jc w:val="both"/>
        <w:rPr>
          <w:rFonts w:cs="Arial"/>
          <w:b w:val="0"/>
          <w:sz w:val="24"/>
          <w:szCs w:val="24"/>
        </w:rPr>
      </w:pPr>
      <w:r>
        <w:rPr>
          <w:rFonts w:cs="Arial"/>
          <w:b w:val="0"/>
          <w:sz w:val="24"/>
          <w:szCs w:val="24"/>
        </w:rPr>
        <w:t xml:space="preserve">Ahora bien, del análisis de la multa por infracción relacionada con la presentación de declaración del Impuesto Cedular a los Ingresos por el Otorgamiento del Uso o Goce Temporal de Bienes Inmuebles, con número de control </w:t>
      </w:r>
      <w:r w:rsidR="00C034AC">
        <w:rPr>
          <w:rFonts w:cs="Arial"/>
          <w:sz w:val="24"/>
          <w:szCs w:val="24"/>
        </w:rPr>
        <w:t>**********</w:t>
      </w:r>
      <w:r>
        <w:rPr>
          <w:rFonts w:cs="Arial"/>
          <w:b w:val="0"/>
          <w:sz w:val="24"/>
          <w:szCs w:val="24"/>
        </w:rPr>
        <w:t xml:space="preserve"> de 17 diecisiete de agosto de 2017 dos mil diecisiete (foja </w:t>
      </w:r>
      <w:r w:rsidR="00A53475">
        <w:rPr>
          <w:rFonts w:cs="Arial"/>
          <w:b w:val="0"/>
          <w:sz w:val="24"/>
          <w:szCs w:val="24"/>
        </w:rPr>
        <w:t>9</w:t>
      </w:r>
      <w:r w:rsidRPr="009C66B4">
        <w:rPr>
          <w:rFonts w:cs="Arial"/>
          <w:b w:val="0"/>
          <w:sz w:val="24"/>
          <w:szCs w:val="24"/>
        </w:rPr>
        <w:t xml:space="preserve">), </w:t>
      </w:r>
      <w:r>
        <w:rPr>
          <w:rFonts w:cs="Arial"/>
          <w:b w:val="0"/>
          <w:sz w:val="24"/>
          <w:szCs w:val="24"/>
        </w:rPr>
        <w:t xml:space="preserve">documental, que hace prueba plena en términos de la fracción I del artículo 173 de la Ley de la Materia, por haber sido confeccionado por servidor público en ejercicio de sus funciones, </w:t>
      </w:r>
      <w:r w:rsidRPr="009C66B4">
        <w:rPr>
          <w:rFonts w:cs="Arial"/>
          <w:b w:val="0"/>
          <w:sz w:val="24"/>
          <w:szCs w:val="24"/>
        </w:rPr>
        <w:t xml:space="preserve">se advierte que la autoridad demandada en la parte que interesa </w:t>
      </w:r>
      <w:r>
        <w:rPr>
          <w:rFonts w:cs="Arial"/>
          <w:b w:val="0"/>
          <w:sz w:val="24"/>
          <w:szCs w:val="24"/>
        </w:rPr>
        <w:t>dice:</w:t>
      </w:r>
    </w:p>
    <w:p w:rsidR="00F67B4C" w:rsidRPr="009C66B4" w:rsidRDefault="00F67B4C" w:rsidP="00F67B4C">
      <w:pPr>
        <w:pStyle w:val="corte3centro"/>
        <w:ind w:right="-518" w:firstLine="567"/>
        <w:jc w:val="both"/>
        <w:rPr>
          <w:rFonts w:cs="Arial"/>
          <w:b w:val="0"/>
          <w:sz w:val="24"/>
          <w:szCs w:val="24"/>
        </w:rPr>
      </w:pPr>
    </w:p>
    <w:p w:rsidR="00F67B4C" w:rsidRPr="00E92704" w:rsidRDefault="00F67B4C" w:rsidP="00F67B4C">
      <w:pPr>
        <w:pStyle w:val="corte3centro"/>
        <w:spacing w:line="276" w:lineRule="auto"/>
        <w:ind w:left="567" w:right="-518"/>
        <w:jc w:val="both"/>
        <w:rPr>
          <w:rFonts w:cs="Arial"/>
          <w:b w:val="0"/>
          <w:i/>
          <w:sz w:val="23"/>
          <w:szCs w:val="23"/>
        </w:rPr>
      </w:pPr>
      <w:r w:rsidRPr="00E92704">
        <w:rPr>
          <w:rFonts w:cs="Arial"/>
          <w:b w:val="0"/>
          <w:i/>
          <w:sz w:val="23"/>
          <w:szCs w:val="23"/>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F67B4C" w:rsidRPr="00E92704" w:rsidRDefault="00F67B4C" w:rsidP="00F67B4C">
      <w:pPr>
        <w:pStyle w:val="corte3centro"/>
        <w:spacing w:line="276" w:lineRule="auto"/>
        <w:ind w:left="567" w:right="-518"/>
        <w:jc w:val="both"/>
        <w:rPr>
          <w:rFonts w:cs="Arial"/>
          <w:b w:val="0"/>
          <w:i/>
          <w:sz w:val="23"/>
          <w:szCs w:val="23"/>
        </w:rPr>
      </w:pPr>
      <w:r w:rsidRPr="00E92704">
        <w:rPr>
          <w:rFonts w:cs="Arial"/>
          <w:b w:val="0"/>
          <w:i/>
          <w:sz w:val="23"/>
          <w:szCs w:val="23"/>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bimestrales(es) definitiva(s) y enterar el Impuesto que nos ocupa, conforme a lo siguiente:</w:t>
      </w:r>
    </w:p>
    <w:p w:rsidR="00F67B4C" w:rsidRPr="00E92704" w:rsidRDefault="00F67B4C" w:rsidP="00F67B4C">
      <w:pPr>
        <w:pStyle w:val="corte3centro"/>
        <w:spacing w:line="276" w:lineRule="auto"/>
        <w:ind w:left="567" w:right="-518"/>
        <w:jc w:val="both"/>
        <w:rPr>
          <w:rFonts w:cs="Arial"/>
          <w:b w:val="0"/>
          <w:i/>
          <w:sz w:val="23"/>
          <w:szCs w:val="23"/>
        </w:rPr>
      </w:pPr>
    </w:p>
    <w:p w:rsidR="00F67B4C" w:rsidRPr="00E92704" w:rsidRDefault="00F67B4C" w:rsidP="00F67B4C">
      <w:pPr>
        <w:pStyle w:val="corte3centro"/>
        <w:spacing w:line="276" w:lineRule="auto"/>
        <w:ind w:right="-518" w:firstLine="567"/>
        <w:jc w:val="both"/>
        <w:rPr>
          <w:rFonts w:cs="Arial"/>
          <w:b w:val="0"/>
          <w:i/>
          <w:sz w:val="23"/>
          <w:szCs w:val="23"/>
        </w:rPr>
      </w:pPr>
      <w:r w:rsidRPr="00E92704">
        <w:rPr>
          <w:rFonts w:cs="Arial"/>
          <w:b w:val="0"/>
          <w:i/>
          <w:sz w:val="23"/>
          <w:szCs w:val="23"/>
        </w:rPr>
        <w:t>…</w:t>
      </w:r>
    </w:p>
    <w:p w:rsidR="00F67B4C" w:rsidRPr="00E92704" w:rsidRDefault="00F67B4C" w:rsidP="00F67B4C">
      <w:pPr>
        <w:pStyle w:val="corte3centro"/>
        <w:ind w:right="-518" w:firstLine="567"/>
        <w:jc w:val="both"/>
        <w:rPr>
          <w:rFonts w:cs="Arial"/>
          <w:sz w:val="23"/>
          <w:szCs w:val="23"/>
        </w:rPr>
      </w:pPr>
    </w:p>
    <w:p w:rsidR="00F67B4C" w:rsidRPr="00E92704" w:rsidRDefault="00F67B4C" w:rsidP="00F67B4C">
      <w:pPr>
        <w:pStyle w:val="corte3centro"/>
        <w:ind w:left="567" w:right="-518"/>
        <w:jc w:val="both"/>
        <w:rPr>
          <w:rFonts w:cs="Arial"/>
          <w:b w:val="0"/>
          <w:i/>
          <w:sz w:val="23"/>
          <w:szCs w:val="23"/>
        </w:rPr>
      </w:pPr>
      <w:r w:rsidRPr="00E92704">
        <w:rPr>
          <w:rFonts w:cs="Arial"/>
          <w:b w:val="0"/>
          <w:i/>
          <w:sz w:val="23"/>
          <w:szCs w:val="23"/>
        </w:rPr>
        <w:lastRenderedPageBreak/>
        <w:t>Considerando que con fecha 1</w:t>
      </w:r>
      <w:r w:rsidR="00A53475">
        <w:rPr>
          <w:rFonts w:cs="Arial"/>
          <w:b w:val="0"/>
          <w:i/>
          <w:sz w:val="23"/>
          <w:szCs w:val="23"/>
        </w:rPr>
        <w:t>6</w:t>
      </w:r>
      <w:r w:rsidRPr="00E92704">
        <w:rPr>
          <w:rFonts w:cs="Arial"/>
          <w:b w:val="0"/>
          <w:i/>
          <w:sz w:val="23"/>
          <w:szCs w:val="23"/>
        </w:rPr>
        <w:t xml:space="preserve"> de </w:t>
      </w:r>
      <w:r w:rsidR="00B2464B">
        <w:rPr>
          <w:rFonts w:cs="Arial"/>
          <w:b w:val="0"/>
          <w:i/>
          <w:sz w:val="23"/>
          <w:szCs w:val="23"/>
        </w:rPr>
        <w:t xml:space="preserve">Marzo </w:t>
      </w:r>
      <w:r w:rsidRPr="00E92704">
        <w:rPr>
          <w:rFonts w:cs="Arial"/>
          <w:b w:val="0"/>
          <w:i/>
          <w:sz w:val="23"/>
          <w:szCs w:val="23"/>
        </w:rPr>
        <w:t>de 20</w:t>
      </w:r>
      <w:r w:rsidR="00B2464B">
        <w:rPr>
          <w:rFonts w:cs="Arial"/>
          <w:b w:val="0"/>
          <w:i/>
          <w:sz w:val="23"/>
          <w:szCs w:val="23"/>
        </w:rPr>
        <w:t>06</w:t>
      </w:r>
      <w:r w:rsidRPr="00E92704">
        <w:rPr>
          <w:rFonts w:cs="Arial"/>
          <w:b w:val="0"/>
          <w:i/>
          <w:sz w:val="23"/>
          <w:szCs w:val="23"/>
        </w:rPr>
        <w:t>,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en consecuencia se le impone la multa citada en los términos siguientes:</w:t>
      </w:r>
    </w:p>
    <w:p w:rsidR="00F67B4C" w:rsidRPr="00E15A76" w:rsidRDefault="00F67B4C" w:rsidP="00F67B4C">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F67B4C" w:rsidRPr="00E15A76" w:rsidTr="0018258E">
        <w:tc>
          <w:tcPr>
            <w:tcW w:w="2660" w:type="dxa"/>
          </w:tcPr>
          <w:p w:rsidR="00F67B4C" w:rsidRPr="00E15A76" w:rsidRDefault="00F67B4C" w:rsidP="0018258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F67B4C" w:rsidRPr="00E15A76" w:rsidRDefault="00F67B4C" w:rsidP="0018258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F67B4C" w:rsidRPr="00E15A76" w:rsidRDefault="00F67B4C" w:rsidP="0018258E">
            <w:pPr>
              <w:pStyle w:val="corte3centro"/>
              <w:tabs>
                <w:tab w:val="left" w:pos="4578"/>
              </w:tabs>
              <w:ind w:right="-518"/>
              <w:jc w:val="both"/>
              <w:rPr>
                <w:rFonts w:cs="Arial"/>
                <w:i/>
                <w:sz w:val="16"/>
                <w:szCs w:val="16"/>
              </w:rPr>
            </w:pPr>
            <w:r w:rsidRPr="00E15A76">
              <w:rPr>
                <w:rFonts w:cs="Arial"/>
                <w:i/>
                <w:sz w:val="16"/>
                <w:szCs w:val="16"/>
              </w:rPr>
              <w:t>UMA VIGENTE</w:t>
            </w:r>
          </w:p>
        </w:tc>
        <w:tc>
          <w:tcPr>
            <w:tcW w:w="1716" w:type="dxa"/>
          </w:tcPr>
          <w:p w:rsidR="00F67B4C" w:rsidRPr="00E15A76" w:rsidRDefault="00F67B4C" w:rsidP="0018258E">
            <w:pPr>
              <w:pStyle w:val="corte3centro"/>
              <w:tabs>
                <w:tab w:val="left" w:pos="4578"/>
              </w:tabs>
              <w:ind w:right="-518"/>
              <w:jc w:val="both"/>
              <w:rPr>
                <w:rFonts w:cs="Arial"/>
                <w:i/>
                <w:sz w:val="16"/>
                <w:szCs w:val="16"/>
              </w:rPr>
            </w:pPr>
            <w:r w:rsidRPr="00E15A76">
              <w:rPr>
                <w:rFonts w:cs="Arial"/>
                <w:i/>
                <w:sz w:val="16"/>
                <w:szCs w:val="16"/>
              </w:rPr>
              <w:t>MULTA A PAGAR</w:t>
            </w:r>
          </w:p>
        </w:tc>
      </w:tr>
      <w:tr w:rsidR="00F67B4C" w:rsidRPr="004B335E" w:rsidTr="0018258E">
        <w:tc>
          <w:tcPr>
            <w:tcW w:w="2660"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50 UMA</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F67B4C" w:rsidRPr="004B335E" w:rsidRDefault="00F67B4C" w:rsidP="0018258E">
            <w:pPr>
              <w:pStyle w:val="corte3centro"/>
              <w:tabs>
                <w:tab w:val="left" w:pos="4578"/>
              </w:tabs>
              <w:ind w:right="-518"/>
              <w:rPr>
                <w:rFonts w:cs="Arial"/>
                <w:b w:val="0"/>
                <w:i/>
                <w:sz w:val="16"/>
                <w:szCs w:val="16"/>
              </w:rPr>
            </w:pPr>
            <w:r w:rsidRPr="004B335E">
              <w:rPr>
                <w:rFonts w:cs="Arial"/>
                <w:b w:val="0"/>
                <w:i/>
                <w:sz w:val="16"/>
                <w:szCs w:val="16"/>
              </w:rPr>
              <w:t>$75.49</w:t>
            </w:r>
          </w:p>
        </w:tc>
        <w:tc>
          <w:tcPr>
            <w:tcW w:w="1716"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$3,775.00</w:t>
            </w:r>
          </w:p>
        </w:tc>
      </w:tr>
    </w:tbl>
    <w:p w:rsidR="00F67B4C" w:rsidRPr="004B335E" w:rsidRDefault="00F67B4C" w:rsidP="00F67B4C">
      <w:pPr>
        <w:pStyle w:val="corte3centro"/>
        <w:ind w:right="-518" w:firstLine="567"/>
        <w:jc w:val="both"/>
        <w:rPr>
          <w:rFonts w:cs="Arial"/>
          <w:b w:val="0"/>
          <w:i/>
          <w:sz w:val="24"/>
          <w:szCs w:val="24"/>
        </w:rPr>
      </w:pPr>
    </w:p>
    <w:p w:rsidR="00F67B4C" w:rsidRPr="00EA332C" w:rsidRDefault="00F67B4C" w:rsidP="00F67B4C">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la multa por infracción establecida en el Código Fiscal para el Estado de Oaxaca, con número de control </w:t>
      </w:r>
      <w:r w:rsidR="00C034AC">
        <w:rPr>
          <w:rFonts w:cs="Arial"/>
          <w:sz w:val="24"/>
          <w:szCs w:val="24"/>
        </w:rPr>
        <w:t>**********</w:t>
      </w:r>
      <w:r>
        <w:rPr>
          <w:rFonts w:cs="Arial"/>
          <w:b w:val="0"/>
          <w:sz w:val="24"/>
          <w:szCs w:val="24"/>
        </w:rPr>
        <w:t xml:space="preserve"> de 17 diecisiete de agosto de 2017 dos mil diecisiete, señala como fundamento: “</w:t>
      </w:r>
      <w:r w:rsidRPr="00EA332C">
        <w:rPr>
          <w:rFonts w:cs="Arial"/>
          <w:b w:val="0"/>
          <w:i/>
          <w:sz w:val="24"/>
          <w:szCs w:val="24"/>
        </w:rPr>
        <w:t>Artículo 269 fracción I del Código Fiscal para el Estado de Oaxaca vigente”</w:t>
      </w:r>
      <w:r>
        <w:rPr>
          <w:rFonts w:cs="Arial"/>
          <w:b w:val="0"/>
          <w:i/>
          <w:sz w:val="24"/>
          <w:szCs w:val="24"/>
        </w:rPr>
        <w:t xml:space="preserve">  </w:t>
      </w:r>
      <w:r>
        <w:rPr>
          <w:rFonts w:cs="Arial"/>
          <w:b w:val="0"/>
          <w:sz w:val="24"/>
          <w:szCs w:val="24"/>
        </w:rPr>
        <w:t>así también, le informa que “</w:t>
      </w:r>
      <w:r>
        <w:rPr>
          <w:rFonts w:cs="Arial"/>
          <w:b w:val="0"/>
          <w:i/>
          <w:sz w:val="24"/>
          <w:szCs w:val="24"/>
        </w:rPr>
        <w:t>se realizó una revisión minuciosa en el Registro Estatal de Contribuyentes con que cuenta esta Secretaría; la cual contiene los registros contables en materia de declaraciones y pagos. . .que se le ha identificado como sujeto obligado en materia del impuesto de referencia”;</w:t>
      </w:r>
    </w:p>
    <w:p w:rsidR="00F67B4C" w:rsidRDefault="00F67B4C" w:rsidP="00F67B4C">
      <w:pPr>
        <w:pStyle w:val="corte3centro"/>
        <w:tabs>
          <w:tab w:val="left" w:pos="4578"/>
        </w:tabs>
        <w:ind w:right="-518"/>
        <w:jc w:val="both"/>
        <w:rPr>
          <w:rFonts w:cs="Arial"/>
          <w:b w:val="0"/>
          <w:sz w:val="24"/>
          <w:szCs w:val="24"/>
        </w:rPr>
      </w:pPr>
      <w:r>
        <w:rPr>
          <w:rFonts w:cs="Arial"/>
          <w:b w:val="0"/>
          <w:sz w:val="24"/>
          <w:szCs w:val="24"/>
        </w:rPr>
        <w:t>sin embargo, no señala en qué consiste el Impuesto Cedular a los Ingresos por el Otorgamiento del Uso o goce Temporal de Bienes Inmuebles. Tampoco señala cuáles son las actividades que realiza la actora, para considerarla como sujeto obligado al pago del citado impuesto, ya que si bien es cierto, que la autoridad demandada, hace del conocimiento a la actora que realizó una revisión minuciosa en el Registro Estatal de Contribuyentes con que cuenta la Secretaría, que contiene los registros contables en materia de declaraciones y pagos, también, es cierto, que en ningún momento indica, cuales son las actividades que el actor realiza para adecuarlo como sujeto obligado en materia de impuestos.</w:t>
      </w:r>
    </w:p>
    <w:p w:rsidR="00F67B4C" w:rsidRDefault="00F67B4C" w:rsidP="00F67B4C">
      <w:pPr>
        <w:pStyle w:val="corte3centro"/>
        <w:tabs>
          <w:tab w:val="left" w:pos="4578"/>
        </w:tabs>
        <w:ind w:right="-518"/>
        <w:jc w:val="both"/>
        <w:rPr>
          <w:rFonts w:cs="Arial"/>
          <w:b w:val="0"/>
          <w:sz w:val="24"/>
          <w:szCs w:val="24"/>
        </w:rPr>
      </w:pPr>
    </w:p>
    <w:p w:rsidR="00F67B4C" w:rsidRPr="00E87363" w:rsidRDefault="00F67B4C" w:rsidP="00F67B4C">
      <w:pPr>
        <w:pStyle w:val="corte3centro"/>
        <w:ind w:right="-518" w:firstLine="567"/>
        <w:jc w:val="both"/>
        <w:rPr>
          <w:rFonts w:cs="Arial"/>
          <w:b w:val="0"/>
          <w:color w:val="FF0000"/>
          <w:sz w:val="24"/>
          <w:szCs w:val="24"/>
        </w:rPr>
      </w:pPr>
      <w:r>
        <w:rPr>
          <w:rFonts w:cs="Arial"/>
          <w:b w:val="0"/>
          <w:sz w:val="24"/>
          <w:szCs w:val="24"/>
        </w:rPr>
        <w:t>Lo anterior,</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al emitir todo acto administrativo</w:t>
      </w:r>
      <w:r w:rsidRPr="00676CA6">
        <w:rPr>
          <w:rFonts w:cs="Arial"/>
          <w:b w:val="0"/>
          <w:sz w:val="24"/>
          <w:szCs w:val="24"/>
        </w:rPr>
        <w:t xml:space="preserve">, </w:t>
      </w:r>
      <w:r>
        <w:rPr>
          <w:rFonts w:cs="Arial"/>
          <w:b w:val="0"/>
          <w:sz w:val="24"/>
          <w:szCs w:val="24"/>
        </w:rPr>
        <w:t xml:space="preserve">ya que  con la sola manifestación de que el actor fue identificado como sujeto </w:t>
      </w:r>
      <w:r w:rsidRPr="00E15A76">
        <w:rPr>
          <w:rFonts w:cs="Arial"/>
          <w:b w:val="0"/>
          <w:sz w:val="24"/>
          <w:szCs w:val="24"/>
        </w:rPr>
        <w:t xml:space="preserve">obligado al pago del Impuesto Cedular a los Ingresos por el </w:t>
      </w:r>
      <w:r w:rsidRPr="00E15A76">
        <w:rPr>
          <w:rFonts w:cs="Arial"/>
          <w:b w:val="0"/>
          <w:sz w:val="24"/>
          <w:szCs w:val="24"/>
        </w:rPr>
        <w:lastRenderedPageBreak/>
        <w:t>Otorgamiento del Uso o goce Temporal de Bienes Inmuebles, no hay argumento lógico-jurídico que obliguen a la actora a pagar el impuesto señalado, por lo que la deja en estado de indefensión. Es decir, que la autoridad demandada, tiene la carga de la prueba para demostrar que las actividades comerciales que realiza la actora,</w:t>
      </w:r>
      <w:r>
        <w:rPr>
          <w:rFonts w:cs="Arial"/>
          <w:b w:val="0"/>
          <w:sz w:val="24"/>
          <w:szCs w:val="24"/>
        </w:rPr>
        <w:t xml:space="preserve"> están sujetas al pago del I</w:t>
      </w:r>
      <w:r w:rsidRPr="00E15A76">
        <w:rPr>
          <w:rFonts w:cs="Arial"/>
          <w:b w:val="0"/>
          <w:sz w:val="24"/>
          <w:szCs w:val="24"/>
        </w:rPr>
        <w:t xml:space="preserve">mpuesto </w:t>
      </w:r>
      <w:r>
        <w:rPr>
          <w:rFonts w:cs="Arial"/>
          <w:b w:val="0"/>
          <w:sz w:val="24"/>
          <w:szCs w:val="24"/>
        </w:rPr>
        <w:t>Cedular a los Ingresos por el Otorgamiento del Uso o Goce Temporal de Bienes Inmuebles</w:t>
      </w:r>
      <w:r w:rsidRPr="00E87363">
        <w:rPr>
          <w:rFonts w:cs="Arial"/>
          <w:b w:val="0"/>
          <w:color w:val="FF0000"/>
          <w:sz w:val="24"/>
          <w:szCs w:val="24"/>
        </w:rPr>
        <w:t xml:space="preserve">. </w:t>
      </w:r>
    </w:p>
    <w:p w:rsidR="00F67B4C" w:rsidRPr="00E87363" w:rsidRDefault="00F67B4C" w:rsidP="00F67B4C">
      <w:pPr>
        <w:pStyle w:val="corte3centro"/>
        <w:ind w:right="-518" w:firstLine="567"/>
        <w:jc w:val="both"/>
        <w:rPr>
          <w:rFonts w:cs="Arial"/>
          <w:b w:val="0"/>
          <w:color w:val="FF0000"/>
          <w:sz w:val="24"/>
          <w:szCs w:val="24"/>
        </w:rPr>
      </w:pPr>
    </w:p>
    <w:p w:rsidR="00F67B4C" w:rsidRPr="003C0E2A" w:rsidRDefault="00F67B4C" w:rsidP="00F67B4C">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w:t>
      </w:r>
      <w:r>
        <w:rPr>
          <w:rFonts w:cs="Arial"/>
          <w:b w:val="0"/>
          <w:sz w:val="24"/>
          <w:szCs w:val="24"/>
        </w:rPr>
        <w:t>debe contener;</w:t>
      </w:r>
      <w:r w:rsidRPr="005271D4">
        <w:rPr>
          <w:rFonts w:cs="Arial"/>
          <w:b w:val="0"/>
          <w:sz w:val="24"/>
          <w:szCs w:val="24"/>
        </w:rPr>
        <w:t xml:space="preserve">  ya que si bien es cierto, que la autoridad </w:t>
      </w:r>
      <w:r>
        <w:rPr>
          <w:rFonts w:cs="Arial"/>
          <w:b w:val="0"/>
          <w:sz w:val="24"/>
          <w:szCs w:val="24"/>
        </w:rPr>
        <w:t>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Cedular a los Ingresos por el Otorgamiento del Uso o goce Temporal de Bienes Inmuebles, sin mencionar,  en qué consiste el citado impuesto, ni cuáles son las actividades que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para el Estado de Oaxaca, con número de control </w:t>
      </w:r>
      <w:r w:rsidR="00C034AC">
        <w:rPr>
          <w:rFonts w:cs="Arial"/>
          <w:sz w:val="24"/>
          <w:szCs w:val="24"/>
        </w:rPr>
        <w:t>**********</w:t>
      </w:r>
      <w:r w:rsidRPr="00237F27">
        <w:rPr>
          <w:sz w:val="24"/>
          <w:szCs w:val="24"/>
        </w:rPr>
        <w:t xml:space="preserve"> de </w:t>
      </w:r>
      <w:r>
        <w:rPr>
          <w:sz w:val="24"/>
          <w:szCs w:val="24"/>
        </w:rPr>
        <w:t xml:space="preserve">17 diecisiete </w:t>
      </w:r>
      <w:r w:rsidRPr="00237F27">
        <w:rPr>
          <w:sz w:val="24"/>
          <w:szCs w:val="24"/>
        </w:rPr>
        <w:t>de agosto de 2017 dos mil diecisiete</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F67B4C" w:rsidRPr="00E1058C" w:rsidRDefault="00F67B4C" w:rsidP="00F67B4C">
      <w:pPr>
        <w:pStyle w:val="corte3centro"/>
        <w:ind w:right="-518" w:firstLine="567"/>
        <w:jc w:val="both"/>
        <w:rPr>
          <w:b w:val="0"/>
          <w:sz w:val="24"/>
          <w:szCs w:val="24"/>
        </w:rPr>
      </w:pPr>
    </w:p>
    <w:p w:rsidR="00F67B4C" w:rsidRDefault="00B40F04" w:rsidP="00F67B4C">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1E55A44" wp14:editId="46C4BCC4">
                <wp:simplePos x="0" y="0"/>
                <wp:positionH relativeFrom="column">
                  <wp:posOffset>-1173480</wp:posOffset>
                </wp:positionH>
                <wp:positionV relativeFrom="paragraph">
                  <wp:posOffset>227965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2.4pt;margin-top:17.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">
                <v:textbox>
                  <w:txbxContent>
                    <w:p w:rsidR="00B40F04" w:rsidRDefault="00B40F04" w:rsidP="00B40F0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sidRPr="00F5368D">
        <w:rPr>
          <w:rFonts w:cs="Arial"/>
          <w:b w:val="0"/>
          <w:sz w:val="24"/>
          <w:szCs w:val="24"/>
        </w:rPr>
        <w:t>Por último es preciso establecer, que si bien es verdad que los Tribunales deben ocuparse de todos los planteamientos formulados por las partes, también lo es</w:t>
      </w:r>
      <w:r w:rsidR="00F67B4C">
        <w:rPr>
          <w:rFonts w:cs="Arial"/>
          <w:b w:val="0"/>
          <w:sz w:val="24"/>
          <w:szCs w:val="24"/>
        </w:rPr>
        <w:t>,</w:t>
      </w:r>
      <w:r w:rsidR="00F67B4C"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67B4C" w:rsidRDefault="00F67B4C" w:rsidP="00F67B4C">
      <w:pPr>
        <w:pStyle w:val="corte3centro"/>
        <w:ind w:right="-518" w:firstLine="567"/>
        <w:jc w:val="both"/>
        <w:rPr>
          <w:rFonts w:cs="Arial"/>
          <w:b w:val="0"/>
          <w:sz w:val="24"/>
          <w:szCs w:val="24"/>
        </w:rPr>
      </w:pPr>
    </w:p>
    <w:p w:rsidR="00F67B4C" w:rsidRPr="00A53475" w:rsidRDefault="00F67B4C" w:rsidP="00B2464B">
      <w:pPr>
        <w:pStyle w:val="corte3centro"/>
        <w:spacing w:line="276" w:lineRule="auto"/>
        <w:ind w:left="567" w:right="-518"/>
        <w:jc w:val="both"/>
        <w:rPr>
          <w:rFonts w:cs="Arial"/>
          <w:b w:val="0"/>
          <w:sz w:val="22"/>
          <w:szCs w:val="22"/>
        </w:rPr>
      </w:pPr>
      <w:r w:rsidRPr="00A53475">
        <w:rPr>
          <w:rFonts w:cs="Arial"/>
          <w:sz w:val="22"/>
          <w:szCs w:val="22"/>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A53475">
        <w:rPr>
          <w:rFonts w:cs="Arial"/>
          <w:b w:val="0"/>
          <w:sz w:val="22"/>
          <w:szCs w:val="22"/>
        </w:rPr>
        <w:t xml:space="preserve">En el artículo 237 del </w:t>
      </w:r>
      <w:r w:rsidRPr="00A53475">
        <w:rPr>
          <w:rFonts w:cs="Arial"/>
          <w:b w:val="0"/>
          <w:sz w:val="22"/>
          <w:szCs w:val="22"/>
        </w:rPr>
        <w:lastRenderedPageBreak/>
        <w:t>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A53475">
        <w:rPr>
          <w:rFonts w:cs="Arial"/>
          <w:sz w:val="22"/>
          <w:szCs w:val="22"/>
        </w:rPr>
        <w:t xml:space="preserve"> </w:t>
      </w:r>
      <w:r w:rsidRPr="00A53475">
        <w:rPr>
          <w:rFonts w:cs="Arial"/>
          <w:b w:val="0"/>
          <w:sz w:val="22"/>
          <w:szCs w:val="22"/>
        </w:rPr>
        <w:t>actor, y sólo en el evento de estimarlos infundados, se</w:t>
      </w:r>
      <w:r w:rsidRPr="00A53475">
        <w:rPr>
          <w:rFonts w:cs="Arial"/>
          <w:sz w:val="22"/>
          <w:szCs w:val="22"/>
        </w:rPr>
        <w:t xml:space="preserve"> </w:t>
      </w:r>
      <w:r w:rsidRPr="00A53475">
        <w:rPr>
          <w:rFonts w:cs="Arial"/>
          <w:b w:val="0"/>
          <w:sz w:val="22"/>
          <w:szCs w:val="22"/>
        </w:rPr>
        <w:t>pronuncie sobre los conceptos de impugnación que lleven a una declaratoria de nulidad para efectos, bien sea de la llamada comúnmente "del tercer tipo", por versar sobre el ejercicio de facultades discrecionales o, en su caso, para otros efectos”.</w:t>
      </w:r>
    </w:p>
    <w:p w:rsidR="00F67B4C" w:rsidRPr="0041504C" w:rsidRDefault="00F67B4C" w:rsidP="00F67B4C">
      <w:pPr>
        <w:spacing w:line="360" w:lineRule="auto"/>
        <w:ind w:right="-518" w:firstLine="708"/>
        <w:jc w:val="both"/>
        <w:rPr>
          <w:rFonts w:ascii="Arial" w:hAnsi="Arial" w:cs="Arial"/>
          <w:bCs/>
          <w:color w:val="00000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p>
    <w:p w:rsidR="00110BE0" w:rsidRDefault="00110BE0" w:rsidP="00FF2453">
      <w:pPr>
        <w:pStyle w:val="corte3centro"/>
        <w:ind w:right="-518" w:firstLine="567"/>
        <w:jc w:val="both"/>
        <w:rPr>
          <w:rFonts w:cs="Arial"/>
          <w:bCs/>
          <w:color w:val="000000"/>
          <w:sz w:val="24"/>
          <w:szCs w:val="24"/>
        </w:rPr>
      </w:pPr>
    </w:p>
    <w:p w:rsidR="002F7F2D" w:rsidRPr="0041504C" w:rsidRDefault="00DA082B" w:rsidP="00A53475">
      <w:pPr>
        <w:pStyle w:val="corte3centro"/>
        <w:ind w:right="-518" w:firstLine="567"/>
        <w:jc w:val="both"/>
        <w:rPr>
          <w:rFonts w:cs="Arial"/>
          <w:bCs/>
          <w:color w:val="000000"/>
          <w:sz w:val="24"/>
          <w:szCs w:val="24"/>
        </w:rPr>
      </w:pPr>
      <w:r w:rsidRPr="001610A0">
        <w:rPr>
          <w:rFonts w:cs="Arial"/>
          <w:bCs/>
          <w:color w:val="000000"/>
          <w:sz w:val="24"/>
          <w:szCs w:val="24"/>
        </w:rPr>
        <w:t>TERCERO.</w:t>
      </w:r>
      <w:r w:rsidR="00A53475">
        <w:rPr>
          <w:rFonts w:cs="Arial"/>
          <w:bCs/>
          <w:color w:val="000000"/>
          <w:sz w:val="24"/>
          <w:szCs w:val="24"/>
        </w:rPr>
        <w:t xml:space="preserve"> </w:t>
      </w:r>
      <w:r w:rsidR="00A53475">
        <w:rPr>
          <w:rFonts w:cs="Arial"/>
          <w:b w:val="0"/>
          <w:bCs/>
          <w:color w:val="000000"/>
          <w:sz w:val="24"/>
          <w:szCs w:val="24"/>
        </w:rPr>
        <w:t xml:space="preserve">Se </w:t>
      </w:r>
      <w:r w:rsidR="00A53475" w:rsidRPr="00E1058C">
        <w:rPr>
          <w:rFonts w:cs="Arial"/>
          <w:b w:val="0"/>
          <w:sz w:val="24"/>
          <w:szCs w:val="24"/>
        </w:rPr>
        <w:t xml:space="preserve">declara </w:t>
      </w:r>
      <w:r w:rsidR="00A53475">
        <w:rPr>
          <w:rFonts w:cs="Arial"/>
          <w:b w:val="0"/>
          <w:sz w:val="24"/>
          <w:szCs w:val="24"/>
        </w:rPr>
        <w:t>la</w:t>
      </w:r>
      <w:r w:rsidR="00A53475" w:rsidRPr="00E1058C">
        <w:rPr>
          <w:rFonts w:cs="Arial"/>
          <w:b w:val="0"/>
          <w:sz w:val="24"/>
          <w:szCs w:val="24"/>
        </w:rPr>
        <w:t xml:space="preserve"> </w:t>
      </w:r>
      <w:r w:rsidR="00A53475" w:rsidRPr="00237F27">
        <w:rPr>
          <w:rFonts w:cs="Arial"/>
          <w:sz w:val="24"/>
          <w:szCs w:val="24"/>
        </w:rPr>
        <w:t>NULIDAD LISA Y LLANA</w:t>
      </w:r>
      <w:r w:rsidR="00A53475" w:rsidRPr="00E1058C">
        <w:rPr>
          <w:rFonts w:cs="Arial"/>
          <w:b w:val="0"/>
          <w:sz w:val="24"/>
          <w:szCs w:val="24"/>
        </w:rPr>
        <w:t xml:space="preserve"> </w:t>
      </w:r>
      <w:r w:rsidR="00A53475" w:rsidRPr="00E1058C">
        <w:rPr>
          <w:b w:val="0"/>
          <w:sz w:val="24"/>
          <w:szCs w:val="24"/>
        </w:rPr>
        <w:t xml:space="preserve">de la multa por infracción establecida en el Código Fiscal para el Estado de Oaxaca, con número de control </w:t>
      </w:r>
      <w:r w:rsidR="00C034AC">
        <w:rPr>
          <w:rFonts w:cs="Arial"/>
          <w:sz w:val="24"/>
          <w:szCs w:val="24"/>
        </w:rPr>
        <w:t>**********</w:t>
      </w:r>
      <w:r w:rsidR="00A53475" w:rsidRPr="00237F27">
        <w:rPr>
          <w:sz w:val="24"/>
          <w:szCs w:val="24"/>
        </w:rPr>
        <w:t xml:space="preserve"> de </w:t>
      </w:r>
      <w:r w:rsidR="00A53475">
        <w:rPr>
          <w:sz w:val="24"/>
          <w:szCs w:val="24"/>
        </w:rPr>
        <w:t xml:space="preserve">17 diecisiete </w:t>
      </w:r>
      <w:r w:rsidR="00A53475" w:rsidRPr="00237F27">
        <w:rPr>
          <w:sz w:val="24"/>
          <w:szCs w:val="24"/>
        </w:rPr>
        <w:t>de agosto de 2017 dos mil diecisiete</w:t>
      </w:r>
      <w:r w:rsidR="00A53475">
        <w:rPr>
          <w:sz w:val="24"/>
          <w:szCs w:val="24"/>
        </w:rPr>
        <w:t xml:space="preserve">, </w:t>
      </w:r>
      <w:r w:rsidR="00A53475">
        <w:rPr>
          <w:b w:val="0"/>
          <w:sz w:val="24"/>
          <w:szCs w:val="24"/>
        </w:rPr>
        <w:t>emitida por la Directora de Ingresos y Recaudación</w:t>
      </w:r>
      <w:r w:rsidR="00A53475" w:rsidRPr="003C0E2A">
        <w:rPr>
          <w:rFonts w:cs="Arial"/>
          <w:b w:val="0"/>
          <w:sz w:val="24"/>
          <w:szCs w:val="24"/>
        </w:rPr>
        <w:t xml:space="preserve"> </w:t>
      </w:r>
      <w:r w:rsidR="00A53475">
        <w:rPr>
          <w:b w:val="0"/>
          <w:sz w:val="24"/>
          <w:szCs w:val="24"/>
        </w:rPr>
        <w:t>de la Secretaría de Finanzas del Poder Ejecutivo del Estado.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xml:space="preserve">, quien actúa con el </w:t>
      </w:r>
      <w:bookmarkStart w:id="0" w:name="_GoBack"/>
      <w:bookmarkEnd w:id="0"/>
      <w:r>
        <w:rPr>
          <w:rFonts w:ascii="Arial" w:hAnsi="Arial" w:cs="Arial"/>
          <w:sz w:val="24"/>
          <w:szCs w:val="24"/>
        </w:rPr>
        <w:t>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A1" w:rsidRDefault="009026A1" w:rsidP="00DD5D31">
      <w:r>
        <w:separator/>
      </w:r>
    </w:p>
  </w:endnote>
  <w:endnote w:type="continuationSeparator" w:id="0">
    <w:p w:rsidR="009026A1" w:rsidRDefault="009026A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A1" w:rsidRDefault="009026A1" w:rsidP="00DD5D31">
      <w:r>
        <w:separator/>
      </w:r>
    </w:p>
  </w:footnote>
  <w:footnote w:type="continuationSeparator" w:id="0">
    <w:p w:rsidR="009026A1" w:rsidRDefault="009026A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B40F04" w:rsidRPr="00B40F04">
          <w:rPr>
            <w:rFonts w:ascii="Arial" w:hAnsi="Arial" w:cs="Arial"/>
            <w:noProof/>
            <w:lang w:val="es-ES"/>
          </w:rPr>
          <w:t>4</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A53475">
          <w:rPr>
            <w:rFonts w:ascii="Arial" w:hAnsi="Arial" w:cs="Arial"/>
            <w:sz w:val="18"/>
            <w:szCs w:val="18"/>
          </w:rPr>
          <w:t>91</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655A7"/>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0BE0"/>
    <w:rsid w:val="00111BF6"/>
    <w:rsid w:val="00116804"/>
    <w:rsid w:val="00125AB1"/>
    <w:rsid w:val="00136097"/>
    <w:rsid w:val="0014304F"/>
    <w:rsid w:val="00147F00"/>
    <w:rsid w:val="001512FD"/>
    <w:rsid w:val="00151F09"/>
    <w:rsid w:val="00155AF4"/>
    <w:rsid w:val="0016020F"/>
    <w:rsid w:val="00160A37"/>
    <w:rsid w:val="001610A0"/>
    <w:rsid w:val="001649CB"/>
    <w:rsid w:val="00165B9C"/>
    <w:rsid w:val="001666B7"/>
    <w:rsid w:val="00170147"/>
    <w:rsid w:val="001740CC"/>
    <w:rsid w:val="001802BF"/>
    <w:rsid w:val="00183D73"/>
    <w:rsid w:val="00197E47"/>
    <w:rsid w:val="001A0D92"/>
    <w:rsid w:val="001A33B6"/>
    <w:rsid w:val="001A5309"/>
    <w:rsid w:val="001A6DAF"/>
    <w:rsid w:val="001B2205"/>
    <w:rsid w:val="001B604B"/>
    <w:rsid w:val="001C0AB4"/>
    <w:rsid w:val="001C6624"/>
    <w:rsid w:val="001C70D5"/>
    <w:rsid w:val="001D61AD"/>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37974"/>
    <w:rsid w:val="00441189"/>
    <w:rsid w:val="0044434B"/>
    <w:rsid w:val="004523B6"/>
    <w:rsid w:val="00460E46"/>
    <w:rsid w:val="00475178"/>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D12"/>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FEF"/>
    <w:rsid w:val="005D7B7D"/>
    <w:rsid w:val="005E2BA2"/>
    <w:rsid w:val="005E4631"/>
    <w:rsid w:val="005E5524"/>
    <w:rsid w:val="005E7398"/>
    <w:rsid w:val="005F0D67"/>
    <w:rsid w:val="00611E12"/>
    <w:rsid w:val="00611EB7"/>
    <w:rsid w:val="00614F21"/>
    <w:rsid w:val="0062007F"/>
    <w:rsid w:val="00620734"/>
    <w:rsid w:val="00620D6C"/>
    <w:rsid w:val="00627597"/>
    <w:rsid w:val="0064087C"/>
    <w:rsid w:val="00643002"/>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6187"/>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26A1"/>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8AF"/>
    <w:rsid w:val="009C39E1"/>
    <w:rsid w:val="009D0C4F"/>
    <w:rsid w:val="009D2B84"/>
    <w:rsid w:val="009D30EC"/>
    <w:rsid w:val="009E1320"/>
    <w:rsid w:val="009E4E1D"/>
    <w:rsid w:val="009F0A4B"/>
    <w:rsid w:val="009F15F1"/>
    <w:rsid w:val="009F2A82"/>
    <w:rsid w:val="009F53DB"/>
    <w:rsid w:val="009F5767"/>
    <w:rsid w:val="009F750E"/>
    <w:rsid w:val="00A07995"/>
    <w:rsid w:val="00A1223D"/>
    <w:rsid w:val="00A22CCA"/>
    <w:rsid w:val="00A26AF2"/>
    <w:rsid w:val="00A30862"/>
    <w:rsid w:val="00A329FD"/>
    <w:rsid w:val="00A34219"/>
    <w:rsid w:val="00A35B2B"/>
    <w:rsid w:val="00A40713"/>
    <w:rsid w:val="00A40E47"/>
    <w:rsid w:val="00A44630"/>
    <w:rsid w:val="00A47806"/>
    <w:rsid w:val="00A50D52"/>
    <w:rsid w:val="00A53475"/>
    <w:rsid w:val="00A60C23"/>
    <w:rsid w:val="00A633AC"/>
    <w:rsid w:val="00A70A75"/>
    <w:rsid w:val="00A80E93"/>
    <w:rsid w:val="00A85C72"/>
    <w:rsid w:val="00A929AD"/>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464B"/>
    <w:rsid w:val="00B26520"/>
    <w:rsid w:val="00B40F04"/>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34AC"/>
    <w:rsid w:val="00C07F38"/>
    <w:rsid w:val="00C108C5"/>
    <w:rsid w:val="00C1103F"/>
    <w:rsid w:val="00C31B0A"/>
    <w:rsid w:val="00C3280C"/>
    <w:rsid w:val="00C369C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3B"/>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459A"/>
    <w:rsid w:val="00DD5D31"/>
    <w:rsid w:val="00DE2995"/>
    <w:rsid w:val="00DE3A1A"/>
    <w:rsid w:val="00DE74B1"/>
    <w:rsid w:val="00DF3640"/>
    <w:rsid w:val="00DF55E5"/>
    <w:rsid w:val="00E01353"/>
    <w:rsid w:val="00E0673A"/>
    <w:rsid w:val="00E0795E"/>
    <w:rsid w:val="00E1058C"/>
    <w:rsid w:val="00E1140D"/>
    <w:rsid w:val="00E14DAD"/>
    <w:rsid w:val="00E163C7"/>
    <w:rsid w:val="00E171EE"/>
    <w:rsid w:val="00E25CFB"/>
    <w:rsid w:val="00E3507B"/>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283A"/>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A76E-C253-45BB-AC3C-1348CF0A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2706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2018-02-26T17:59:00Z</cp:lastPrinted>
  <dcterms:created xsi:type="dcterms:W3CDTF">2018-02-16T17:25:00Z</dcterms:created>
  <dcterms:modified xsi:type="dcterms:W3CDTF">2018-12-11T15:47:00Z</dcterms:modified>
</cp:coreProperties>
</file>