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77" w:rsidRPr="001F0AA4" w:rsidRDefault="00661077" w:rsidP="00661077">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Pr>
          <w:rFonts w:ascii="Arial" w:hAnsi="Arial" w:cs="Arial"/>
          <w:b/>
        </w:rPr>
        <w:t xml:space="preserve">DE JUSTICIA ADMINISTRATIVA DEL ESTADO </w:t>
      </w:r>
      <w:r w:rsidRPr="001F0AA4">
        <w:rPr>
          <w:rFonts w:ascii="Arial" w:hAnsi="Arial" w:cs="Arial"/>
          <w:b/>
        </w:rPr>
        <w:t>DE OAXACA.</w:t>
      </w:r>
    </w:p>
    <w:p w:rsidR="00661077" w:rsidRPr="001F0AA4" w:rsidRDefault="00661077" w:rsidP="00661077">
      <w:pPr>
        <w:pStyle w:val="Encabezado"/>
        <w:spacing w:line="360" w:lineRule="auto"/>
        <w:ind w:left="4248"/>
        <w:jc w:val="both"/>
        <w:rPr>
          <w:rFonts w:ascii="Arial" w:hAnsi="Arial" w:cs="Arial"/>
          <w:b/>
        </w:rPr>
      </w:pPr>
    </w:p>
    <w:p w:rsidR="00661077" w:rsidRPr="001F0AA4" w:rsidRDefault="00661077" w:rsidP="00661077">
      <w:pPr>
        <w:pStyle w:val="Encabezado"/>
        <w:spacing w:line="360" w:lineRule="auto"/>
        <w:ind w:left="4248"/>
        <w:jc w:val="both"/>
        <w:rPr>
          <w:rFonts w:ascii="Arial" w:hAnsi="Arial" w:cs="Arial"/>
          <w:b/>
        </w:rPr>
      </w:pPr>
      <w:r>
        <w:rPr>
          <w:rFonts w:ascii="Arial" w:hAnsi="Arial" w:cs="Arial"/>
          <w:b/>
        </w:rPr>
        <w:t>EXPEDIENTE: 91/2017</w:t>
      </w:r>
    </w:p>
    <w:p w:rsidR="00661077" w:rsidRPr="001F0AA4" w:rsidRDefault="00661077" w:rsidP="00661077">
      <w:pPr>
        <w:pStyle w:val="Encabezado"/>
        <w:tabs>
          <w:tab w:val="clear" w:pos="4419"/>
          <w:tab w:val="center" w:pos="8931"/>
        </w:tabs>
        <w:spacing w:line="360" w:lineRule="auto"/>
        <w:jc w:val="both"/>
        <w:rPr>
          <w:rFonts w:ascii="Arial" w:hAnsi="Arial" w:cs="Arial"/>
          <w:b/>
        </w:rPr>
      </w:pPr>
    </w:p>
    <w:p w:rsidR="00661077" w:rsidRDefault="00661077" w:rsidP="00661077">
      <w:pPr>
        <w:pStyle w:val="Encabezado"/>
        <w:spacing w:line="360" w:lineRule="auto"/>
        <w:ind w:left="4248"/>
        <w:rPr>
          <w:rFonts w:ascii="Arial" w:hAnsi="Arial" w:cs="Arial"/>
          <w:b/>
        </w:rPr>
      </w:pPr>
      <w:r w:rsidRPr="001F0AA4">
        <w:rPr>
          <w:rFonts w:ascii="Arial" w:hAnsi="Arial" w:cs="Arial"/>
          <w:b/>
        </w:rPr>
        <w:t xml:space="preserve">ACTOR: </w:t>
      </w:r>
      <w:r>
        <w:rPr>
          <w:rFonts w:ascii="Arial" w:hAnsi="Arial" w:cs="Arial"/>
          <w:b/>
        </w:rPr>
        <w:t>***** ***** *****.</w:t>
      </w:r>
    </w:p>
    <w:p w:rsidR="00661077" w:rsidRPr="001F0AA4" w:rsidRDefault="00661077" w:rsidP="00661077">
      <w:pPr>
        <w:pStyle w:val="Encabezado"/>
        <w:spacing w:line="360" w:lineRule="auto"/>
        <w:ind w:left="4248"/>
        <w:rPr>
          <w:rFonts w:ascii="Arial" w:hAnsi="Arial" w:cs="Arial"/>
          <w:b/>
        </w:rPr>
      </w:pPr>
    </w:p>
    <w:p w:rsidR="00661077" w:rsidRPr="001F0AA4" w:rsidRDefault="00661077" w:rsidP="00661077">
      <w:pPr>
        <w:pStyle w:val="Encabezado"/>
        <w:spacing w:line="360" w:lineRule="auto"/>
        <w:ind w:left="4248"/>
        <w:jc w:val="both"/>
        <w:rPr>
          <w:rFonts w:ascii="Arial" w:hAnsi="Arial" w:cs="Arial"/>
          <w:b/>
        </w:rPr>
      </w:pPr>
    </w:p>
    <w:p w:rsidR="00661077" w:rsidRPr="001F0AA4" w:rsidRDefault="00661077" w:rsidP="00661077">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 LA SECRETARÍA DE FINANZAS DEL ESTADO DE OAXACA.</w:t>
      </w:r>
    </w:p>
    <w:p w:rsidR="00661077" w:rsidRPr="001F0AA4" w:rsidRDefault="00661077" w:rsidP="00661077">
      <w:pPr>
        <w:pStyle w:val="Encabezado"/>
        <w:spacing w:line="360" w:lineRule="auto"/>
        <w:ind w:left="4248"/>
        <w:jc w:val="both"/>
        <w:rPr>
          <w:rFonts w:ascii="Arial" w:hAnsi="Arial" w:cs="Arial"/>
          <w:b/>
        </w:rPr>
      </w:pPr>
    </w:p>
    <w:p w:rsidR="00661077" w:rsidRPr="001F0AA4" w:rsidRDefault="00661077" w:rsidP="00661077">
      <w:pPr>
        <w:spacing w:after="0" w:line="360" w:lineRule="auto"/>
        <w:jc w:val="both"/>
        <w:rPr>
          <w:rFonts w:ascii="Arial" w:hAnsi="Arial" w:cs="Arial"/>
          <w:b/>
        </w:rPr>
      </w:pPr>
      <w:r>
        <w:rPr>
          <w:rFonts w:ascii="Arial" w:hAnsi="Arial" w:cs="Arial"/>
          <w:b/>
        </w:rPr>
        <w:t>OAXACA DE JUÁREZ, OAXACA A 31 TREINTA Y UNO</w:t>
      </w:r>
      <w:r w:rsidRPr="001F0AA4">
        <w:rPr>
          <w:rFonts w:ascii="Arial" w:hAnsi="Arial" w:cs="Arial"/>
          <w:b/>
        </w:rPr>
        <w:t xml:space="preserve"> DE </w:t>
      </w:r>
      <w:r>
        <w:rPr>
          <w:rFonts w:ascii="Arial" w:hAnsi="Arial" w:cs="Arial"/>
          <w:b/>
        </w:rPr>
        <w:t>MAYO DE 2018</w:t>
      </w:r>
      <w:r w:rsidRPr="001F0AA4">
        <w:rPr>
          <w:rFonts w:ascii="Arial" w:hAnsi="Arial" w:cs="Arial"/>
          <w:b/>
        </w:rPr>
        <w:t xml:space="preserve"> DOS MIL </w:t>
      </w:r>
      <w:r>
        <w:rPr>
          <w:rFonts w:ascii="Arial" w:hAnsi="Arial" w:cs="Arial"/>
          <w:b/>
        </w:rPr>
        <w:t>DIECIOCHO</w:t>
      </w:r>
      <w:r w:rsidRPr="001F0AA4">
        <w:rPr>
          <w:rFonts w:ascii="Arial" w:hAnsi="Arial" w:cs="Arial"/>
          <w:b/>
        </w:rPr>
        <w:t xml:space="preserve">.- - - - - - - - - - - - - - - - - - - - - - - - - - - - - - - - - - - - - - - - - - - - - - - - - - - - - </w:t>
      </w:r>
      <w:r>
        <w:rPr>
          <w:rFonts w:ascii="Arial" w:hAnsi="Arial" w:cs="Arial"/>
          <w:b/>
        </w:rPr>
        <w:t>- - -</w:t>
      </w:r>
    </w:p>
    <w:p w:rsidR="00661077" w:rsidRPr="001F0AA4" w:rsidRDefault="00661077" w:rsidP="00661077">
      <w:pPr>
        <w:spacing w:after="0" w:line="360" w:lineRule="auto"/>
        <w:jc w:val="both"/>
        <w:rPr>
          <w:rFonts w:ascii="Arial" w:hAnsi="Arial" w:cs="Arial"/>
          <w:b/>
        </w:rPr>
      </w:pPr>
    </w:p>
    <w:p w:rsidR="00661077" w:rsidRPr="001F0AA4" w:rsidRDefault="00661077" w:rsidP="00661077">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Pr>
          <w:rFonts w:ascii="Arial" w:hAnsi="Arial" w:cs="Arial"/>
        </w:rPr>
        <w:t>91/2017</w:t>
      </w:r>
      <w:r w:rsidRPr="001F0AA4">
        <w:rPr>
          <w:rFonts w:ascii="Arial" w:hAnsi="Arial" w:cs="Arial"/>
        </w:rPr>
        <w:t xml:space="preserve">, promovido por </w:t>
      </w:r>
      <w:r>
        <w:rPr>
          <w:rFonts w:ascii="Arial" w:hAnsi="Arial" w:cs="Arial"/>
          <w:b/>
        </w:rPr>
        <w:t>***** ***** *****</w:t>
      </w:r>
      <w:r>
        <w:rPr>
          <w:rFonts w:ascii="Arial" w:hAnsi="Arial" w:cs="Arial"/>
          <w:b/>
        </w:rPr>
        <w:t xml:space="preserve"> </w:t>
      </w:r>
      <w:r w:rsidRPr="001F0AA4">
        <w:rPr>
          <w:rFonts w:ascii="Arial" w:hAnsi="Arial" w:cs="Arial"/>
        </w:rPr>
        <w:t>en contra de</w:t>
      </w:r>
      <w:r>
        <w:rPr>
          <w:rFonts w:ascii="Arial" w:hAnsi="Arial" w:cs="Arial"/>
        </w:rPr>
        <w:t xml:space="preserve"> la</w:t>
      </w:r>
      <w:r w:rsidRPr="001F0AA4">
        <w:rPr>
          <w:rFonts w:ascii="Arial" w:hAnsi="Arial" w:cs="Arial"/>
          <w:b/>
        </w:rPr>
        <w:t xml:space="preserve"> </w:t>
      </w:r>
      <w:r>
        <w:rPr>
          <w:rFonts w:ascii="Arial" w:hAnsi="Arial" w:cs="Arial"/>
          <w:b/>
        </w:rPr>
        <w:t>DIRECTORA DE INGRESOS Y RECAUDACIÓN DE LA SECRETARÍA DE FINANZAS DEL ESTADO DE OAXACA.</w:t>
      </w:r>
      <w:r w:rsidRPr="001F0AA4">
        <w:rPr>
          <w:rFonts w:ascii="Arial" w:hAnsi="Arial" w:cs="Arial"/>
          <w:b/>
        </w:rPr>
        <w:t xml:space="preserve"> - - </w:t>
      </w:r>
      <w:r>
        <w:rPr>
          <w:rFonts w:ascii="Arial" w:hAnsi="Arial" w:cs="Arial"/>
          <w:b/>
        </w:rPr>
        <w:t xml:space="preserve">- </w:t>
      </w:r>
      <w:r>
        <w:rPr>
          <w:rFonts w:ascii="Arial" w:hAnsi="Arial" w:cs="Arial"/>
          <w:b/>
        </w:rPr>
        <w:t xml:space="preserve">- - - - - - - - - - - - - - - - - - - </w:t>
      </w:r>
    </w:p>
    <w:p w:rsidR="00661077" w:rsidRPr="001F0AA4" w:rsidRDefault="00661077" w:rsidP="00661077">
      <w:pPr>
        <w:spacing w:after="0" w:line="360" w:lineRule="auto"/>
        <w:jc w:val="center"/>
        <w:rPr>
          <w:rFonts w:ascii="Arial" w:hAnsi="Arial" w:cs="Arial"/>
          <w:b/>
        </w:rPr>
      </w:pPr>
    </w:p>
    <w:p w:rsidR="00661077" w:rsidRPr="001F0AA4" w:rsidRDefault="00661077" w:rsidP="00661077">
      <w:pPr>
        <w:spacing w:after="0" w:line="360" w:lineRule="auto"/>
        <w:jc w:val="center"/>
        <w:rPr>
          <w:rFonts w:ascii="Arial" w:hAnsi="Arial" w:cs="Arial"/>
          <w:b/>
        </w:rPr>
      </w:pPr>
      <w:r w:rsidRPr="001F0AA4">
        <w:rPr>
          <w:rFonts w:ascii="Arial" w:hAnsi="Arial" w:cs="Arial"/>
          <w:b/>
        </w:rPr>
        <w:t>R E S U L T A N D O:</w:t>
      </w:r>
    </w:p>
    <w:p w:rsidR="00661077" w:rsidRPr="001F0AA4" w:rsidRDefault="00661077" w:rsidP="00661077">
      <w:pPr>
        <w:spacing w:after="0" w:line="360" w:lineRule="auto"/>
        <w:rPr>
          <w:rFonts w:ascii="Arial" w:hAnsi="Arial" w:cs="Arial"/>
          <w:b/>
        </w:rPr>
      </w:pPr>
    </w:p>
    <w:p w:rsidR="00661077" w:rsidRDefault="00661077" w:rsidP="00661077">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 xml:space="preserve">Por escrito recibido el </w:t>
      </w:r>
      <w:r>
        <w:rPr>
          <w:rFonts w:ascii="Arial" w:hAnsi="Arial" w:cs="Arial"/>
        </w:rPr>
        <w:t>22 veintidós de septiembre del año próximo pasado</w:t>
      </w:r>
      <w:r w:rsidRPr="001F0AA4">
        <w:rPr>
          <w:rFonts w:ascii="Arial" w:hAnsi="Arial" w:cs="Arial"/>
        </w:rPr>
        <w:t xml:space="preserve">, en Oficialía de Partes Común del </w:t>
      </w:r>
      <w:r>
        <w:rPr>
          <w:rFonts w:ascii="Arial" w:hAnsi="Arial" w:cs="Arial"/>
        </w:rPr>
        <w:t xml:space="preserve">otrora </w:t>
      </w:r>
      <w:r w:rsidRPr="001F0AA4">
        <w:rPr>
          <w:rFonts w:ascii="Arial" w:hAnsi="Arial" w:cs="Arial"/>
        </w:rPr>
        <w:t>Tribunal de lo Contencioso Administrativo y de Cuentas del Poder Judicial del Estado de Oaxaca</w:t>
      </w:r>
      <w:r>
        <w:rPr>
          <w:rFonts w:ascii="Arial" w:hAnsi="Arial" w:cs="Arial"/>
        </w:rPr>
        <w:t xml:space="preserve"> actualmente denominado Tribunal de Justicia Administrativa del Estado de Oaxaca</w:t>
      </w:r>
      <w:r w:rsidRPr="001F0AA4">
        <w:rPr>
          <w:rFonts w:ascii="Arial" w:hAnsi="Arial" w:cs="Arial"/>
        </w:rPr>
        <w:t>,</w:t>
      </w:r>
      <w:r>
        <w:rPr>
          <w:rFonts w:ascii="Arial" w:hAnsi="Arial" w:cs="Arial"/>
        </w:rPr>
        <w:t xml:space="preserve"> </w:t>
      </w:r>
      <w:r>
        <w:rPr>
          <w:rFonts w:ascii="Arial" w:hAnsi="Arial" w:cs="Arial"/>
          <w:b/>
        </w:rPr>
        <w:t>***** ***** *****</w:t>
      </w:r>
      <w:r>
        <w:rPr>
          <w:rFonts w:ascii="Arial" w:hAnsi="Arial" w:cs="Arial"/>
        </w:rPr>
        <w:t xml:space="preserve">, demandó la nulidad lisa y llana el oficio con número de control </w:t>
      </w:r>
      <w:r>
        <w:rPr>
          <w:rFonts w:ascii="Arial" w:hAnsi="Arial" w:cs="Arial"/>
          <w:b/>
        </w:rPr>
        <w:t>***** ****</w:t>
      </w:r>
      <w:r>
        <w:rPr>
          <w:rFonts w:ascii="Arial" w:hAnsi="Arial" w:cs="Arial"/>
          <w:b/>
        </w:rPr>
        <w:t>*</w:t>
      </w:r>
      <w:r>
        <w:rPr>
          <w:rFonts w:ascii="Arial" w:hAnsi="Arial" w:cs="Arial"/>
        </w:rPr>
        <w:t xml:space="preserve">. </w:t>
      </w:r>
      <w:r>
        <w:rPr>
          <w:rFonts w:ascii="Arial" w:hAnsi="Arial" w:cs="Arial"/>
          <w:b/>
        </w:rPr>
        <w:t>Por acuerdo de 25 veinticinco de septiembre del 2017 dos mil diecisiete, se admitió a trámite la demanda</w:t>
      </w:r>
      <w:r>
        <w:rPr>
          <w:rFonts w:ascii="Arial" w:hAnsi="Arial" w:cs="Arial"/>
        </w:rPr>
        <w:t xml:space="preserve"> en contra de la Directora de Ingresos y  Recaudación de la Secretaría de Finanzas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 xml:space="preserve">días hábiles para que produjera </w:t>
      </w:r>
      <w:r w:rsidRPr="001F0AA4">
        <w:rPr>
          <w:rFonts w:ascii="Arial" w:hAnsi="Arial" w:cs="Arial"/>
        </w:rPr>
        <w:t>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w:t>
      </w:r>
      <w:r>
        <w:rPr>
          <w:rFonts w:ascii="Arial" w:hAnsi="Arial" w:cs="Arial"/>
        </w:rPr>
        <w:t>s</w:t>
      </w:r>
      <w:r w:rsidRPr="001F0AA4">
        <w:rPr>
          <w:rFonts w:ascii="Arial" w:hAnsi="Arial" w:cs="Arial"/>
        </w:rPr>
        <w:t xml:space="preserve"> tendría por contestada la demanda en sentido afirmativo, salvo prueba en contrario. Igual prevención se hizo de que acreditara</w:t>
      </w:r>
      <w:r>
        <w:rPr>
          <w:rFonts w:ascii="Arial" w:hAnsi="Arial" w:cs="Arial"/>
        </w:rPr>
        <w:t>n</w:t>
      </w:r>
      <w:r w:rsidRPr="001F0AA4">
        <w:rPr>
          <w:rFonts w:ascii="Arial" w:hAnsi="Arial" w:cs="Arial"/>
        </w:rPr>
        <w:t xml:space="preserve"> su calidad de autoridad, exhibiendo copia debidamente certificada del nombramiento conferido y del en que constara la protesta de ley, y copias para el traslado a su contraparte</w:t>
      </w:r>
      <w:r>
        <w:rPr>
          <w:rFonts w:ascii="Arial" w:hAnsi="Arial" w:cs="Arial"/>
        </w:rPr>
        <w:t xml:space="preserve">. </w:t>
      </w:r>
      <w:r w:rsidRPr="001F0AA4">
        <w:rPr>
          <w:rFonts w:ascii="Arial" w:hAnsi="Arial" w:cs="Arial"/>
        </w:rPr>
        <w:t>Se admitieron a la actora las pruebas ofrecidas que consisten en:</w:t>
      </w:r>
      <w:r w:rsidRPr="002F7326">
        <w:rPr>
          <w:rFonts w:ascii="Arial" w:hAnsi="Arial" w:cs="Arial"/>
          <w:b/>
          <w:sz w:val="24"/>
          <w:szCs w:val="24"/>
        </w:rPr>
        <w:t xml:space="preserve"> </w:t>
      </w:r>
      <w:r w:rsidRPr="00014214">
        <w:rPr>
          <w:rFonts w:ascii="Arial" w:hAnsi="Arial" w:cs="Arial"/>
          <w:b/>
          <w:sz w:val="24"/>
          <w:szCs w:val="24"/>
        </w:rPr>
        <w:t>1.</w:t>
      </w:r>
      <w:r w:rsidRPr="00014214">
        <w:rPr>
          <w:rFonts w:ascii="Arial" w:hAnsi="Arial" w:cs="Arial"/>
          <w:sz w:val="24"/>
          <w:szCs w:val="24"/>
        </w:rPr>
        <w:t xml:space="preserve"> </w:t>
      </w:r>
      <w:r w:rsidRPr="00151584">
        <w:rPr>
          <w:rFonts w:ascii="Arial" w:hAnsi="Arial" w:cs="Arial"/>
        </w:rPr>
        <w:t xml:space="preserve">Oficio con número control </w:t>
      </w:r>
      <w:r>
        <w:rPr>
          <w:rFonts w:ascii="Arial" w:hAnsi="Arial" w:cs="Arial"/>
          <w:b/>
        </w:rPr>
        <w:t>***** *****</w:t>
      </w:r>
      <w:r w:rsidRPr="00151584">
        <w:rPr>
          <w:rFonts w:ascii="Arial" w:hAnsi="Arial" w:cs="Arial"/>
        </w:rPr>
        <w:t>, que fue notificado por correo certificado el 04 cuatro de septiembre del 2017 dos mil diecisiete; 2.- Copia simple de credencial para votar expedida a favor de la actora por el entonces Instituto Federal Electoral</w:t>
      </w:r>
      <w:r>
        <w:rPr>
          <w:rFonts w:ascii="Arial" w:hAnsi="Arial" w:cs="Arial"/>
          <w:sz w:val="24"/>
          <w:szCs w:val="24"/>
        </w:rPr>
        <w:t>.</w:t>
      </w:r>
      <w:r>
        <w:rPr>
          <w:rFonts w:ascii="Arial" w:hAnsi="Arial" w:cs="Arial"/>
        </w:rPr>
        <w:t xml:space="preserve">- - - - - - - - - - - - - - - - - - - - - - - - - - - - - - - - - - - - - - - - - - - - - - - - - - - - - - - - - - </w:t>
      </w:r>
    </w:p>
    <w:p w:rsidR="00661077" w:rsidRDefault="00661077" w:rsidP="00661077">
      <w:pPr>
        <w:spacing w:after="0" w:line="360" w:lineRule="auto"/>
        <w:jc w:val="center"/>
        <w:rPr>
          <w:rFonts w:ascii="Arial" w:hAnsi="Arial" w:cs="Arial"/>
        </w:rPr>
      </w:pPr>
    </w:p>
    <w:p w:rsidR="00661077" w:rsidRDefault="00661077" w:rsidP="00661077">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 xml:space="preserve">diante acuerdo de fecha 10 diez de noviembre del 2017 dos mil diecisiete, se recibió el oficio </w:t>
      </w:r>
      <w:r>
        <w:rPr>
          <w:rFonts w:ascii="Arial" w:hAnsi="Arial" w:cs="Arial"/>
          <w:b/>
        </w:rPr>
        <w:t xml:space="preserve">***** ***** </w:t>
      </w:r>
      <w:r>
        <w:rPr>
          <w:rFonts w:ascii="Arial" w:hAnsi="Arial" w:cs="Arial"/>
        </w:rPr>
        <w:t xml:space="preserve"> signado por la Directora de lo Contencioso de la Secretaría de la Procuraduría Fiscal de la Secretaría de Finanzas del Poder Ejecutivo del Estado donde contesta la demanda de nulidad promovida por la parte actora, hizo valer sus excepciones y defensas y se le admitieron las pruebas marcadas con los numerales:</w:t>
      </w:r>
      <w:r w:rsidRPr="002F7326">
        <w:rPr>
          <w:rFonts w:ascii="Arial" w:hAnsi="Arial" w:cs="Arial"/>
          <w:b/>
          <w:bCs/>
          <w:sz w:val="24"/>
          <w:szCs w:val="24"/>
        </w:rPr>
        <w:t xml:space="preserve"> </w:t>
      </w:r>
      <w:r w:rsidRPr="002F7326">
        <w:rPr>
          <w:rFonts w:ascii="Arial" w:hAnsi="Arial" w:cs="Arial"/>
          <w:b/>
          <w:bCs/>
          <w:szCs w:val="24"/>
        </w:rPr>
        <w:t>1.</w:t>
      </w:r>
      <w:r w:rsidRPr="002F7326">
        <w:rPr>
          <w:rFonts w:ascii="Arial" w:hAnsi="Arial" w:cs="Arial"/>
          <w:bCs/>
          <w:szCs w:val="24"/>
        </w:rPr>
        <w:t xml:space="preserve"> Cuadernillo de copias certificadas que contiene las siguientes documentales: </w:t>
      </w:r>
      <w:r w:rsidRPr="002F7326">
        <w:rPr>
          <w:rFonts w:ascii="Arial" w:hAnsi="Arial" w:cs="Arial"/>
          <w:b/>
          <w:bCs/>
          <w:szCs w:val="24"/>
        </w:rPr>
        <w:t>a)</w:t>
      </w:r>
      <w:r w:rsidRPr="002F7326">
        <w:rPr>
          <w:rFonts w:ascii="Arial" w:hAnsi="Arial" w:cs="Arial"/>
          <w:bCs/>
          <w:szCs w:val="24"/>
        </w:rPr>
        <w:t xml:space="preserve"> Multa por infracción relacionada con la presentación de declaraciones del Impuesto Cedular a los Ingresos por el otorgamiento del uso o goce temporal de bienes inmuebles, con número de control </w:t>
      </w:r>
      <w:r>
        <w:rPr>
          <w:rFonts w:ascii="Arial" w:hAnsi="Arial" w:cs="Arial"/>
          <w:b/>
        </w:rPr>
        <w:t>***** *****</w:t>
      </w:r>
      <w:r>
        <w:rPr>
          <w:rFonts w:ascii="Arial" w:hAnsi="Arial" w:cs="Arial"/>
          <w:b/>
        </w:rPr>
        <w:t xml:space="preserve"> </w:t>
      </w:r>
      <w:r w:rsidRPr="002F7326">
        <w:rPr>
          <w:rFonts w:ascii="Arial" w:hAnsi="Arial" w:cs="Arial"/>
          <w:bCs/>
          <w:szCs w:val="24"/>
        </w:rPr>
        <w:t>de 17 diecisiete de agosto del 2017 dos mi</w:t>
      </w:r>
      <w:r>
        <w:rPr>
          <w:rFonts w:ascii="Arial" w:hAnsi="Arial" w:cs="Arial"/>
          <w:bCs/>
          <w:szCs w:val="24"/>
        </w:rPr>
        <w:t xml:space="preserve">l diecisiete; </w:t>
      </w:r>
      <w:r w:rsidRPr="002F7326">
        <w:rPr>
          <w:rFonts w:ascii="Arial" w:hAnsi="Arial" w:cs="Arial"/>
          <w:b/>
          <w:bCs/>
          <w:szCs w:val="24"/>
        </w:rPr>
        <w:t>b)</w:t>
      </w:r>
      <w:r w:rsidRPr="002F7326">
        <w:rPr>
          <w:rFonts w:ascii="Arial" w:hAnsi="Arial" w:cs="Arial"/>
          <w:bCs/>
          <w:szCs w:val="24"/>
        </w:rPr>
        <w:t xml:space="preserve"> Constancias de notificación consistentes en el acuse del correo certificado con acuse de recibo; </w:t>
      </w:r>
      <w:r w:rsidRPr="002F7326">
        <w:rPr>
          <w:rFonts w:ascii="Arial" w:hAnsi="Arial" w:cs="Arial"/>
          <w:b/>
          <w:bCs/>
          <w:szCs w:val="24"/>
        </w:rPr>
        <w:t>2.</w:t>
      </w:r>
      <w:r w:rsidRPr="002F7326">
        <w:rPr>
          <w:rFonts w:ascii="Arial" w:hAnsi="Arial" w:cs="Arial"/>
          <w:bCs/>
          <w:szCs w:val="24"/>
        </w:rPr>
        <w:t xml:space="preserve"> La Presuncional legal y humana; </w:t>
      </w:r>
      <w:r w:rsidRPr="002F7326">
        <w:rPr>
          <w:rFonts w:ascii="Arial" w:hAnsi="Arial" w:cs="Arial"/>
          <w:b/>
          <w:bCs/>
          <w:szCs w:val="24"/>
        </w:rPr>
        <w:t>3.</w:t>
      </w:r>
      <w:r w:rsidRPr="002F7326">
        <w:rPr>
          <w:rFonts w:ascii="Arial" w:hAnsi="Arial" w:cs="Arial"/>
          <w:bCs/>
          <w:szCs w:val="24"/>
        </w:rPr>
        <w:t xml:space="preserve"> La instrumental de actuaciones</w:t>
      </w:r>
      <w:r>
        <w:rPr>
          <w:rFonts w:ascii="Arial" w:hAnsi="Arial" w:cs="Arial"/>
        </w:rPr>
        <w:t>. - - - - - - - - - - - - - - - - - - - - - - - - - - - - - - - - - - - - - - - - - - - -</w:t>
      </w:r>
    </w:p>
    <w:p w:rsidR="00661077" w:rsidRDefault="00661077" w:rsidP="00661077">
      <w:pPr>
        <w:spacing w:after="0" w:line="360" w:lineRule="auto"/>
        <w:ind w:firstLine="567"/>
        <w:jc w:val="both"/>
        <w:rPr>
          <w:rFonts w:ascii="Arial" w:hAnsi="Arial" w:cs="Arial"/>
        </w:rPr>
      </w:pPr>
    </w:p>
    <w:p w:rsidR="00661077" w:rsidRPr="00C95C96" w:rsidRDefault="00661077" w:rsidP="00661077">
      <w:pPr>
        <w:tabs>
          <w:tab w:val="right" w:pos="8789"/>
        </w:tabs>
        <w:spacing w:after="0" w:line="360" w:lineRule="auto"/>
        <w:ind w:right="49" w:firstLine="567"/>
        <w:jc w:val="both"/>
        <w:rPr>
          <w:rFonts w:ascii="Arial" w:hAnsi="Arial" w:cs="Arial"/>
        </w:rPr>
      </w:pPr>
      <w:r>
        <w:rPr>
          <w:rFonts w:ascii="Arial" w:hAnsi="Arial" w:cs="Arial"/>
        </w:rPr>
        <w:t xml:space="preserve"> </w:t>
      </w: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r w:rsidR="00277BE0">
        <w:rPr>
          <w:rFonts w:ascii="Arial" w:hAnsi="Arial" w:cs="Arial"/>
        </w:rPr>
        <w:t xml:space="preserve">- - - - - - - - - - - - - - - - - </w:t>
      </w:r>
    </w:p>
    <w:p w:rsidR="00661077" w:rsidRDefault="00661077" w:rsidP="00661077">
      <w:pPr>
        <w:spacing w:after="0" w:line="360" w:lineRule="auto"/>
        <w:ind w:firstLine="567"/>
        <w:jc w:val="both"/>
        <w:rPr>
          <w:rFonts w:ascii="Arial" w:hAnsi="Arial" w:cs="Arial"/>
          <w:b/>
        </w:rPr>
      </w:pPr>
    </w:p>
    <w:p w:rsidR="00661077" w:rsidRDefault="00661077" w:rsidP="00661077">
      <w:pPr>
        <w:spacing w:after="0" w:line="360" w:lineRule="auto"/>
        <w:ind w:firstLine="567"/>
        <w:jc w:val="both"/>
        <w:rPr>
          <w:rFonts w:ascii="Arial" w:hAnsi="Arial" w:cs="Arial"/>
        </w:rPr>
      </w:pPr>
      <w:r>
        <w:rPr>
          <w:rFonts w:ascii="Arial" w:hAnsi="Arial" w:cs="Arial"/>
          <w:b/>
        </w:rPr>
        <w:t xml:space="preserve">4°. </w:t>
      </w:r>
      <w:r>
        <w:rPr>
          <w:rFonts w:ascii="Arial" w:hAnsi="Arial" w:cs="Arial"/>
        </w:rPr>
        <w:t>Se fijaron las 13 trece horas del día 23 veintitrés de mayo del 2018 dos mil dieciocho para que se celebrara la Audiencia Final misma que se celebró sin comparecencia de las partes ni de persona alguna que legalmente les representara</w:t>
      </w:r>
      <w:r w:rsidRPr="001F0AA4">
        <w:rPr>
          <w:rFonts w:ascii="Arial" w:hAnsi="Arial" w:cs="Arial"/>
        </w:rPr>
        <w:t xml:space="preserve">; se abrió el periodo de desahogo de pruebas donde el Titular de esta Sexta Sala </w:t>
      </w:r>
      <w:r>
        <w:rPr>
          <w:rFonts w:ascii="Arial" w:hAnsi="Arial" w:cs="Arial"/>
        </w:rPr>
        <w:t>U</w:t>
      </w:r>
      <w:r w:rsidRPr="001F0AA4">
        <w:rPr>
          <w:rFonts w:ascii="Arial" w:hAnsi="Arial" w:cs="Arial"/>
        </w:rPr>
        <w:t>nit</w:t>
      </w:r>
      <w:r>
        <w:rPr>
          <w:rFonts w:ascii="Arial" w:hAnsi="Arial" w:cs="Arial"/>
        </w:rPr>
        <w:t>aria de Primera Instancia, del T</w:t>
      </w:r>
      <w:r w:rsidRPr="001F0AA4">
        <w:rPr>
          <w:rFonts w:ascii="Arial" w:hAnsi="Arial" w:cs="Arial"/>
        </w:rPr>
        <w:t xml:space="preserve">ribunal de </w:t>
      </w:r>
      <w:r>
        <w:rPr>
          <w:rFonts w:ascii="Arial" w:hAnsi="Arial" w:cs="Arial"/>
        </w:rPr>
        <w:t>Justicia Administrativa del Estado de Oaxaca</w:t>
      </w:r>
      <w:r w:rsidRPr="001F0AA4">
        <w:rPr>
          <w:rFonts w:ascii="Arial" w:hAnsi="Arial" w:cs="Arial"/>
        </w:rPr>
        <w:t xml:space="preserve"> las declaró desahogadas por su propia naturaleza; en el periodo de alegatos se dio </w:t>
      </w:r>
      <w:r>
        <w:rPr>
          <w:rFonts w:ascii="Arial" w:hAnsi="Arial" w:cs="Arial"/>
        </w:rPr>
        <w:t>cuenta con el escrito presentado por la parte actora donde formula alegatos y a su vez, se advirtió que la autoridad demandada no presentó documento alguno formulando alegatos por lo que se declaró precluído su derecho. Finalmente se citó a las partes para oír sentencia, misma que ahora se pronuncia. - - - - - - - - - - - - - - - - - - - - - - - - - - - - - - - - - -</w:t>
      </w:r>
      <w:r w:rsidR="00277BE0">
        <w:rPr>
          <w:rFonts w:ascii="Arial" w:hAnsi="Arial" w:cs="Arial"/>
        </w:rPr>
        <w:t xml:space="preserve"> - - - - - - - - - - - - - - - - - </w:t>
      </w:r>
    </w:p>
    <w:p w:rsidR="00661077" w:rsidRPr="001F0AA4" w:rsidRDefault="00661077" w:rsidP="00661077">
      <w:pPr>
        <w:spacing w:after="0" w:line="360" w:lineRule="auto"/>
        <w:ind w:firstLine="708"/>
        <w:jc w:val="both"/>
        <w:rPr>
          <w:rFonts w:ascii="Arial" w:hAnsi="Arial" w:cs="Arial"/>
        </w:rPr>
      </w:pPr>
    </w:p>
    <w:p w:rsidR="00661077" w:rsidRPr="001F0AA4" w:rsidRDefault="00661077" w:rsidP="00661077">
      <w:pPr>
        <w:spacing w:after="0" w:line="360" w:lineRule="auto"/>
        <w:jc w:val="center"/>
        <w:rPr>
          <w:rFonts w:ascii="Arial" w:hAnsi="Arial" w:cs="Arial"/>
          <w:b/>
        </w:rPr>
      </w:pPr>
      <w:r w:rsidRPr="001F0AA4">
        <w:rPr>
          <w:rFonts w:ascii="Arial" w:hAnsi="Arial" w:cs="Arial"/>
          <w:b/>
        </w:rPr>
        <w:t>C O N S I D E R A N D O:</w:t>
      </w:r>
    </w:p>
    <w:p w:rsidR="00661077" w:rsidRPr="001F0AA4" w:rsidRDefault="00661077" w:rsidP="00661077">
      <w:pPr>
        <w:spacing w:after="0" w:line="360" w:lineRule="auto"/>
        <w:rPr>
          <w:rFonts w:ascii="Arial" w:hAnsi="Arial" w:cs="Arial"/>
          <w:b/>
        </w:rPr>
      </w:pPr>
    </w:p>
    <w:p w:rsidR="00661077" w:rsidRPr="001F0AA4" w:rsidRDefault="00661077" w:rsidP="00661077">
      <w:pPr>
        <w:spacing w:after="0" w:line="360" w:lineRule="auto"/>
        <w:ind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w:t>
      </w:r>
      <w:r w:rsidRPr="001857E5">
        <w:rPr>
          <w:rFonts w:ascii="Arial" w:hAnsi="Arial" w:cs="Arial"/>
        </w:rPr>
        <w:lastRenderedPageBreak/>
        <w:t>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Pr="001857E5">
        <w:rPr>
          <w:rFonts w:ascii="Arial" w:hAnsi="Arial" w:cs="Arial"/>
        </w:rPr>
        <w:t xml:space="preserve">. </w:t>
      </w:r>
    </w:p>
    <w:p w:rsidR="00661077" w:rsidRPr="001F0AA4" w:rsidRDefault="00661077" w:rsidP="00661077">
      <w:pPr>
        <w:spacing w:after="0" w:line="360" w:lineRule="auto"/>
        <w:jc w:val="both"/>
        <w:rPr>
          <w:rFonts w:ascii="Arial" w:hAnsi="Arial" w:cs="Arial"/>
        </w:rPr>
      </w:pPr>
    </w:p>
    <w:p w:rsidR="00661077" w:rsidRDefault="00661077" w:rsidP="00661077">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rsidR="00661077" w:rsidRDefault="00661077" w:rsidP="00661077">
      <w:pPr>
        <w:spacing w:after="0" w:line="360" w:lineRule="auto"/>
        <w:jc w:val="both"/>
        <w:rPr>
          <w:rFonts w:ascii="Arial" w:hAnsi="Arial" w:cs="Arial"/>
          <w:b/>
        </w:rPr>
      </w:pPr>
    </w:p>
    <w:p w:rsidR="00661077" w:rsidRDefault="00661077" w:rsidP="00661077">
      <w:pPr>
        <w:spacing w:after="0" w:line="360" w:lineRule="auto"/>
        <w:ind w:firstLine="567"/>
        <w:jc w:val="both"/>
        <w:rPr>
          <w:rFonts w:ascii="Arial" w:hAnsi="Arial" w:cs="Arial"/>
        </w:rPr>
      </w:pPr>
      <w:r w:rsidRPr="001F0AA4">
        <w:rPr>
          <w:rFonts w:ascii="Arial" w:hAnsi="Arial" w:cs="Arial"/>
          <w:b/>
        </w:rPr>
        <w:t>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277BE0">
        <w:rPr>
          <w:rFonts w:ascii="Arial" w:hAnsi="Arial" w:cs="Arial"/>
          <w:b/>
        </w:rPr>
        <w:t>***** *****</w:t>
      </w:r>
      <w:r>
        <w:rPr>
          <w:rFonts w:ascii="Arial" w:hAnsi="Arial" w:cs="Arial"/>
        </w:rPr>
        <w:t xml:space="preserve">, de donde arguye que el mismo resulta violatorio del artículo 1° Constitucional, toda vez que la autoridad fiscal no puede solamente recibir, sino también se encuentra obligada a cumplir con su compromiso de transparencia. También refiere que la autoridad administrativa no funda los preceptos legales por los cuales le está haciendo efectivo el apercibimiento de una obligación ya cumplida; así también, aduce que la autoridad tampoco motivo los preceptos legales en los que funda su requerimiento. - - - - - - - - - - - - - - - - - - - - - - - - - - - - - - - - - - </w:t>
      </w:r>
    </w:p>
    <w:p w:rsidR="00661077" w:rsidRDefault="00661077" w:rsidP="00661077">
      <w:pPr>
        <w:spacing w:after="0" w:line="360" w:lineRule="auto"/>
        <w:jc w:val="both"/>
        <w:rPr>
          <w:rFonts w:ascii="Arial" w:hAnsi="Arial" w:cs="Arial"/>
        </w:rPr>
      </w:pPr>
      <w:r>
        <w:rPr>
          <w:rFonts w:ascii="Arial" w:hAnsi="Arial" w:cs="Arial"/>
        </w:rPr>
        <w:tab/>
      </w:r>
    </w:p>
    <w:p w:rsidR="00661077" w:rsidRDefault="00661077" w:rsidP="00661077">
      <w:pPr>
        <w:spacing w:after="0" w:line="360" w:lineRule="auto"/>
        <w:ind w:firstLine="567"/>
        <w:jc w:val="both"/>
        <w:rPr>
          <w:rFonts w:ascii="Arial" w:hAnsi="Arial" w:cs="Arial"/>
        </w:rPr>
      </w:pPr>
      <w:r>
        <w:rPr>
          <w:rFonts w:ascii="Arial" w:hAnsi="Arial" w:cs="Arial"/>
        </w:rPr>
        <w:t xml:space="preserve">Por su parte la autoridad demandada contesta que los conceptos de impugnación hechos valer por la accionante, deben tildarse de inoperantes e insuficientes toda vez que la parte actora tiende a controvertir la fundamentación y motivación, máxime que el oficio con número de control </w:t>
      </w:r>
      <w:r w:rsidR="00277BE0">
        <w:rPr>
          <w:rFonts w:ascii="Arial" w:hAnsi="Arial" w:cs="Arial"/>
          <w:b/>
        </w:rPr>
        <w:t xml:space="preserve">***** ***** </w:t>
      </w:r>
      <w:r>
        <w:rPr>
          <w:rFonts w:ascii="Arial" w:hAnsi="Arial" w:cs="Arial"/>
        </w:rPr>
        <w:t xml:space="preserve"> se encuentra debidamente fundado y motivado.- - - - - - - - - - - - - - - - - - - - - - - - - - - - - - - - - - - - - - - - - - - - - - - - - - - - - - - - - - -  </w:t>
      </w:r>
    </w:p>
    <w:p w:rsidR="00661077" w:rsidRDefault="00661077" w:rsidP="00661077">
      <w:pPr>
        <w:spacing w:after="0" w:line="360" w:lineRule="auto"/>
        <w:ind w:firstLine="567"/>
        <w:jc w:val="both"/>
        <w:rPr>
          <w:rFonts w:ascii="Arial" w:hAnsi="Arial" w:cs="Arial"/>
        </w:rPr>
      </w:pPr>
    </w:p>
    <w:p w:rsidR="00661077" w:rsidRDefault="00661077" w:rsidP="00661077">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 xml:space="preserve">Acto Impugnado.- </w:t>
      </w:r>
      <w:r w:rsidRPr="001F0AA4">
        <w:rPr>
          <w:rFonts w:ascii="Arial" w:hAnsi="Arial" w:cs="Arial"/>
        </w:rPr>
        <w:t xml:space="preserve">El acto impugnado, lo es </w:t>
      </w:r>
      <w:r>
        <w:rPr>
          <w:rFonts w:ascii="Arial" w:hAnsi="Arial" w:cs="Arial"/>
        </w:rPr>
        <w:t xml:space="preserve">el oficio con número de control </w:t>
      </w:r>
      <w:r w:rsidR="00277BE0">
        <w:rPr>
          <w:rFonts w:ascii="Arial" w:hAnsi="Arial" w:cs="Arial"/>
          <w:b/>
        </w:rPr>
        <w:t>***** *****</w:t>
      </w:r>
      <w:r>
        <w:rPr>
          <w:rFonts w:ascii="Arial" w:hAnsi="Arial" w:cs="Arial"/>
        </w:rPr>
        <w:t xml:space="preserve"> emitido por la Directora de Ingresos y Recaudación de la Secretaría de Finanzas del Gobierno del Estado de Oaxaca, de fecha 17 diecisiete de agosto del 2017 dos mil diecisiete, que obra mediante copia certificada a foja 9 nueve del expediente natural al índice de esta Sala al que se le confiere pleno valor probatorio en términos del artículo 173 fracción I de la Ley de Justicia Administrativa para el Estado de Oaxaca, cuya aplicación resulta vigente para el presente caso concreto, aunado al hecho de que la misma autoridad reconoció su emisión al contestar la demanda, por lo que es con tales medios de convicción que esta Sala tiene por acreditado el acto impugnado. - - - - - - - - - - - - - - - - - - - - - - - - - - - - - - - - - - - - - - - - - - - - - - - - - - - </w:t>
      </w:r>
    </w:p>
    <w:p w:rsidR="00661077" w:rsidRDefault="00661077" w:rsidP="00661077">
      <w:pPr>
        <w:spacing w:after="0" w:line="360" w:lineRule="auto"/>
        <w:ind w:firstLine="567"/>
        <w:jc w:val="both"/>
        <w:rPr>
          <w:rFonts w:ascii="Arial" w:hAnsi="Arial" w:cs="Arial"/>
          <w:b/>
        </w:rPr>
      </w:pPr>
    </w:p>
    <w:p w:rsidR="00661077" w:rsidRDefault="00661077" w:rsidP="00661077">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131 in fine de la Ley de la Materia respecto a dichas causales, esta Sala advierte que en el presente caso concreto no se actualiza causal </w:t>
      </w:r>
      <w:r>
        <w:rPr>
          <w:rFonts w:ascii="Arial" w:hAnsi="Arial" w:cs="Arial"/>
        </w:rPr>
        <w:lastRenderedPageBreak/>
        <w:t xml:space="preserve">de improcedencia ni sobreseimiento, </w:t>
      </w:r>
      <w:r w:rsidRPr="001F0AA4">
        <w:rPr>
          <w:rFonts w:ascii="Arial" w:hAnsi="Arial" w:cs="Arial"/>
        </w:rPr>
        <w:t xml:space="preserve">consecuentemente, no se sobresee el juicio. - - - - - - - - - - - - - - - - - - - - - - - - - - - - - - - - - - - - - - - - - - - - - - - - - - - - </w:t>
      </w:r>
      <w:r>
        <w:rPr>
          <w:rFonts w:ascii="Arial" w:hAnsi="Arial" w:cs="Arial"/>
        </w:rPr>
        <w:t xml:space="preserve">- - - - - - - </w:t>
      </w:r>
    </w:p>
    <w:p w:rsidR="00661077" w:rsidRDefault="00661077" w:rsidP="00661077">
      <w:pPr>
        <w:spacing w:after="0" w:line="360" w:lineRule="auto"/>
        <w:ind w:firstLine="567"/>
        <w:jc w:val="both"/>
        <w:rPr>
          <w:rFonts w:ascii="Arial" w:hAnsi="Arial" w:cs="Arial"/>
        </w:rPr>
      </w:pPr>
    </w:p>
    <w:p w:rsidR="00661077" w:rsidRDefault="00661077" w:rsidP="00661077">
      <w:pPr>
        <w:spacing w:after="0" w:line="360" w:lineRule="auto"/>
        <w:ind w:firstLine="708"/>
        <w:jc w:val="both"/>
        <w:rPr>
          <w:rFonts w:ascii="Arial" w:hAnsi="Arial" w:cs="Arial"/>
        </w:rPr>
      </w:pPr>
      <w:r>
        <w:rPr>
          <w:rFonts w:ascii="Arial" w:hAnsi="Arial" w:cs="Arial"/>
          <w:b/>
        </w:rPr>
        <w:t xml:space="preserve">SEXTO.- Estudio de Fondo. </w:t>
      </w:r>
      <w:r>
        <w:rPr>
          <w:rFonts w:ascii="Arial" w:hAnsi="Arial" w:cs="Arial"/>
        </w:rPr>
        <w:t xml:space="preserve">Son </w:t>
      </w:r>
      <w:r w:rsidRPr="00723FD1">
        <w:rPr>
          <w:rFonts w:ascii="Arial" w:hAnsi="Arial" w:cs="Arial"/>
          <w:b/>
        </w:rPr>
        <w:t>inatendibles</w:t>
      </w:r>
      <w:r>
        <w:rPr>
          <w:rFonts w:ascii="Arial" w:hAnsi="Arial" w:cs="Arial"/>
        </w:rPr>
        <w:t xml:space="preserve"> e </w:t>
      </w:r>
      <w:r w:rsidRPr="004A1240">
        <w:rPr>
          <w:rFonts w:ascii="Arial" w:hAnsi="Arial" w:cs="Arial"/>
          <w:b/>
        </w:rPr>
        <w:t>inoperantes</w:t>
      </w:r>
      <w:r>
        <w:rPr>
          <w:rFonts w:ascii="Arial" w:hAnsi="Arial" w:cs="Arial"/>
        </w:rPr>
        <w:t xml:space="preserve"> los conceptos de impugnación esgrimidos por la parte actora para pretender la nulidad del aquí acto impugnado, al tenor de las siguientes consideraciones de mérito. - - - - - - - - - - - - - - - - - -</w:t>
      </w:r>
    </w:p>
    <w:p w:rsidR="00661077" w:rsidRDefault="00661077" w:rsidP="00661077">
      <w:pPr>
        <w:spacing w:after="0" w:line="360" w:lineRule="auto"/>
        <w:ind w:firstLine="708"/>
        <w:jc w:val="both"/>
        <w:rPr>
          <w:rFonts w:ascii="Arial" w:hAnsi="Arial" w:cs="Arial"/>
        </w:rPr>
      </w:pPr>
    </w:p>
    <w:p w:rsidR="00661077" w:rsidRDefault="00661077" w:rsidP="00661077">
      <w:pPr>
        <w:spacing w:after="0" w:line="360" w:lineRule="auto"/>
        <w:ind w:firstLine="708"/>
        <w:jc w:val="both"/>
        <w:rPr>
          <w:rFonts w:ascii="Arial" w:hAnsi="Arial" w:cs="Arial"/>
        </w:rPr>
      </w:pPr>
      <w:r>
        <w:rPr>
          <w:rFonts w:ascii="Arial" w:hAnsi="Arial" w:cs="Arial"/>
        </w:rPr>
        <w:t xml:space="preserve">Respecto al concepto de impugnación marcado como el PRIMERO y TERCERO segunda mención, de donde la parte actora se adolece que el Estado no se encuentra facultado para exigir el cumplimiento de las obligaciones a los particulares, toda vez que el mismo no cumple con su deber de transparencia. De esa guisa, el argumento en estudio resulta notoriamente </w:t>
      </w:r>
      <w:r>
        <w:rPr>
          <w:rFonts w:ascii="Arial" w:hAnsi="Arial" w:cs="Arial"/>
          <w:b/>
        </w:rPr>
        <w:t>inatendible</w:t>
      </w:r>
      <w:r>
        <w:rPr>
          <w:rFonts w:ascii="Arial" w:hAnsi="Arial" w:cs="Arial"/>
        </w:rPr>
        <w:t xml:space="preserve">, por ser una afirmación que no forma parte de la Litis, puesto que la controversia se suscita en si el oficio </w:t>
      </w:r>
      <w:r w:rsidR="00277BE0">
        <w:rPr>
          <w:rFonts w:ascii="Arial" w:hAnsi="Arial" w:cs="Arial"/>
          <w:b/>
        </w:rPr>
        <w:t xml:space="preserve">***** ***** </w:t>
      </w:r>
      <w:r>
        <w:rPr>
          <w:rFonts w:ascii="Arial" w:hAnsi="Arial" w:cs="Arial"/>
        </w:rPr>
        <w:t xml:space="preserve"> es violatorio del principio de seguridad jurídica, y no así, si el Estado cumple o no con sus deberes de transparencia en términos de lo argumentado por la parte actora. Sirve de apoyo a lo anterior la Jurisprudencia 495, emitida por el Primer Tribunal Colegiado del Sexto Circuito, </w:t>
      </w:r>
      <w:r w:rsidRPr="00D97847">
        <w:rPr>
          <w:rFonts w:ascii="Arial" w:hAnsi="Arial" w:cs="Arial"/>
        </w:rPr>
        <w:t>Apéndice de 1995</w:t>
      </w:r>
      <w:r>
        <w:rPr>
          <w:rFonts w:ascii="Arial" w:hAnsi="Arial" w:cs="Arial"/>
        </w:rPr>
        <w:t xml:space="preserve">, </w:t>
      </w:r>
      <w:r w:rsidRPr="00D97847">
        <w:rPr>
          <w:rFonts w:ascii="Arial" w:hAnsi="Arial" w:cs="Arial"/>
        </w:rPr>
        <w:t>Tomo IV, Parte TCC</w:t>
      </w:r>
      <w:r>
        <w:rPr>
          <w:rFonts w:ascii="Arial" w:hAnsi="Arial" w:cs="Arial"/>
        </w:rPr>
        <w:t>, Octava Época, de rubro y texto siguiente:</w:t>
      </w:r>
    </w:p>
    <w:p w:rsidR="00661077" w:rsidRDefault="00661077" w:rsidP="00661077">
      <w:pPr>
        <w:spacing w:after="0" w:line="360" w:lineRule="auto"/>
        <w:ind w:firstLine="708"/>
        <w:jc w:val="both"/>
        <w:rPr>
          <w:rFonts w:ascii="Arial" w:hAnsi="Arial" w:cs="Arial"/>
        </w:rPr>
      </w:pPr>
    </w:p>
    <w:p w:rsidR="00661077" w:rsidRPr="00AD0E67" w:rsidRDefault="00661077" w:rsidP="00661077">
      <w:pPr>
        <w:spacing w:after="0" w:line="276" w:lineRule="auto"/>
        <w:ind w:left="709" w:right="616" w:hanging="1"/>
        <w:jc w:val="both"/>
        <w:rPr>
          <w:rFonts w:ascii="Arial" w:hAnsi="Arial" w:cs="Arial"/>
          <w:b/>
          <w:i/>
        </w:rPr>
      </w:pPr>
      <w:r w:rsidRPr="00AD0E67">
        <w:rPr>
          <w:rFonts w:ascii="Arial" w:hAnsi="Arial" w:cs="Arial"/>
          <w:b/>
          <w:i/>
        </w:rPr>
        <w:t>“CONCEPTOS DE VIOLACION INATENDIBLES. SON AQUELLOS QUE CONTIENEN ARGUMENTOS QUE NO FORMARON PARTE DE LA LITIS NATURAL.</w:t>
      </w:r>
    </w:p>
    <w:p w:rsidR="00661077" w:rsidRPr="00AD0E67" w:rsidRDefault="00661077" w:rsidP="00661077">
      <w:pPr>
        <w:spacing w:after="0" w:line="276" w:lineRule="auto"/>
        <w:ind w:left="709" w:right="616" w:hanging="1"/>
        <w:jc w:val="both"/>
        <w:rPr>
          <w:rFonts w:ascii="Arial" w:hAnsi="Arial" w:cs="Arial"/>
          <w:i/>
        </w:rPr>
      </w:pPr>
    </w:p>
    <w:p w:rsidR="00661077" w:rsidRPr="00AD0E67" w:rsidRDefault="00661077" w:rsidP="00661077">
      <w:pPr>
        <w:spacing w:after="0" w:line="276" w:lineRule="auto"/>
        <w:ind w:left="709" w:right="616" w:hanging="1"/>
        <w:jc w:val="both"/>
        <w:rPr>
          <w:rFonts w:ascii="Arial" w:hAnsi="Arial" w:cs="Arial"/>
          <w:i/>
        </w:rPr>
      </w:pPr>
      <w:r w:rsidRPr="00AD0E67">
        <w:rPr>
          <w:rFonts w:ascii="Arial" w:hAnsi="Arial" w:cs="Arial"/>
          <w:i/>
        </w:rPr>
        <w:t>De conformidad con lo dispuesto por el artículo 454 del Código de Procedimientos Civiles para el Estado de Puebla, la sentencia tratará exclusivamente de las acciones deducidas y de las excepciones opuestas, estableciendo con ello el principio jurídico de congruencia que debe existir en toda resolución emitida por los tribunales de naturaleza civil; de ahí que, cuando en la demanda de amparo directo se planteen conceptos de violación en los que se contengan argumentos que no formaron parte de la litis natural, éstos deben desestimarse por inatendibles, precisamente en acatamiento a dicho principio”.</w:t>
      </w:r>
    </w:p>
    <w:p w:rsidR="00661077" w:rsidRDefault="00661077" w:rsidP="00661077">
      <w:pPr>
        <w:spacing w:after="0" w:line="360" w:lineRule="auto"/>
        <w:jc w:val="both"/>
        <w:rPr>
          <w:rFonts w:ascii="Arial" w:hAnsi="Arial" w:cs="Arial"/>
        </w:rPr>
      </w:pPr>
    </w:p>
    <w:p w:rsidR="00661077" w:rsidRPr="00092C4F" w:rsidRDefault="00661077" w:rsidP="00661077">
      <w:pPr>
        <w:spacing w:after="0" w:line="360" w:lineRule="auto"/>
        <w:ind w:firstLine="567"/>
        <w:jc w:val="both"/>
        <w:rPr>
          <w:rFonts w:ascii="Arial" w:hAnsi="Arial" w:cs="Arial"/>
          <w:sz w:val="20"/>
          <w:szCs w:val="20"/>
        </w:rPr>
      </w:pPr>
      <w:r>
        <w:rPr>
          <w:rFonts w:ascii="Arial" w:hAnsi="Arial" w:cs="Arial"/>
        </w:rPr>
        <w:t xml:space="preserve">Ahora bien, por cuestión de método se ahonda en el estudio de los conceptos de impugnación marcados como el SEGUNDO y TERCERO donde, de una interpretación subjetiva atendiendo a la Causa de Pedir, se advierte que la parte actora refiere que el acto impugnado resulta violatorio de los principios de legalidad y seguridad jurídica por no citar los preceptos legales en los que funda el requerimiento por el que se le hace el cobro de multa y honorarios por notificación, así como su motivo. En ese entendido, se aprecia que dichos argumentos resultan </w:t>
      </w:r>
      <w:r w:rsidRPr="00A8608C">
        <w:rPr>
          <w:rFonts w:ascii="Arial" w:hAnsi="Arial" w:cs="Arial"/>
          <w:b/>
        </w:rPr>
        <w:t>infundados</w:t>
      </w:r>
      <w:r>
        <w:rPr>
          <w:rFonts w:ascii="Arial" w:hAnsi="Arial" w:cs="Arial"/>
        </w:rPr>
        <w:t xml:space="preserve">; se dice lo anterior toda vez que de una lectura integral del aquí acto impugnado, se tiene que la parte actora omitió presentar las Declaraciones Bimestrales Definitivas del Impuesto Cedular a los Ingresos por el Otorgamiento del Uso y Goce Temporal de los Bienes Inmuebles del periodo comprendidos en el 3° Bimestre del 2017; con ello actualizó el presupuesto establecido en el artículo 169 fracción I del Código Fiscal para el Estado de Oaxaca, por no presentar las declaraciones a que se encuentra obligada de conformidad con el artículo 27 de la Ley Estatal de Hacienda. </w:t>
      </w:r>
      <w:r w:rsidRPr="00EA3F8E">
        <w:rPr>
          <w:rFonts w:ascii="Arial" w:hAnsi="Arial" w:cs="Arial"/>
        </w:rPr>
        <w:t>Para ejemplificar lo anterior se transcriben los artículos de referencia:</w:t>
      </w:r>
      <w:r w:rsidRPr="00092C4F">
        <w:rPr>
          <w:rFonts w:ascii="Arial" w:hAnsi="Arial" w:cs="Arial"/>
          <w:sz w:val="20"/>
          <w:szCs w:val="20"/>
        </w:rPr>
        <w:t xml:space="preserve"> </w:t>
      </w:r>
    </w:p>
    <w:p w:rsidR="00661077" w:rsidRPr="00092C4F" w:rsidRDefault="00661077" w:rsidP="00661077">
      <w:pPr>
        <w:spacing w:after="0" w:line="360" w:lineRule="auto"/>
        <w:ind w:firstLine="708"/>
        <w:jc w:val="both"/>
        <w:rPr>
          <w:rFonts w:ascii="Arial" w:hAnsi="Arial" w:cs="Arial"/>
          <w:sz w:val="20"/>
          <w:szCs w:val="20"/>
        </w:rPr>
      </w:pPr>
    </w:p>
    <w:p w:rsidR="00661077" w:rsidRPr="00AD0E67" w:rsidRDefault="00661077" w:rsidP="00661077">
      <w:pPr>
        <w:spacing w:after="0" w:line="276" w:lineRule="auto"/>
        <w:ind w:left="709" w:right="616" w:hanging="1"/>
        <w:jc w:val="both"/>
        <w:rPr>
          <w:rFonts w:ascii="Arial" w:hAnsi="Arial" w:cs="Arial"/>
          <w:i/>
          <w:sz w:val="20"/>
          <w:szCs w:val="20"/>
        </w:rPr>
      </w:pPr>
      <w:r w:rsidRPr="00AD0E67">
        <w:rPr>
          <w:rFonts w:ascii="Arial" w:hAnsi="Arial" w:cs="Arial"/>
          <w:i/>
          <w:sz w:val="20"/>
          <w:szCs w:val="20"/>
        </w:rPr>
        <w:t>“</w:t>
      </w:r>
      <w:r w:rsidRPr="00AD0E67">
        <w:rPr>
          <w:rFonts w:ascii="Arial" w:hAnsi="Arial" w:cs="Arial"/>
          <w:b/>
          <w:i/>
          <w:sz w:val="20"/>
          <w:szCs w:val="20"/>
        </w:rPr>
        <w:t>Artículo 27.</w:t>
      </w:r>
      <w:r w:rsidRPr="00AD0E67">
        <w:rPr>
          <w:rFonts w:ascii="Arial" w:hAnsi="Arial" w:cs="Arial"/>
          <w:i/>
          <w:sz w:val="20"/>
          <w:szCs w:val="20"/>
        </w:rPr>
        <w:t xml:space="preserve"> El pago de este impuesto (Cedular a los Ingresos por el Otorgamiento del Uso o Goce Temporal de Bienes Inmuebles) se efectuará mediante declaración </w:t>
      </w:r>
      <w:r w:rsidRPr="00AD0E67">
        <w:rPr>
          <w:rFonts w:ascii="Arial" w:hAnsi="Arial" w:cs="Arial"/>
          <w:i/>
          <w:sz w:val="20"/>
          <w:szCs w:val="20"/>
        </w:rPr>
        <w:lastRenderedPageBreak/>
        <w:t>bimestral definitiva que deberá ser presentada en los primeros 17 días de los meses de marzo, mayo, julio septiembre, noviembre y enero del año siguiente.”</w:t>
      </w:r>
    </w:p>
    <w:p w:rsidR="00661077" w:rsidRPr="00AD0E67" w:rsidRDefault="00661077" w:rsidP="00661077">
      <w:pPr>
        <w:spacing w:after="0" w:line="276" w:lineRule="auto"/>
        <w:ind w:left="709" w:right="616" w:hanging="1"/>
        <w:jc w:val="both"/>
        <w:rPr>
          <w:rFonts w:ascii="Arial" w:hAnsi="Arial" w:cs="Arial"/>
          <w:i/>
          <w:sz w:val="20"/>
          <w:szCs w:val="20"/>
        </w:rPr>
      </w:pPr>
    </w:p>
    <w:p w:rsidR="00661077" w:rsidRPr="00AD0E67" w:rsidRDefault="00661077" w:rsidP="00661077">
      <w:pPr>
        <w:spacing w:after="0" w:line="276" w:lineRule="auto"/>
        <w:ind w:left="709" w:right="616" w:hanging="1"/>
        <w:jc w:val="both"/>
        <w:rPr>
          <w:rFonts w:ascii="Arial" w:hAnsi="Arial" w:cs="Arial"/>
          <w:i/>
          <w:sz w:val="20"/>
          <w:szCs w:val="20"/>
        </w:rPr>
      </w:pPr>
      <w:r w:rsidRPr="00AD0E67">
        <w:rPr>
          <w:rFonts w:ascii="Arial" w:hAnsi="Arial" w:cs="Arial"/>
          <w:i/>
          <w:sz w:val="20"/>
          <w:szCs w:val="20"/>
        </w:rPr>
        <w:t>“</w:t>
      </w:r>
      <w:r w:rsidRPr="00AD0E67">
        <w:rPr>
          <w:rFonts w:ascii="Arial" w:hAnsi="Arial" w:cs="Arial"/>
          <w:b/>
          <w:i/>
          <w:sz w:val="20"/>
          <w:szCs w:val="20"/>
        </w:rPr>
        <w:t xml:space="preserve">ARTÍCULO 269. </w:t>
      </w:r>
      <w:r w:rsidRPr="00AD0E67">
        <w:rPr>
          <w:rFonts w:ascii="Arial" w:hAnsi="Arial" w:cs="Arial"/>
          <w:i/>
          <w:sz w:val="20"/>
          <w:szCs w:val="20"/>
        </w:rPr>
        <w:t>Son infracciones relacionadas con la obligación de pago de las contribuciones, así como de presentación de declaraciones, solicitudes, documentación, avisos, información o expedir constancias:</w:t>
      </w:r>
    </w:p>
    <w:p w:rsidR="00661077" w:rsidRPr="00EA3F8E" w:rsidRDefault="00661077" w:rsidP="00661077">
      <w:pPr>
        <w:spacing w:after="0" w:line="276" w:lineRule="auto"/>
        <w:ind w:left="709" w:right="616" w:hanging="1"/>
        <w:jc w:val="both"/>
        <w:rPr>
          <w:rFonts w:ascii="Arial" w:hAnsi="Arial" w:cs="Arial"/>
          <w:sz w:val="20"/>
          <w:szCs w:val="20"/>
        </w:rPr>
      </w:pPr>
    </w:p>
    <w:p w:rsidR="00661077" w:rsidRPr="00AD0E67" w:rsidRDefault="00661077" w:rsidP="00661077">
      <w:pPr>
        <w:spacing w:after="0" w:line="276" w:lineRule="auto"/>
        <w:ind w:left="709" w:right="616" w:hanging="1"/>
        <w:jc w:val="both"/>
        <w:rPr>
          <w:rFonts w:ascii="Arial" w:hAnsi="Arial" w:cs="Arial"/>
          <w:i/>
          <w:sz w:val="20"/>
          <w:szCs w:val="20"/>
        </w:rPr>
      </w:pPr>
      <w:r w:rsidRPr="00AD0E67">
        <w:rPr>
          <w:rFonts w:ascii="Arial" w:hAnsi="Arial" w:cs="Arial"/>
          <w:i/>
          <w:sz w:val="20"/>
          <w:szCs w:val="20"/>
        </w:rPr>
        <w:t>I. 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50 a 100 veces el salario mínimo general vigente en el Estado;”</w:t>
      </w:r>
    </w:p>
    <w:p w:rsidR="00661077" w:rsidRDefault="00661077" w:rsidP="00661077">
      <w:pPr>
        <w:spacing w:after="0" w:line="360" w:lineRule="auto"/>
        <w:jc w:val="both"/>
        <w:rPr>
          <w:rFonts w:ascii="Arial" w:hAnsi="Arial" w:cs="Arial"/>
        </w:rPr>
      </w:pPr>
    </w:p>
    <w:p w:rsidR="00661077" w:rsidRDefault="00661077" w:rsidP="00661077">
      <w:pPr>
        <w:spacing w:after="0" w:line="360" w:lineRule="auto"/>
        <w:ind w:firstLine="567"/>
        <w:jc w:val="both"/>
        <w:rPr>
          <w:rFonts w:ascii="Arial" w:hAnsi="Arial" w:cs="Arial"/>
        </w:rPr>
      </w:pPr>
      <w:r>
        <w:rPr>
          <w:rFonts w:ascii="Arial" w:hAnsi="Arial" w:cs="Arial"/>
        </w:rPr>
        <w:t xml:space="preserve">Ahora bien, contrario a lo manifestado por la parte actora, se aprecia que el oficio con número de control </w:t>
      </w:r>
      <w:r w:rsidR="00277BE0">
        <w:rPr>
          <w:rFonts w:ascii="Arial" w:hAnsi="Arial" w:cs="Arial"/>
          <w:b/>
        </w:rPr>
        <w:t>***** ****</w:t>
      </w:r>
      <w:r w:rsidR="00277BE0">
        <w:rPr>
          <w:rFonts w:ascii="Arial" w:hAnsi="Arial" w:cs="Arial"/>
          <w:b/>
        </w:rPr>
        <w:t>*</w:t>
      </w:r>
      <w:r>
        <w:rPr>
          <w:rFonts w:ascii="Arial" w:hAnsi="Arial" w:cs="Arial"/>
        </w:rPr>
        <w:t xml:space="preserve"> al cual se le confirió valor probatorio pleno, se encuentra debidamente </w:t>
      </w:r>
      <w:r w:rsidRPr="008F7E03">
        <w:rPr>
          <w:rFonts w:ascii="Arial" w:hAnsi="Arial" w:cs="Arial"/>
          <w:b/>
        </w:rPr>
        <w:t>fundado</w:t>
      </w:r>
      <w:r>
        <w:rPr>
          <w:rFonts w:ascii="Arial" w:hAnsi="Arial" w:cs="Arial"/>
        </w:rPr>
        <w:t xml:space="preserve">, puesto que cita de forma exacta los preceptos legales en virtud de los cuales la autoridad demandada tiene facultades para emitir la Multa por infracción relacionada con la presentación de Declaraciones del Impuesto Cedular a los Ingresos por el Otorgamiento del Uso o Goce Temporal de Bienes Inmuebles. Por otro lado, el motivo por el cual encuadra el presupuesto normativo, con la conducta del aquí accionante es que: </w:t>
      </w:r>
    </w:p>
    <w:p w:rsidR="00661077" w:rsidRDefault="00661077" w:rsidP="00661077">
      <w:pPr>
        <w:spacing w:after="0" w:line="360" w:lineRule="auto"/>
        <w:ind w:firstLine="708"/>
        <w:jc w:val="both"/>
        <w:rPr>
          <w:rFonts w:ascii="Arial" w:hAnsi="Arial" w:cs="Arial"/>
        </w:rPr>
      </w:pPr>
    </w:p>
    <w:p w:rsidR="00661077" w:rsidRDefault="00661077" w:rsidP="00661077">
      <w:pPr>
        <w:spacing w:after="0" w:line="360" w:lineRule="auto"/>
        <w:ind w:left="709" w:right="616" w:hanging="1"/>
        <w:jc w:val="both"/>
        <w:rPr>
          <w:rFonts w:ascii="Arial" w:hAnsi="Arial" w:cs="Arial"/>
          <w:sz w:val="20"/>
        </w:rPr>
      </w:pPr>
      <w:r>
        <w:rPr>
          <w:rFonts w:ascii="Arial" w:hAnsi="Arial" w:cs="Arial"/>
          <w:sz w:val="20"/>
        </w:rPr>
        <w:t xml:space="preserve">“Atendiendo a lo anterior se realizó una revisión minuciosa en el Registro Estatal de Contribuyentes con que cuenta esta Secretaría; la cual contiene los registros contables en materia de declaraciones y pagos; y en ejercicio de las facultades de revisión al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 y enterar el Impuesto que nos ocupa(…) </w:t>
      </w:r>
    </w:p>
    <w:p w:rsidR="00661077" w:rsidRDefault="00661077" w:rsidP="00661077">
      <w:pPr>
        <w:spacing w:after="0" w:line="360" w:lineRule="auto"/>
        <w:ind w:left="709" w:right="616" w:hanging="1"/>
        <w:jc w:val="both"/>
        <w:rPr>
          <w:rFonts w:ascii="Arial" w:hAnsi="Arial" w:cs="Arial"/>
          <w:sz w:val="20"/>
        </w:rPr>
      </w:pPr>
    </w:p>
    <w:p w:rsidR="00661077" w:rsidRDefault="00661077" w:rsidP="00661077">
      <w:pPr>
        <w:spacing w:after="0" w:line="360" w:lineRule="auto"/>
        <w:ind w:left="709" w:right="616" w:hanging="1"/>
        <w:jc w:val="both"/>
        <w:rPr>
          <w:rFonts w:ascii="Arial" w:hAnsi="Arial" w:cs="Arial"/>
          <w:sz w:val="20"/>
        </w:rPr>
      </w:pPr>
      <w:r>
        <w:rPr>
          <w:rFonts w:ascii="Arial" w:hAnsi="Arial" w:cs="Arial"/>
          <w:sz w:val="20"/>
        </w:rPr>
        <w:t>Considerando que con fecha 29 de Septiembre de 2008,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la(s) obligación(es) por el (los) periodo(s) citados. Su conducta actualiza la hipótesis normativa prevista en el artículo 269 fracción I del Código Fiscal para el Estado de Oaxaca vigente, motivo por el cual se hace acreedor a la sanción establecida en el mismo artículo (…)”</w:t>
      </w:r>
    </w:p>
    <w:p w:rsidR="00661077" w:rsidRDefault="00661077" w:rsidP="00661077">
      <w:pPr>
        <w:spacing w:after="0" w:line="360" w:lineRule="auto"/>
        <w:ind w:left="709" w:right="616" w:hanging="1"/>
        <w:jc w:val="both"/>
        <w:rPr>
          <w:rFonts w:ascii="Arial" w:hAnsi="Arial" w:cs="Arial"/>
          <w:sz w:val="20"/>
        </w:rPr>
      </w:pPr>
    </w:p>
    <w:p w:rsidR="00661077" w:rsidRDefault="00661077" w:rsidP="00661077">
      <w:pPr>
        <w:spacing w:after="0" w:line="360" w:lineRule="auto"/>
        <w:ind w:firstLine="567"/>
        <w:jc w:val="both"/>
        <w:rPr>
          <w:rFonts w:ascii="Arial" w:hAnsi="Arial" w:cs="Arial"/>
        </w:rPr>
      </w:pPr>
      <w:r>
        <w:rPr>
          <w:rFonts w:ascii="Arial" w:hAnsi="Arial" w:cs="Arial"/>
        </w:rPr>
        <w:t xml:space="preserve">De esa guisa, se tiene que el oficio con número de control </w:t>
      </w:r>
      <w:r w:rsidR="00277BE0">
        <w:rPr>
          <w:rFonts w:ascii="Arial" w:hAnsi="Arial" w:cs="Arial"/>
          <w:b/>
        </w:rPr>
        <w:t>***** *****</w:t>
      </w:r>
      <w:r>
        <w:rPr>
          <w:rFonts w:ascii="Arial" w:hAnsi="Arial" w:cs="Arial"/>
        </w:rPr>
        <w:t xml:space="preserve">, también se encuentra debidamente </w:t>
      </w:r>
      <w:r w:rsidRPr="008F7E03">
        <w:rPr>
          <w:rFonts w:ascii="Arial" w:hAnsi="Arial" w:cs="Arial"/>
          <w:b/>
        </w:rPr>
        <w:t>motivado</w:t>
      </w:r>
      <w:r>
        <w:rPr>
          <w:rFonts w:ascii="Arial" w:hAnsi="Arial" w:cs="Arial"/>
        </w:rPr>
        <w:t xml:space="preserve">, ya que cita de manera precisa la conducta actualizada por la parte actora para hacerse acreedora de la Multa por infracción relacionada con la presentación de Declaraciones del Impuesto Cedular a los Ingresos por el Otorgamiento del Uso o Goce Temporal de Bienes Inmuebles y esto es, que no presentó las declaraciones correspondientes dentro del plazo establecido por el artículo 27 de la Ley Estatal de Hacienda vigente. Por lo tanto, de conformidad con el criterio dimanado por el Segundo Tribunal Colegiado del Sexto Circuito, el oficio </w:t>
      </w:r>
      <w:r w:rsidR="00277BE0">
        <w:rPr>
          <w:rFonts w:ascii="Arial" w:hAnsi="Arial" w:cs="Arial"/>
          <w:b/>
        </w:rPr>
        <w:t xml:space="preserve">***** ***** </w:t>
      </w:r>
      <w:r>
        <w:rPr>
          <w:rFonts w:ascii="Arial" w:hAnsi="Arial" w:cs="Arial"/>
        </w:rPr>
        <w:t xml:space="preserve"> cumple con los requisitos de </w:t>
      </w:r>
      <w:r>
        <w:rPr>
          <w:rFonts w:ascii="Arial" w:hAnsi="Arial" w:cs="Arial"/>
        </w:rPr>
        <w:lastRenderedPageBreak/>
        <w:t xml:space="preserve">fundamentación y motivación a que se encuentran obligados los actos administrativos de acuerdo al principio de seguridad jurídica previsto en el artículo 16 de la Ley Fundamental, por citar de forma exacta los artículos que facultan a la autoridad para emitir el oficio de referencia, así como hacer una mención clara y completa de la conducta actualizada por la parte actora que amerite la emisión del acto de autoridad. Para sustentar lo anterior, se transcribe la Tesis </w:t>
      </w:r>
      <w:r w:rsidRPr="008F7E03">
        <w:rPr>
          <w:rFonts w:ascii="Arial" w:hAnsi="Arial" w:cs="Arial"/>
        </w:rPr>
        <w:t>VI. 2o. J/248</w:t>
      </w:r>
      <w:r>
        <w:rPr>
          <w:rFonts w:ascii="Arial" w:hAnsi="Arial" w:cs="Arial"/>
        </w:rPr>
        <w:t xml:space="preserve">, publicada en la Gaceta del Semanario Judicial de la Federación, </w:t>
      </w:r>
      <w:r w:rsidRPr="008F7E03">
        <w:rPr>
          <w:rFonts w:ascii="Arial" w:hAnsi="Arial" w:cs="Arial"/>
        </w:rPr>
        <w:t>Núm. 64, Abril de 1993</w:t>
      </w:r>
      <w:r>
        <w:rPr>
          <w:rFonts w:ascii="Arial" w:hAnsi="Arial" w:cs="Arial"/>
        </w:rPr>
        <w:t>, página 43, Octava Época, de rubro y texto siguientes:</w:t>
      </w:r>
    </w:p>
    <w:p w:rsidR="00661077" w:rsidRDefault="00661077" w:rsidP="00661077">
      <w:pPr>
        <w:spacing w:after="0" w:line="360" w:lineRule="auto"/>
        <w:ind w:firstLine="708"/>
        <w:jc w:val="both"/>
        <w:rPr>
          <w:rFonts w:ascii="Arial" w:hAnsi="Arial" w:cs="Arial"/>
        </w:rPr>
      </w:pPr>
    </w:p>
    <w:p w:rsidR="00661077" w:rsidRPr="00AD0E67" w:rsidRDefault="00661077" w:rsidP="00661077">
      <w:pPr>
        <w:spacing w:after="0" w:line="276" w:lineRule="auto"/>
        <w:ind w:left="709" w:right="616" w:hanging="1"/>
        <w:jc w:val="both"/>
        <w:rPr>
          <w:rFonts w:ascii="Arial" w:hAnsi="Arial" w:cs="Arial"/>
          <w:b/>
          <w:i/>
          <w:sz w:val="20"/>
        </w:rPr>
      </w:pPr>
      <w:r w:rsidRPr="00AD0E67">
        <w:rPr>
          <w:rFonts w:ascii="Arial" w:hAnsi="Arial" w:cs="Arial"/>
          <w:b/>
          <w:i/>
          <w:sz w:val="20"/>
        </w:rPr>
        <w:t>“FUNDAMENTACION Y MOTIVACION DE LOS ACTOS ADMINISTRATIVOS.</w:t>
      </w:r>
    </w:p>
    <w:p w:rsidR="00661077" w:rsidRPr="00AD0E67" w:rsidRDefault="00661077" w:rsidP="00661077">
      <w:pPr>
        <w:spacing w:after="0" w:line="276" w:lineRule="auto"/>
        <w:ind w:left="709" w:right="616" w:hanging="1"/>
        <w:jc w:val="both"/>
        <w:rPr>
          <w:rFonts w:ascii="Arial" w:hAnsi="Arial" w:cs="Arial"/>
          <w:i/>
          <w:sz w:val="20"/>
        </w:rPr>
      </w:pPr>
    </w:p>
    <w:p w:rsidR="00661077" w:rsidRPr="00AD0E67" w:rsidRDefault="00661077" w:rsidP="00661077">
      <w:pPr>
        <w:spacing w:after="0" w:line="276" w:lineRule="auto"/>
        <w:ind w:left="709" w:right="616" w:hanging="1"/>
        <w:jc w:val="both"/>
        <w:rPr>
          <w:rFonts w:ascii="Arial" w:hAnsi="Arial" w:cs="Arial"/>
          <w:i/>
          <w:sz w:val="20"/>
        </w:rPr>
      </w:pPr>
      <w:r w:rsidRPr="00AD0E67">
        <w:rPr>
          <w:rFonts w:ascii="Arial" w:hAnsi="Arial" w:cs="Arial"/>
          <w:i/>
          <w:sz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661077" w:rsidRDefault="00661077" w:rsidP="00661077">
      <w:pPr>
        <w:spacing w:after="0" w:line="360" w:lineRule="auto"/>
        <w:ind w:firstLine="708"/>
        <w:jc w:val="both"/>
        <w:rPr>
          <w:rFonts w:ascii="Arial" w:hAnsi="Arial" w:cs="Arial"/>
        </w:rPr>
      </w:pPr>
    </w:p>
    <w:p w:rsidR="00661077" w:rsidRDefault="00661077" w:rsidP="00661077">
      <w:pPr>
        <w:spacing w:after="0" w:line="360" w:lineRule="auto"/>
        <w:ind w:firstLine="567"/>
        <w:jc w:val="both"/>
        <w:rPr>
          <w:rFonts w:ascii="Arial" w:hAnsi="Arial" w:cs="Arial"/>
        </w:rPr>
      </w:pPr>
      <w:r>
        <w:rPr>
          <w:rFonts w:ascii="Arial" w:hAnsi="Arial" w:cs="Arial"/>
        </w:rPr>
        <w:t>Aunado a lo anterior, cabe destacar que si bien la parte actora manifiesta que el actuar de la autoridad demandada es ilegal toda vez que: “</w:t>
      </w:r>
      <w:r>
        <w:rPr>
          <w:rFonts w:ascii="Arial" w:hAnsi="Arial" w:cs="Arial"/>
          <w:sz w:val="20"/>
        </w:rPr>
        <w:t>no estoy obligado a realizar ya que reitero que me encuentro al corriente de mis obligaciones fiscales</w:t>
      </w:r>
      <w:r>
        <w:rPr>
          <w:rFonts w:ascii="Arial" w:hAnsi="Arial" w:cs="Arial"/>
        </w:rPr>
        <w:t>”</w:t>
      </w:r>
      <w:r>
        <w:rPr>
          <w:rStyle w:val="Refdenotaalpie"/>
          <w:rFonts w:ascii="Arial" w:hAnsi="Arial" w:cs="Arial"/>
        </w:rPr>
        <w:footnoteReference w:id="1"/>
      </w:r>
      <w:r>
        <w:rPr>
          <w:rFonts w:ascii="Arial" w:hAnsi="Arial" w:cs="Arial"/>
        </w:rPr>
        <w:t xml:space="preserve">, de conformidad con el apotegma jurídico </w:t>
      </w:r>
      <w:r w:rsidRPr="0069472A">
        <w:rPr>
          <w:rFonts w:ascii="Arial" w:hAnsi="Arial" w:cs="Arial"/>
          <w:i/>
        </w:rPr>
        <w:t>Affirmanti Incubit Probatio</w:t>
      </w:r>
      <w:r>
        <w:rPr>
          <w:rStyle w:val="Refdenotaalpie"/>
          <w:rFonts w:ascii="Arial" w:hAnsi="Arial" w:cs="Arial"/>
          <w:i/>
        </w:rPr>
        <w:footnoteReference w:id="2"/>
      </w:r>
      <w:r>
        <w:rPr>
          <w:rFonts w:ascii="Arial" w:hAnsi="Arial" w:cs="Arial"/>
        </w:rPr>
        <w:t xml:space="preserve">, la carga probatoria de que la presentación de las declaraciones a que se encuentra obligado el accionante, fueron satisfechas en los términos establecidos por el artículo 27 de la Ley de Estatal de Hacienda, recae precisamente sobre la parte actora; ello es así, puesto que las reglas de la prueba determinan que la autoridad aquí demandada se encuentra imposibilitada de probar hechos negativos (la omisión de presentar declaraciones) y con ello, el </w:t>
      </w:r>
      <w:r w:rsidRPr="0069472A">
        <w:rPr>
          <w:rFonts w:ascii="Arial" w:hAnsi="Arial" w:cs="Arial"/>
          <w:i/>
        </w:rPr>
        <w:t>Onus Probandi</w:t>
      </w:r>
      <w:r>
        <w:rPr>
          <w:rFonts w:ascii="Arial" w:hAnsi="Arial" w:cs="Arial"/>
        </w:rPr>
        <w:t xml:space="preserve"> para acreditar el cumplimiento de las obligaciones recae indefectiblemente en la parte actora, máxime que como la misma manifiesta a foja tres del expediente</w:t>
      </w:r>
      <w:r>
        <w:rPr>
          <w:rStyle w:val="Refdenotaalpie"/>
          <w:rFonts w:ascii="Arial" w:hAnsi="Arial" w:cs="Arial"/>
        </w:rPr>
        <w:footnoteReference w:id="3"/>
      </w:r>
      <w:r>
        <w:rPr>
          <w:rFonts w:ascii="Arial" w:hAnsi="Arial" w:cs="Arial"/>
        </w:rPr>
        <w:t xml:space="preserve">, es sujeto obligado al pago del Impuesto Cedular a los Ingresos por el Otorgamiento del Uso o Goce Temporal de Bienes Inmuebles. Por lo tanto, de lo anterior expuesto se deriva lo infundado de los conceptos de impugnación estudiados. - - - - - - - - - - - - - - - - - - - - - - - - </w:t>
      </w:r>
      <w:r w:rsidR="00277BE0">
        <w:rPr>
          <w:rFonts w:ascii="Arial" w:hAnsi="Arial" w:cs="Arial"/>
        </w:rPr>
        <w:t xml:space="preserve">- - - - - - - - - - - - - - - - - - - - - - - - - - - - - - - - - - - - - - - - - - </w:t>
      </w:r>
    </w:p>
    <w:p w:rsidR="00661077" w:rsidRDefault="00661077" w:rsidP="00661077">
      <w:pPr>
        <w:spacing w:after="0" w:line="360" w:lineRule="auto"/>
        <w:ind w:firstLine="708"/>
        <w:jc w:val="both"/>
        <w:rPr>
          <w:rFonts w:ascii="Arial" w:hAnsi="Arial" w:cs="Arial"/>
        </w:rPr>
      </w:pPr>
    </w:p>
    <w:p w:rsidR="00661077" w:rsidRDefault="00661077" w:rsidP="00661077">
      <w:pPr>
        <w:spacing w:after="0" w:line="360" w:lineRule="auto"/>
        <w:ind w:right="49" w:firstLine="567"/>
        <w:jc w:val="both"/>
        <w:rPr>
          <w:rFonts w:ascii="Arial" w:hAnsi="Arial" w:cs="Arial"/>
        </w:rPr>
      </w:pPr>
      <w:r>
        <w:rPr>
          <w:rFonts w:ascii="Arial" w:hAnsi="Arial" w:cs="Arial"/>
        </w:rPr>
        <w:lastRenderedPageBreak/>
        <w:t xml:space="preserve">Por otra parte, resulta oportuno pronunciarse que si bien en la Audiencia de Ley a la parte actora se le tuvo presentando Alegatos en tiempo y forma, los mismos se desestiman. Ello en atención a que de una lectura integral de los Alegatos, se desprende que el accionante pretende introducir cuestiones novedosas y no planteadas en la Litis natural, lo que supone una clara contravención al criterio Jurisprudencial dimanada del Tercer Tribunal Colegiado en Materia Administrativa del Primer Circuito, publicada en el Semanario Judicial de la Federación, </w:t>
      </w:r>
      <w:r w:rsidRPr="00A04759">
        <w:rPr>
          <w:rFonts w:ascii="Arial" w:hAnsi="Arial" w:cs="Arial"/>
        </w:rPr>
        <w:t>Apéndice 2000. Tomo III, Administrativa, Jurisprudencia TCC</w:t>
      </w:r>
      <w:r>
        <w:rPr>
          <w:rFonts w:ascii="Arial" w:hAnsi="Arial" w:cs="Arial"/>
        </w:rPr>
        <w:t>, visible a página 581, Novena Época de rubro y texto siguientes</w:t>
      </w:r>
    </w:p>
    <w:p w:rsidR="00661077" w:rsidRDefault="00661077" w:rsidP="00661077">
      <w:pPr>
        <w:spacing w:after="0" w:line="360" w:lineRule="auto"/>
        <w:ind w:right="49" w:firstLine="708"/>
        <w:jc w:val="both"/>
        <w:rPr>
          <w:rFonts w:ascii="Arial" w:hAnsi="Arial" w:cs="Arial"/>
        </w:rPr>
      </w:pPr>
    </w:p>
    <w:p w:rsidR="00661077" w:rsidRPr="00AD0E67" w:rsidRDefault="00661077" w:rsidP="00661077">
      <w:pPr>
        <w:spacing w:after="0" w:line="276" w:lineRule="auto"/>
        <w:ind w:left="709" w:right="616" w:hanging="1"/>
        <w:jc w:val="both"/>
        <w:rPr>
          <w:rFonts w:ascii="Arial" w:hAnsi="Arial" w:cs="Arial"/>
          <w:b/>
          <w:i/>
          <w:sz w:val="20"/>
        </w:rPr>
      </w:pPr>
      <w:r w:rsidRPr="00AD0E67">
        <w:rPr>
          <w:rFonts w:ascii="Arial" w:hAnsi="Arial" w:cs="Arial"/>
          <w:b/>
          <w:i/>
          <w:sz w:val="20"/>
        </w:rPr>
        <w:t>“NULIDAD, JUICIO DE. ALEGATOS. NO DEBEN INTRODUCIRSE ELEMENTOS NUEVOS A LA CONTROVERSIA.</w:t>
      </w:r>
    </w:p>
    <w:p w:rsidR="00661077" w:rsidRPr="00AD0E67" w:rsidRDefault="00661077" w:rsidP="00661077">
      <w:pPr>
        <w:spacing w:after="0" w:line="276" w:lineRule="auto"/>
        <w:ind w:left="709" w:right="616" w:hanging="1"/>
        <w:jc w:val="both"/>
        <w:rPr>
          <w:rFonts w:ascii="Arial" w:hAnsi="Arial" w:cs="Arial"/>
          <w:i/>
          <w:sz w:val="20"/>
        </w:rPr>
      </w:pPr>
    </w:p>
    <w:p w:rsidR="00661077" w:rsidRPr="00AD0E67" w:rsidRDefault="00661077" w:rsidP="00661077">
      <w:pPr>
        <w:spacing w:after="0" w:line="276" w:lineRule="auto"/>
        <w:ind w:left="709" w:right="616" w:hanging="1"/>
        <w:jc w:val="both"/>
        <w:rPr>
          <w:rFonts w:ascii="Arial" w:hAnsi="Arial" w:cs="Arial"/>
          <w:i/>
          <w:sz w:val="20"/>
        </w:rPr>
      </w:pPr>
      <w:r w:rsidRPr="00AD0E67">
        <w:rPr>
          <w:rFonts w:ascii="Arial" w:hAnsi="Arial" w:cs="Arial"/>
          <w:i/>
          <w:sz w:val="20"/>
        </w:rPr>
        <w:t xml:space="preserve">El artículo 235 del Código Fiscal de la Federación (en su texto vigente a partir del quince de enero de mil novecientos ochenta y ocho), dispone que el Magistrado instructor, diez días después de que haya concluido la sustanciación del juicio y no existiere ninguna cuestión pendiente que impida su resolución, notificará por lista a las partes que tienen un término de cinco días para formular alegatos por escrito. Asimismo, dispone que los alegatos presentados en tiempo deberán ser considerados al dictar sentencia; y, que al vencimiento del término señalado, con alegatos o sin ellos, quedará cerrada la instrucción sin necesidad de declaratoria expresa. El precepto en cita no define lo que debe entenderse por el término alegato pero, dentro de la doctrina jurídica se le delimita y estudia incluso con un sentido amplio y uno estricto. Así, se aprecia que los alegatos son los razonamientos por los cuales se pretende convencer al Juez de que se tiene la razón, por un lado; y, por otro, tratándose de los "alegatos de bien probado", se dice que son aquellos razonamientos hechos después de que se han rendido las probanzas y antes de citación para sentencia, en los que esencialmente, quien los formula manifiesta las razones por las que las pruebas aportadas al juicio deben dar convicción al juzgador para decidir en su favor, arguyéndose también las incongruencias de la contraparte. En cualquiera de los dos casos los alegatos se agotan en el hecho de ser una especie de reiteración de lo manifestado dentro del juicio y de que las pruebas que obran en autos abonan a la pretensión propia. Precisamente, por estos motivos es por lo que los alegatos no forman parte de la litis, en virtud de que no tienen por objeto el aportar argumentos ni pruebas nuevas al juicio, sino tan sólo el de reiterar que se tiene la razón y hacerle patente al juzgador que con las pruebas aportadas sí se acredita la propia pretensión. En el caso específico, el artículo 235 del Código Fiscal de la Federación se refiere a los "alegatos de bien probado", es decir a aquellos razonamientos que tienden a ponderar el valor de las pruebas propias ofrecidas y a impugnar las de la contraparte. Tal aserto deriva del hecho de que dichos alegatos se presentarán con posterioridad "a la sustanciación del juicio" y siempre y cuando "no exista cuestión pendiente que impida su resolución", es decir, después que se hayan rendido las pruebas y antes de citación para sentencia. Por lo que en este sentido, debe concluirse que los alegatos a que se refiere dicho dispositivo deben contener los razonamientos por los cuales cada una de las partes estima que con sus pruebas se abona a la propia pretensión, mientras que las de la contraparte se impugnan en su valor probatorio. En esta tesitura, si el artículo 235 del Código Fiscal de la Federación citado establece que "los alegatos presentados en tiempo deberán ser considerados al dictar sentencia", se refiere únicamente a que los mismos, se considerarán en cuanto a los razonamientos que contengan respecto al valor de las probanzas propias presentadas, así como en cuanto impugnen el valor de las presentadas por la contraparte. Cuestión que excluye la consideración de los alegatos en cuanto que señalen nuevos actos impugnados, nuevos argumentos no hechos valer al presentar la demanda, o al contestarla, toda vez que, en primer lugar, el objeto de los alegatos no es el introducir nuevas cuestiones a la controversia, sino ponderar al valor de las probanzas presentadas. Así, la Sala Fiscal sólo estaría obligada a considerar los alegatos siempre y cuando lo en ellos contenido fuese propio de los mismos. Es decir, la Sala sólo considerará los alegatos en cuanto se refieran al valor de las probanzas presentadas y los razonamientos en ellos contenidos vayan dirigidos a determinar el alcance de cada una de ellas, mas en modo alguno deberán considerarlos en cuanto en ellos se introduzcan nuevos argumentos, ya que tal cuestión no es propia de los alegatos. Por otra parte, si la Sala resolviere el juicio en base a un nuevo argumento, </w:t>
      </w:r>
      <w:r w:rsidRPr="00AD0E67">
        <w:rPr>
          <w:rFonts w:ascii="Arial" w:hAnsi="Arial" w:cs="Arial"/>
          <w:i/>
          <w:sz w:val="20"/>
        </w:rPr>
        <w:lastRenderedPageBreak/>
        <w:t>o prueba, contenida en los alegatos de una de las partes, automáticamente estaría alterando la litis, pues se violaría el artículo 237 del Código Fiscal de la Federación el cual establece que las Salas no podrán cambiar los hechos expuestos en la demanda y la contestación. A mayor abundancia, es pertinente señalar que en la exposición de motivos para la reforma del artículo en cuestión, no se encuentra ningún razonamiento relativo a los alegatos en particular, por lo que no puede asumirse que la intención del legislador haya sido la de permitir que mediante ellos se incorporen nuevos extremos a la litis. Y no puede ser de esa manera porque entonces, atendiendo al principio de equidad, sería necesario dar vista a una de las partes con los argumentos de su contraria y ello retrasaría notablemente la solución del conflicto, es decir, se instrumentaría un sistema de réplica y dúplica (desaparecido del ordenamiento adjetivo civil local desde la década de los sesentas) no previsto por el Código Fiscal de la Federación”.</w:t>
      </w:r>
    </w:p>
    <w:p w:rsidR="00661077" w:rsidRDefault="00661077" w:rsidP="00661077">
      <w:pPr>
        <w:spacing w:after="0" w:line="360" w:lineRule="auto"/>
        <w:ind w:right="49" w:firstLine="708"/>
        <w:jc w:val="both"/>
        <w:rPr>
          <w:rFonts w:ascii="Arial" w:hAnsi="Arial" w:cs="Arial"/>
        </w:rPr>
      </w:pPr>
    </w:p>
    <w:p w:rsidR="00661077" w:rsidRDefault="00661077" w:rsidP="00661077">
      <w:pPr>
        <w:spacing w:after="0" w:line="360" w:lineRule="auto"/>
        <w:ind w:right="49" w:firstLine="567"/>
        <w:jc w:val="both"/>
        <w:rPr>
          <w:rFonts w:ascii="Arial" w:hAnsi="Arial" w:cs="Arial"/>
        </w:rPr>
      </w:pPr>
      <w:r>
        <w:rPr>
          <w:rFonts w:ascii="Arial" w:hAnsi="Arial" w:cs="Arial"/>
        </w:rPr>
        <w:t xml:space="preserve">Finalmente, cabe destacar que si bien el artículo 176 de la Ley de la materia, establece que al pronunciar sentencia se deberá suplir la suplencia de la queja siempre que se desprenda de los hechos de la demanda; en el presente caso concreto </w:t>
      </w:r>
      <w:r w:rsidRPr="003565F3">
        <w:rPr>
          <w:rFonts w:ascii="Arial" w:hAnsi="Arial" w:cs="Arial"/>
          <w:b/>
        </w:rPr>
        <w:t xml:space="preserve">no es procedente </w:t>
      </w:r>
      <w:r>
        <w:rPr>
          <w:rFonts w:ascii="Arial" w:hAnsi="Arial" w:cs="Arial"/>
        </w:rPr>
        <w:t xml:space="preserve">aplicar la suplencia de la queja en favor del administrado, toda vez que de conformidad con el criterio dimanado de la Primera Sala de la Suprema Corte de Justicia de la Nación, la suplencia administrativa procede cuando de las constancias que integran el expediente sea evidente una violación manifiesta a las garantías del actor que lo hayan dejado sin defensa, siempre y cuando no requiera una demostración por parte del accionante. Lo anterior se sustancia con la Jurisprudencia 1440, </w:t>
      </w:r>
      <w:r w:rsidRPr="003565F3">
        <w:rPr>
          <w:rFonts w:ascii="Arial" w:hAnsi="Arial" w:cs="Arial"/>
        </w:rPr>
        <w:t>Tomo II. Procesal Constitucional 1. Común Primera Parte - SCJN Décima Primera Sección - Sentencias de amparo y sus efectos</w:t>
      </w:r>
      <w:r>
        <w:rPr>
          <w:rFonts w:ascii="Arial" w:hAnsi="Arial" w:cs="Arial"/>
        </w:rPr>
        <w:t xml:space="preserve">, visible a página 1619, Novena Época de rubro y texto siguiente: </w:t>
      </w:r>
    </w:p>
    <w:p w:rsidR="00661077" w:rsidRPr="003565F3" w:rsidRDefault="00661077" w:rsidP="00661077">
      <w:pPr>
        <w:spacing w:after="0" w:line="360" w:lineRule="auto"/>
        <w:ind w:right="49" w:firstLine="708"/>
        <w:jc w:val="both"/>
        <w:rPr>
          <w:rFonts w:ascii="Arial" w:hAnsi="Arial" w:cs="Arial"/>
          <w:b/>
        </w:rPr>
      </w:pPr>
    </w:p>
    <w:p w:rsidR="00661077" w:rsidRPr="003565F3" w:rsidRDefault="00661077" w:rsidP="00661077">
      <w:pPr>
        <w:spacing w:after="0" w:line="276" w:lineRule="auto"/>
        <w:ind w:left="709" w:right="709" w:hanging="1"/>
        <w:jc w:val="both"/>
        <w:rPr>
          <w:rFonts w:ascii="Arial" w:hAnsi="Arial" w:cs="Arial"/>
          <w:b/>
          <w:sz w:val="20"/>
        </w:rPr>
      </w:pPr>
      <w:r>
        <w:rPr>
          <w:rFonts w:ascii="Arial" w:hAnsi="Arial" w:cs="Arial"/>
          <w:b/>
          <w:sz w:val="20"/>
        </w:rPr>
        <w:t>“</w:t>
      </w:r>
      <w:r w:rsidRPr="003565F3">
        <w:rPr>
          <w:rFonts w:ascii="Arial" w:hAnsi="Arial" w:cs="Arial"/>
          <w:b/>
          <w:sz w:val="20"/>
        </w:rPr>
        <w:t>SUPLENCIA DE LA QUEJA DEFICIENTE EN MATERIA ADMINISTRATIVA. PROCEDENCIA.</w:t>
      </w:r>
    </w:p>
    <w:p w:rsidR="00661077" w:rsidRPr="003565F3" w:rsidRDefault="00661077" w:rsidP="00661077">
      <w:pPr>
        <w:spacing w:after="0" w:line="276" w:lineRule="auto"/>
        <w:ind w:left="709" w:right="709" w:hanging="1"/>
        <w:jc w:val="both"/>
        <w:rPr>
          <w:rFonts w:ascii="Arial" w:hAnsi="Arial" w:cs="Arial"/>
          <w:sz w:val="20"/>
        </w:rPr>
      </w:pPr>
    </w:p>
    <w:p w:rsidR="00661077" w:rsidRPr="003565F3" w:rsidRDefault="00661077" w:rsidP="00661077">
      <w:pPr>
        <w:spacing w:after="0" w:line="276" w:lineRule="auto"/>
        <w:ind w:left="709" w:right="709" w:hanging="1"/>
        <w:jc w:val="both"/>
        <w:rPr>
          <w:rFonts w:ascii="Arial" w:hAnsi="Arial" w:cs="Arial"/>
          <w:sz w:val="20"/>
        </w:rPr>
      </w:pPr>
      <w:r w:rsidRPr="003565F3">
        <w:rPr>
          <w:rFonts w:ascii="Arial" w:hAnsi="Arial" w:cs="Arial"/>
          <w:sz w:val="20"/>
        </w:rPr>
        <w:t>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r>
        <w:rPr>
          <w:rFonts w:ascii="Arial" w:hAnsi="Arial" w:cs="Arial"/>
          <w:sz w:val="20"/>
        </w:rPr>
        <w:t>”</w:t>
      </w:r>
      <w:r w:rsidRPr="003565F3">
        <w:rPr>
          <w:rFonts w:ascii="Arial" w:hAnsi="Arial" w:cs="Arial"/>
          <w:sz w:val="20"/>
        </w:rPr>
        <w:t>.</w:t>
      </w:r>
    </w:p>
    <w:p w:rsidR="00661077" w:rsidRPr="003565F3" w:rsidRDefault="00661077" w:rsidP="00661077">
      <w:pPr>
        <w:spacing w:after="0" w:line="276" w:lineRule="auto"/>
        <w:ind w:left="709" w:right="709" w:hanging="1"/>
        <w:jc w:val="both"/>
      </w:pPr>
      <w:r>
        <w:t xml:space="preserve"> </w:t>
      </w:r>
    </w:p>
    <w:p w:rsidR="00661077" w:rsidRDefault="00661077" w:rsidP="00661077">
      <w:pPr>
        <w:spacing w:after="0" w:line="360" w:lineRule="auto"/>
        <w:ind w:right="49" w:firstLine="708"/>
        <w:jc w:val="center"/>
        <w:rPr>
          <w:rFonts w:ascii="Arial" w:hAnsi="Arial" w:cs="Arial"/>
          <w:b/>
        </w:rPr>
      </w:pPr>
    </w:p>
    <w:p w:rsidR="00661077" w:rsidRDefault="00661077" w:rsidP="00661077">
      <w:pPr>
        <w:spacing w:line="360" w:lineRule="auto"/>
        <w:ind w:firstLine="567"/>
        <w:jc w:val="both"/>
        <w:rPr>
          <w:rFonts w:ascii="Arial" w:hAnsi="Arial" w:cs="Arial"/>
        </w:rPr>
      </w:pPr>
      <w:r>
        <w:rPr>
          <w:rFonts w:ascii="Arial" w:hAnsi="Arial" w:cs="Arial"/>
        </w:rPr>
        <w:t xml:space="preserve">Aunado a lo anterior, resulta oportuno pronunciarse respecto a que el principio jurídico de </w:t>
      </w:r>
      <w:r w:rsidRPr="003565F3">
        <w:rPr>
          <w:rFonts w:ascii="Arial" w:hAnsi="Arial" w:cs="Arial"/>
          <w:i/>
        </w:rPr>
        <w:t>Nemo Auditur Propiam Turpitudem Allegans</w:t>
      </w:r>
      <w:r>
        <w:rPr>
          <w:rStyle w:val="Refdenotaalpie"/>
          <w:rFonts w:ascii="Arial" w:hAnsi="Arial" w:cs="Arial"/>
          <w:i/>
        </w:rPr>
        <w:footnoteReference w:id="4"/>
      </w:r>
      <w:r>
        <w:rPr>
          <w:rFonts w:ascii="Arial" w:hAnsi="Arial" w:cs="Arial"/>
        </w:rPr>
        <w:t xml:space="preserve">, consiste en la consecuencia jurídica a la </w:t>
      </w:r>
      <w:r>
        <w:rPr>
          <w:rFonts w:ascii="Arial" w:hAnsi="Arial" w:cs="Arial"/>
        </w:rPr>
        <w:lastRenderedPageBreak/>
        <w:t xml:space="preserve">impericia al esgrimir conceptos de impugnación tendientes a acreditar los extremos de la acción, por lo que tomando en consideración todo lo vertido en los párrafos anteriores, procede declarar la VALIDEZ DEL ACTO IMPUGNADO. Por lo tanto y con fundamento en los artículos 177 y 179 de la Ley de Justicia Administrativa para el Estado de Oaxaca se; - - - - - - - - - - - - - - - - - - - - - - - - - - - - - - - - - - - - - - - - - - - - - - - - - </w:t>
      </w:r>
    </w:p>
    <w:p w:rsidR="00661077" w:rsidRDefault="00661077" w:rsidP="00661077">
      <w:pPr>
        <w:spacing w:after="0" w:line="360" w:lineRule="auto"/>
        <w:ind w:firstLine="567"/>
        <w:jc w:val="both"/>
        <w:rPr>
          <w:rFonts w:ascii="Arial" w:hAnsi="Arial" w:cs="Arial"/>
        </w:rPr>
      </w:pPr>
    </w:p>
    <w:p w:rsidR="00661077" w:rsidRDefault="00661077" w:rsidP="00661077">
      <w:pPr>
        <w:spacing w:after="0" w:line="360" w:lineRule="auto"/>
        <w:ind w:right="49" w:firstLine="567"/>
        <w:jc w:val="both"/>
        <w:rPr>
          <w:rFonts w:ascii="Arial" w:hAnsi="Arial" w:cs="Arial"/>
        </w:rPr>
      </w:pPr>
      <w:r w:rsidRPr="001F0AA4">
        <w:rPr>
          <w:rFonts w:ascii="Arial" w:hAnsi="Arial" w:cs="Arial"/>
        </w:rPr>
        <w:t>Por lo expuesto y con fundamento en los artículos 177, 178 fracci</w:t>
      </w:r>
      <w:r>
        <w:rPr>
          <w:rFonts w:ascii="Arial" w:hAnsi="Arial" w:cs="Arial"/>
        </w:rPr>
        <w:t>ón II</w:t>
      </w:r>
      <w:r w:rsidRPr="001F0AA4">
        <w:rPr>
          <w:rFonts w:ascii="Arial" w:hAnsi="Arial" w:cs="Arial"/>
        </w:rPr>
        <w:t xml:space="preserve"> y 179 de Ley de Justicia Administrativa para el Estado de Oaxaca, se; - - - - - - - - - - - - - - - - - - - - -</w:t>
      </w:r>
      <w:r>
        <w:rPr>
          <w:rFonts w:ascii="Arial" w:hAnsi="Arial" w:cs="Arial"/>
        </w:rPr>
        <w:t xml:space="preserve"> - - -</w:t>
      </w:r>
    </w:p>
    <w:p w:rsidR="00661077" w:rsidRPr="001F0AA4" w:rsidRDefault="00661077" w:rsidP="00661077">
      <w:pPr>
        <w:spacing w:after="0" w:line="360" w:lineRule="auto"/>
        <w:ind w:right="49" w:firstLine="567"/>
        <w:jc w:val="both"/>
        <w:rPr>
          <w:rFonts w:ascii="Arial" w:hAnsi="Arial" w:cs="Arial"/>
        </w:rPr>
      </w:pPr>
      <w:r w:rsidRPr="001F0AA4">
        <w:rPr>
          <w:rFonts w:ascii="Arial" w:hAnsi="Arial" w:cs="Arial"/>
        </w:rPr>
        <w:t xml:space="preserve"> </w:t>
      </w:r>
    </w:p>
    <w:p w:rsidR="00661077" w:rsidRDefault="00661077" w:rsidP="00661077">
      <w:pPr>
        <w:spacing w:line="360" w:lineRule="auto"/>
        <w:ind w:firstLine="708"/>
        <w:jc w:val="center"/>
        <w:rPr>
          <w:rFonts w:ascii="Arial" w:hAnsi="Arial" w:cs="Arial"/>
          <w:b/>
        </w:rPr>
      </w:pPr>
      <w:r>
        <w:rPr>
          <w:rFonts w:ascii="Arial" w:hAnsi="Arial" w:cs="Arial"/>
          <w:b/>
        </w:rPr>
        <w:t>R</w:t>
      </w:r>
      <w:r w:rsidRPr="00087D2C">
        <w:rPr>
          <w:rFonts w:ascii="Arial" w:hAnsi="Arial" w:cs="Arial"/>
          <w:b/>
        </w:rPr>
        <w:t xml:space="preserve"> E S U E L V E:</w:t>
      </w:r>
    </w:p>
    <w:p w:rsidR="00661077" w:rsidRPr="00087D2C" w:rsidRDefault="00661077" w:rsidP="00661077">
      <w:pPr>
        <w:spacing w:line="360" w:lineRule="auto"/>
        <w:rPr>
          <w:rFonts w:ascii="Arial" w:hAnsi="Arial" w:cs="Arial"/>
          <w:b/>
        </w:rPr>
      </w:pPr>
    </w:p>
    <w:p w:rsidR="00661077" w:rsidRPr="00087D2C" w:rsidRDefault="00661077" w:rsidP="00661077">
      <w:pPr>
        <w:spacing w:line="360" w:lineRule="auto"/>
        <w:ind w:firstLine="567"/>
        <w:jc w:val="both"/>
        <w:rPr>
          <w:rFonts w:ascii="Arial" w:hAnsi="Arial" w:cs="Arial"/>
        </w:rPr>
      </w:pPr>
      <w:r w:rsidRPr="00087D2C">
        <w:rPr>
          <w:rFonts w:ascii="Arial" w:hAnsi="Arial" w:cs="Arial"/>
          <w:b/>
        </w:rPr>
        <w:t>PRIMERO</w:t>
      </w:r>
      <w:r w:rsidRPr="00087D2C">
        <w:rPr>
          <w:rFonts w:ascii="Arial" w:hAnsi="Arial" w:cs="Arial"/>
        </w:rPr>
        <w:t>.- Esta Sexta Sala Unitaria de Primera Instan</w:t>
      </w:r>
      <w:r>
        <w:rPr>
          <w:rFonts w:ascii="Arial" w:hAnsi="Arial" w:cs="Arial"/>
        </w:rPr>
        <w:t>cia del Tribunal de Justicia Administrativa</w:t>
      </w:r>
      <w:r w:rsidRPr="00087D2C">
        <w:rPr>
          <w:rFonts w:ascii="Arial" w:hAnsi="Arial" w:cs="Arial"/>
        </w:rPr>
        <w:t xml:space="preserve">, fue competente para conocer y resolver el presente asunto. - - - - - - - - - - - </w:t>
      </w:r>
    </w:p>
    <w:p w:rsidR="00661077" w:rsidRPr="00087D2C" w:rsidRDefault="00661077" w:rsidP="00661077">
      <w:pPr>
        <w:spacing w:line="360" w:lineRule="auto"/>
        <w:ind w:firstLine="567"/>
        <w:jc w:val="both"/>
        <w:rPr>
          <w:rFonts w:ascii="Arial" w:hAnsi="Arial" w:cs="Arial"/>
        </w:rPr>
      </w:pPr>
      <w:r w:rsidRPr="00087D2C">
        <w:rPr>
          <w:rFonts w:ascii="Arial" w:hAnsi="Arial" w:cs="Arial"/>
          <w:b/>
        </w:rPr>
        <w:t>SEGUNDO</w:t>
      </w:r>
      <w:r w:rsidRPr="00087D2C">
        <w:rPr>
          <w:rFonts w:ascii="Arial" w:hAnsi="Arial" w:cs="Arial"/>
        </w:rPr>
        <w:t xml:space="preserve">.- La </w:t>
      </w:r>
      <w:r>
        <w:rPr>
          <w:rFonts w:ascii="Arial" w:hAnsi="Arial" w:cs="Arial"/>
        </w:rPr>
        <w:t xml:space="preserve">personalidad y </w:t>
      </w:r>
      <w:r w:rsidRPr="00087D2C">
        <w:rPr>
          <w:rFonts w:ascii="Arial" w:hAnsi="Arial" w:cs="Arial"/>
        </w:rPr>
        <w:t xml:space="preserve">personería de las partes quedó acreditada en autos. </w:t>
      </w:r>
    </w:p>
    <w:p w:rsidR="00661077" w:rsidRPr="00087D2C" w:rsidRDefault="00661077" w:rsidP="00661077">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Pr>
          <w:rFonts w:ascii="Arial" w:hAnsi="Arial" w:cs="Arial"/>
        </w:rPr>
        <w:t>SEXTO</w:t>
      </w:r>
      <w:r w:rsidRPr="00087D2C">
        <w:rPr>
          <w:rFonts w:ascii="Arial" w:hAnsi="Arial" w:cs="Arial"/>
        </w:rPr>
        <w:t xml:space="preserve"> se </w:t>
      </w:r>
      <w:r>
        <w:rPr>
          <w:rFonts w:ascii="Arial" w:hAnsi="Arial" w:cs="Arial"/>
        </w:rPr>
        <w:t xml:space="preserve">declara la VALIDEZ del oficio con número de control </w:t>
      </w:r>
      <w:r w:rsidR="00277BE0">
        <w:rPr>
          <w:rFonts w:ascii="Arial" w:hAnsi="Arial" w:cs="Arial"/>
          <w:b/>
        </w:rPr>
        <w:t>***** *****</w:t>
      </w:r>
      <w:r>
        <w:rPr>
          <w:rFonts w:ascii="Arial" w:hAnsi="Arial" w:cs="Arial"/>
        </w:rPr>
        <w:t xml:space="preserve"> emitido por la Directora de Ingresos y Recaudación de la Secretaría de Finanzas del Poder Ejecutivo del Estado, de fecha 17 diecisiete de agosto del 2017 dos mil diecisiete</w:t>
      </w:r>
      <w:r w:rsidRPr="00087D2C">
        <w:rPr>
          <w:rFonts w:ascii="Arial" w:hAnsi="Arial" w:cs="Arial"/>
        </w:rPr>
        <w:t xml:space="preserve">. - - - - - - - - - - - - - - - - </w:t>
      </w:r>
      <w:r>
        <w:rPr>
          <w:rFonts w:ascii="Arial" w:hAnsi="Arial" w:cs="Arial"/>
        </w:rPr>
        <w:t xml:space="preserve">- - - - - - - - </w:t>
      </w:r>
    </w:p>
    <w:p w:rsidR="00661077" w:rsidRPr="00087D2C" w:rsidRDefault="00661077" w:rsidP="00661077">
      <w:pPr>
        <w:spacing w:line="360" w:lineRule="auto"/>
        <w:ind w:firstLine="567"/>
        <w:jc w:val="both"/>
        <w:rPr>
          <w:rFonts w:ascii="Arial" w:hAnsi="Arial" w:cs="Arial"/>
          <w:b/>
        </w:rPr>
      </w:pPr>
      <w:r w:rsidRPr="00087D2C">
        <w:rPr>
          <w:rFonts w:ascii="Arial" w:hAnsi="Arial" w:cs="Arial"/>
          <w:b/>
        </w:rPr>
        <w:t>CUARTO</w:t>
      </w:r>
      <w:r w:rsidRPr="00087D2C">
        <w:rPr>
          <w:rFonts w:ascii="Arial" w:hAnsi="Arial" w:cs="Arial"/>
        </w:rPr>
        <w:t xml:space="preserve">.- Conforme a lo dispuesto en los artículos 142, fracción I y 143 fracciones </w:t>
      </w:r>
      <w:r>
        <w:rPr>
          <w:rFonts w:ascii="Arial" w:hAnsi="Arial" w:cs="Arial"/>
        </w:rPr>
        <w:t xml:space="preserve">I y II, de la Ley de la materia.- </w:t>
      </w:r>
      <w:r w:rsidRPr="00087D2C">
        <w:rPr>
          <w:rFonts w:ascii="Arial" w:hAnsi="Arial" w:cs="Arial"/>
          <w:b/>
        </w:rPr>
        <w:t>NOTIFIQUESE PERSONALMENTE AL ACTOR Y POR OFICIO A LA AUTORIDAD DEMANDADA.</w:t>
      </w:r>
      <w:r>
        <w:rPr>
          <w:rFonts w:ascii="Arial" w:hAnsi="Arial" w:cs="Arial"/>
          <w:b/>
        </w:rPr>
        <w:t xml:space="preserve">-CUMPLASE. - - - - - - - - - - - - - - - - - - - - - -        </w:t>
      </w:r>
    </w:p>
    <w:p w:rsidR="00661077" w:rsidRPr="00087D2C" w:rsidRDefault="00661077" w:rsidP="00661077">
      <w:pPr>
        <w:spacing w:line="360" w:lineRule="auto"/>
        <w:ind w:firstLine="708"/>
        <w:jc w:val="both"/>
        <w:rPr>
          <w:rFonts w:ascii="Arial" w:hAnsi="Arial" w:cs="Arial"/>
        </w:rPr>
      </w:pPr>
      <w:r w:rsidRPr="00087D2C">
        <w:rPr>
          <w:rFonts w:ascii="Arial" w:hAnsi="Arial" w:cs="Arial"/>
        </w:rPr>
        <w:t>Así lo resolvió y firmó el Titular de la Sexta Sala Unitaria de Prime</w:t>
      </w:r>
      <w:r>
        <w:rPr>
          <w:rFonts w:ascii="Arial" w:hAnsi="Arial" w:cs="Arial"/>
        </w:rPr>
        <w:t xml:space="preserve">ra Instancia del Tribunal de Justicia Administrativa </w:t>
      </w:r>
      <w:r w:rsidRPr="00087D2C">
        <w:rPr>
          <w:rFonts w:ascii="Arial" w:hAnsi="Arial" w:cs="Arial"/>
        </w:rPr>
        <w:t xml:space="preserve">del Estado de </w:t>
      </w:r>
      <w:r w:rsidRPr="00087D2C">
        <w:rPr>
          <w:rFonts w:ascii="Arial" w:eastAsia="Times New Roman" w:hAnsi="Arial" w:cs="Arial"/>
          <w:lang w:eastAsia="es-MX"/>
        </w:rPr>
        <w:t>Oaxaca, Magistrado Abraham Santiago Soriano, quien actúa con el Licenciado Christian Mauricio Morales Morales, Secretario de Acuerdos, que autoriza y da fe.- - - - - - - - - - - - -</w:t>
      </w:r>
      <w:r>
        <w:rPr>
          <w:rFonts w:ascii="Arial" w:eastAsia="Times New Roman" w:hAnsi="Arial" w:cs="Arial"/>
          <w:lang w:eastAsia="es-MX"/>
        </w:rPr>
        <w:t xml:space="preserve"> - - - - - - - - - - - - - - - - - - - - - - - - - - - - - -</w:t>
      </w:r>
    </w:p>
    <w:p w:rsidR="00661077" w:rsidRDefault="00661077" w:rsidP="00661077">
      <w:pPr>
        <w:spacing w:after="0" w:line="360" w:lineRule="auto"/>
        <w:ind w:firstLine="567"/>
        <w:jc w:val="both"/>
        <w:rPr>
          <w:rFonts w:ascii="Arial" w:hAnsi="Arial" w:cs="Arial"/>
        </w:rPr>
      </w:pPr>
    </w:p>
    <w:p w:rsidR="004800A0" w:rsidRPr="00661077" w:rsidRDefault="004800A0" w:rsidP="00661077"/>
    <w:sectPr w:rsidR="004800A0" w:rsidRPr="00661077"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28" w:rsidRDefault="000D0E28" w:rsidP="00661077">
      <w:pPr>
        <w:spacing w:after="0" w:line="240" w:lineRule="auto"/>
      </w:pPr>
      <w:r>
        <w:separator/>
      </w:r>
    </w:p>
  </w:endnote>
  <w:endnote w:type="continuationSeparator" w:id="0">
    <w:p w:rsidR="000D0E28" w:rsidRDefault="000D0E28" w:rsidP="0066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28" w:rsidRDefault="000D0E28" w:rsidP="00661077">
      <w:pPr>
        <w:spacing w:after="0" w:line="240" w:lineRule="auto"/>
      </w:pPr>
      <w:r>
        <w:separator/>
      </w:r>
    </w:p>
  </w:footnote>
  <w:footnote w:type="continuationSeparator" w:id="0">
    <w:p w:rsidR="000D0E28" w:rsidRDefault="000D0E28" w:rsidP="00661077">
      <w:pPr>
        <w:spacing w:after="0" w:line="240" w:lineRule="auto"/>
      </w:pPr>
      <w:r>
        <w:continuationSeparator/>
      </w:r>
    </w:p>
  </w:footnote>
  <w:footnote w:id="1">
    <w:p w:rsidR="00661077" w:rsidRPr="0069472A" w:rsidRDefault="00661077" w:rsidP="00661077">
      <w:pPr>
        <w:pStyle w:val="Textonotapie"/>
        <w:rPr>
          <w:rFonts w:ascii="Arial" w:hAnsi="Arial" w:cs="Arial"/>
          <w:sz w:val="16"/>
        </w:rPr>
      </w:pPr>
      <w:r>
        <w:rPr>
          <w:rStyle w:val="Refdenotaalpie"/>
        </w:rPr>
        <w:footnoteRef/>
      </w:r>
      <w:r>
        <w:t xml:space="preserve"> </w:t>
      </w:r>
      <w:r>
        <w:rPr>
          <w:rFonts w:ascii="Arial" w:hAnsi="Arial" w:cs="Arial"/>
          <w:sz w:val="16"/>
        </w:rPr>
        <w:t>Foja 7 siete</w:t>
      </w:r>
      <w:r w:rsidRPr="0069472A">
        <w:rPr>
          <w:rFonts w:ascii="Arial" w:hAnsi="Arial" w:cs="Arial"/>
          <w:sz w:val="16"/>
        </w:rPr>
        <w:t xml:space="preserve"> del expediente</w:t>
      </w:r>
    </w:p>
    <w:p w:rsidR="00661077" w:rsidRPr="0069472A" w:rsidRDefault="00661077" w:rsidP="00661077">
      <w:pPr>
        <w:pStyle w:val="Textonotapie"/>
        <w:rPr>
          <w:rFonts w:ascii="Arial" w:hAnsi="Arial" w:cs="Arial"/>
          <w:sz w:val="16"/>
        </w:rPr>
      </w:pPr>
    </w:p>
  </w:footnote>
  <w:footnote w:id="2">
    <w:p w:rsidR="00661077" w:rsidRDefault="00661077" w:rsidP="00661077">
      <w:pPr>
        <w:pStyle w:val="Textonotapie"/>
        <w:rPr>
          <w:sz w:val="16"/>
        </w:rPr>
      </w:pPr>
      <w:r w:rsidRPr="0069472A">
        <w:rPr>
          <w:rStyle w:val="Refdenotaalpie"/>
          <w:rFonts w:ascii="Arial" w:hAnsi="Arial" w:cs="Arial"/>
          <w:sz w:val="16"/>
        </w:rPr>
        <w:footnoteRef/>
      </w:r>
      <w:r w:rsidRPr="0069472A">
        <w:rPr>
          <w:rFonts w:ascii="Arial" w:hAnsi="Arial" w:cs="Arial"/>
          <w:sz w:val="16"/>
        </w:rPr>
        <w:t xml:space="preserve"> </w:t>
      </w:r>
      <w:r w:rsidRPr="0069472A">
        <w:rPr>
          <w:rFonts w:ascii="Arial" w:hAnsi="Arial" w:cs="Arial"/>
          <w:b/>
          <w:sz w:val="16"/>
        </w:rPr>
        <w:t>PRUEBAS.</w:t>
      </w:r>
      <w:r w:rsidRPr="0069472A">
        <w:rPr>
          <w:rFonts w:ascii="Arial" w:hAnsi="Arial" w:cs="Arial"/>
          <w:sz w:val="16"/>
        </w:rPr>
        <w:t xml:space="preserve"> El que afirma está obligado a probar. El actor debe probar su acción y el reo sus excepciones. El que niega no está obligado a probar, sino en el caso de que su negación envuelva la afirmación expresa de un hecho. Cuando el actor no probare su acción, será absuelto el demandado.</w:t>
      </w:r>
      <w:r w:rsidRPr="0069472A">
        <w:rPr>
          <w:sz w:val="16"/>
        </w:rPr>
        <w:t xml:space="preserve"> </w:t>
      </w:r>
    </w:p>
    <w:p w:rsidR="00661077" w:rsidRDefault="00661077" w:rsidP="00661077">
      <w:pPr>
        <w:pStyle w:val="Textonotapie"/>
        <w:rPr>
          <w:sz w:val="16"/>
        </w:rPr>
      </w:pPr>
    </w:p>
    <w:p w:rsidR="00661077" w:rsidRDefault="00661077" w:rsidP="00661077">
      <w:pPr>
        <w:pStyle w:val="Textonotapie"/>
        <w:rPr>
          <w:sz w:val="16"/>
        </w:rPr>
      </w:pPr>
      <w:r>
        <w:rPr>
          <w:sz w:val="16"/>
        </w:rPr>
        <w:t>Registro 284838</w:t>
      </w:r>
    </w:p>
    <w:p w:rsidR="00661077" w:rsidRDefault="00661077" w:rsidP="00661077">
      <w:pPr>
        <w:pStyle w:val="Textonotapie"/>
      </w:pPr>
    </w:p>
  </w:footnote>
  <w:footnote w:id="3">
    <w:p w:rsidR="00661077" w:rsidRDefault="00661077" w:rsidP="00661077">
      <w:pPr>
        <w:pStyle w:val="Textonotapie"/>
        <w:jc w:val="both"/>
      </w:pPr>
      <w:r>
        <w:rPr>
          <w:rStyle w:val="Refdenotaalpie"/>
        </w:rPr>
        <w:footnoteRef/>
      </w:r>
      <w:r>
        <w:t xml:space="preserve"> </w:t>
      </w:r>
      <w:r>
        <w:t>“</w:t>
      </w:r>
      <w:r w:rsidRPr="00C45CFE">
        <w:rPr>
          <w:rFonts w:ascii="Arial" w:hAnsi="Arial" w:cs="Arial"/>
          <w:sz w:val="16"/>
        </w:rPr>
        <w:t xml:space="preserve">Soy persona física y contribuyente dada de alta en el padrón del Registro Estatal de Contribuyente con RFC </w:t>
      </w:r>
      <w:r w:rsidR="00277BE0">
        <w:rPr>
          <w:rFonts w:ascii="Arial" w:hAnsi="Arial" w:cs="Arial"/>
          <w:b/>
        </w:rPr>
        <w:t>***** *****</w:t>
      </w:r>
      <w:r w:rsidRPr="00C45CFE">
        <w:rPr>
          <w:rFonts w:ascii="Arial" w:hAnsi="Arial" w:cs="Arial"/>
          <w:sz w:val="16"/>
        </w:rPr>
        <w:t>, esto mediante formulario múltiple de Registro Estatal de Contribuyente, mismo que se presentó E</w:t>
      </w:r>
      <w:r>
        <w:rPr>
          <w:rFonts w:ascii="Arial" w:hAnsi="Arial" w:cs="Arial"/>
          <w:sz w:val="16"/>
        </w:rPr>
        <w:t>l 29 de septiembre del 2008</w:t>
      </w:r>
      <w:r>
        <w:t>”</w:t>
      </w:r>
    </w:p>
  </w:footnote>
  <w:footnote w:id="4">
    <w:p w:rsidR="00661077" w:rsidRDefault="00661077" w:rsidP="00661077">
      <w:pPr>
        <w:pStyle w:val="Textonotapie"/>
        <w:rPr>
          <w:rFonts w:ascii="Arial" w:hAnsi="Arial" w:cs="Arial"/>
          <w:b/>
          <w:bCs/>
          <w:color w:val="000000"/>
          <w:sz w:val="16"/>
          <w:szCs w:val="16"/>
        </w:rPr>
      </w:pPr>
      <w:r>
        <w:rPr>
          <w:rStyle w:val="Refdenotaalpie"/>
        </w:rPr>
        <w:footnoteRef/>
      </w:r>
      <w:r w:rsidRPr="006742FF">
        <w:rPr>
          <w:rFonts w:ascii="Arial" w:hAnsi="Arial" w:cs="Arial"/>
          <w:sz w:val="16"/>
          <w:szCs w:val="16"/>
        </w:rPr>
        <w:t xml:space="preserve"> </w:t>
      </w:r>
      <w:r w:rsidRPr="006742FF">
        <w:rPr>
          <w:rFonts w:ascii="Arial" w:hAnsi="Arial" w:cs="Arial"/>
          <w:b/>
          <w:bCs/>
          <w:color w:val="000000"/>
          <w:sz w:val="16"/>
          <w:szCs w:val="16"/>
        </w:rPr>
        <w:t>PRINCIPIO LATINO NEMO AUDITUR PROPRIAM TURPITUDINEM ALLEGANS. NO ES OFENSA DEL JUZGADOR HACIA UNA DE LAS PARTES, SINO QUE PONE DE MANIFIESTO LA OMISIÓN EN QUE INCURRIÓ Y QUE LE PERJUDICA.</w:t>
      </w:r>
    </w:p>
    <w:p w:rsidR="00661077" w:rsidRDefault="00661077" w:rsidP="00661077">
      <w:pPr>
        <w:pStyle w:val="Textonotapie"/>
        <w:rPr>
          <w:rFonts w:ascii="Arial" w:hAnsi="Arial" w:cs="Arial"/>
          <w:b/>
          <w:bCs/>
          <w:color w:val="000000"/>
          <w:sz w:val="16"/>
          <w:szCs w:val="16"/>
        </w:rPr>
      </w:pPr>
    </w:p>
    <w:p w:rsidR="00661077" w:rsidRPr="006742FF" w:rsidRDefault="00661077" w:rsidP="00661077">
      <w:pPr>
        <w:pStyle w:val="Textonotapie"/>
        <w:jc w:val="both"/>
        <w:rPr>
          <w:rFonts w:ascii="Arial" w:hAnsi="Arial" w:cs="Arial"/>
          <w:sz w:val="16"/>
          <w:szCs w:val="16"/>
        </w:rPr>
      </w:pPr>
      <w:r>
        <w:rPr>
          <w:rFonts w:ascii="Arial" w:hAnsi="Arial" w:cs="Arial"/>
          <w:color w:val="000000"/>
          <w:sz w:val="16"/>
          <w:szCs w:val="16"/>
        </w:rPr>
        <w:t xml:space="preserve">… </w:t>
      </w:r>
      <w:r w:rsidRPr="006742FF">
        <w:rPr>
          <w:rFonts w:ascii="Arial" w:hAnsi="Arial" w:cs="Arial"/>
          <w:color w:val="000000"/>
          <w:sz w:val="16"/>
          <w:szCs w:val="16"/>
        </w:rPr>
        <w:t>En la sentencia se aplica cuando alguna de las partes omite en su demanda o contestación narrar hechos precisos para que proceda su acción o excepción toda vez que los hechos no pueden estar sujetos a pruebas si no forman parte de la litis, por lo que al no hacerlo, debe soportar la consecuencia jurídica. En ese contexto, la frase Nemo auditur propriam turpitudinem allegans, no resulta ser punzante ni hiriente, cuando sólo se invoca para poner de manifiesto la conclusión del juzgador en el sentido de que una de las partes omitió hacer algo que le incumbía para su beneficio.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0D0E28">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4525A399" wp14:editId="50020ADC">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Pr="00E7449B" w:rsidRDefault="000D0E28">
                              <w:pPr>
                                <w:rPr>
                                  <w:b/>
                                </w:rPr>
                              </w:pPr>
                              <w:r w:rsidRPr="00E7449B">
                                <w:rPr>
                                  <w:b/>
                                </w:rPr>
                                <w:t>DATOS PERSONALES PROTEGIDOS POR EL ARTICULO 116 DE LA LGTAIP Y ARTICULO 56 DE LA LT</w:t>
                              </w:r>
                              <w:r w:rsidRPr="00E7449B">
                                <w:rPr>
                                  <w:b/>
                                </w:rPr>
                                <w: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5A39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" fillcolor="white [3201]" strokeweight=".5pt">
                  <v:textbox>
                    <w:txbxContent>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Default="000D0E28"/>
                      <w:p w:rsidR="007D6863" w:rsidRPr="00E7449B" w:rsidRDefault="000D0E28">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Pr="00E7449B">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77"/>
    <w:rsid w:val="000D0E28"/>
    <w:rsid w:val="00277BE0"/>
    <w:rsid w:val="004800A0"/>
    <w:rsid w:val="00661077"/>
    <w:rsid w:val="006F51EB"/>
    <w:rsid w:val="00B50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C6858DF"/>
  <w15:chartTrackingRefBased/>
  <w15:docId w15:val="{7934AC3C-6F28-D047-BC57-5F5992A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7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077"/>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661077"/>
    <w:rPr>
      <w:lang w:val="es-ES_tradnl"/>
    </w:rPr>
  </w:style>
  <w:style w:type="paragraph" w:styleId="Piedepgina">
    <w:name w:val="footer"/>
    <w:basedOn w:val="Normal"/>
    <w:link w:val="PiedepginaCar"/>
    <w:uiPriority w:val="99"/>
    <w:unhideWhenUsed/>
    <w:rsid w:val="00661077"/>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661077"/>
    <w:rPr>
      <w:lang w:val="es-ES_tradnl"/>
    </w:rPr>
  </w:style>
  <w:style w:type="character" w:styleId="Hipervnculo">
    <w:name w:val="Hyperlink"/>
    <w:basedOn w:val="Fuentedeprrafopredeter"/>
    <w:uiPriority w:val="99"/>
    <w:semiHidden/>
    <w:unhideWhenUsed/>
    <w:rsid w:val="00661077"/>
    <w:rPr>
      <w:color w:val="0000FF"/>
      <w:u w:val="single"/>
    </w:rPr>
  </w:style>
  <w:style w:type="paragraph" w:styleId="Sinespaciado">
    <w:name w:val="No Spacing"/>
    <w:uiPriority w:val="1"/>
    <w:qFormat/>
    <w:rsid w:val="00661077"/>
    <w:rPr>
      <w:sz w:val="22"/>
      <w:szCs w:val="22"/>
    </w:rPr>
  </w:style>
  <w:style w:type="paragraph" w:styleId="Textonotapie">
    <w:name w:val="footnote text"/>
    <w:basedOn w:val="Normal"/>
    <w:link w:val="TextonotapieCar"/>
    <w:uiPriority w:val="99"/>
    <w:unhideWhenUsed/>
    <w:rsid w:val="00661077"/>
    <w:pPr>
      <w:spacing w:after="0" w:line="240" w:lineRule="auto"/>
    </w:pPr>
    <w:rPr>
      <w:sz w:val="20"/>
      <w:szCs w:val="20"/>
    </w:rPr>
  </w:style>
  <w:style w:type="character" w:customStyle="1" w:styleId="TextonotapieCar">
    <w:name w:val="Texto nota pie Car"/>
    <w:basedOn w:val="Fuentedeprrafopredeter"/>
    <w:link w:val="Textonotapie"/>
    <w:uiPriority w:val="99"/>
    <w:rsid w:val="00661077"/>
    <w:rPr>
      <w:sz w:val="20"/>
      <w:szCs w:val="20"/>
    </w:rPr>
  </w:style>
  <w:style w:type="character" w:styleId="Refdenotaalpie">
    <w:name w:val="footnote reference"/>
    <w:basedOn w:val="Fuentedeprrafopredeter"/>
    <w:uiPriority w:val="99"/>
    <w:semiHidden/>
    <w:unhideWhenUsed/>
    <w:rsid w:val="00661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4714</Words>
  <Characters>25929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Uriel Vargas Mariscal</dc:creator>
  <cp:keywords/>
  <dc:description/>
  <cp:lastModifiedBy>Leonardo Uriel Vargas Mariscal</cp:lastModifiedBy>
  <cp:revision>1</cp:revision>
  <dcterms:created xsi:type="dcterms:W3CDTF">2019-07-08T16:25:00Z</dcterms:created>
  <dcterms:modified xsi:type="dcterms:W3CDTF">2019-07-08T16:48:00Z</dcterms:modified>
</cp:coreProperties>
</file>