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010BEC" w:rsidRDefault="00E671E1" w:rsidP="00903828">
      <w:pPr>
        <w:pStyle w:val="corte4fondo"/>
        <w:spacing w:line="276" w:lineRule="auto"/>
        <w:ind w:left="4395" w:right="51" w:firstLine="0"/>
        <w:rPr>
          <w:rFonts w:cs="Arial"/>
          <w:b/>
          <w:sz w:val="24"/>
          <w:szCs w:val="24"/>
        </w:rPr>
      </w:pPr>
      <w:bookmarkStart w:id="0" w:name="_GoBack"/>
      <w:bookmarkEnd w:id="0"/>
      <w:r w:rsidRPr="00010BEC">
        <w:rPr>
          <w:rFonts w:cs="Arial"/>
          <w:b/>
          <w:sz w:val="24"/>
          <w:szCs w:val="24"/>
        </w:rPr>
        <w:t xml:space="preserve">QUINTA SALA UNITARIA DE PRIMERA INSTANCIA DEL TRIBUNAL </w:t>
      </w:r>
      <w:r w:rsidR="00894FDF" w:rsidRPr="00010BEC">
        <w:rPr>
          <w:rFonts w:cs="Arial"/>
          <w:b/>
          <w:sz w:val="24"/>
          <w:szCs w:val="24"/>
        </w:rPr>
        <w:t xml:space="preserve">DE JUSTICIA ADMINISTRATIVA </w:t>
      </w:r>
      <w:r w:rsidRPr="00010BEC">
        <w:rPr>
          <w:rFonts w:cs="Arial"/>
          <w:b/>
          <w:sz w:val="24"/>
          <w:szCs w:val="24"/>
        </w:rPr>
        <w:t>DEL ESTADO DE OAXACA</w:t>
      </w:r>
      <w:r w:rsidR="00C73BD0" w:rsidRPr="00010BEC">
        <w:rPr>
          <w:rFonts w:cs="Arial"/>
          <w:b/>
          <w:sz w:val="24"/>
          <w:szCs w:val="24"/>
        </w:rPr>
        <w:t>.</w:t>
      </w:r>
    </w:p>
    <w:p w:rsidR="00E671E1" w:rsidRPr="00010BEC" w:rsidRDefault="00E671E1" w:rsidP="00903828">
      <w:pPr>
        <w:pStyle w:val="corte4fondo"/>
        <w:spacing w:line="276" w:lineRule="auto"/>
        <w:ind w:left="4395" w:right="-521" w:firstLine="0"/>
        <w:rPr>
          <w:rFonts w:cs="Arial"/>
          <w:b/>
          <w:sz w:val="24"/>
          <w:szCs w:val="24"/>
        </w:rPr>
      </w:pPr>
    </w:p>
    <w:p w:rsidR="00E671E1" w:rsidRPr="00010BEC" w:rsidRDefault="00E671E1" w:rsidP="00903828">
      <w:pPr>
        <w:pStyle w:val="corte4fondo"/>
        <w:spacing w:line="276" w:lineRule="auto"/>
        <w:ind w:left="4395" w:right="-521" w:firstLine="0"/>
        <w:rPr>
          <w:rFonts w:cs="Arial"/>
          <w:sz w:val="24"/>
          <w:szCs w:val="24"/>
        </w:rPr>
      </w:pPr>
      <w:r w:rsidRPr="00010BEC">
        <w:rPr>
          <w:rFonts w:cs="Arial"/>
          <w:b/>
          <w:sz w:val="24"/>
          <w:szCs w:val="24"/>
        </w:rPr>
        <w:t>JUICIO DE NULIDAD</w:t>
      </w:r>
      <w:r w:rsidRPr="00010BEC">
        <w:rPr>
          <w:rFonts w:cs="Arial"/>
          <w:sz w:val="24"/>
          <w:szCs w:val="24"/>
        </w:rPr>
        <w:t xml:space="preserve">: </w:t>
      </w:r>
      <w:r w:rsidR="00707A55">
        <w:rPr>
          <w:rFonts w:cs="Arial"/>
          <w:sz w:val="24"/>
          <w:szCs w:val="24"/>
        </w:rPr>
        <w:t>0</w:t>
      </w:r>
      <w:r w:rsidR="00933ECD">
        <w:rPr>
          <w:rFonts w:cs="Arial"/>
          <w:sz w:val="24"/>
          <w:szCs w:val="24"/>
        </w:rPr>
        <w:t>090</w:t>
      </w:r>
      <w:r w:rsidR="0082043D" w:rsidRPr="00010BEC">
        <w:rPr>
          <w:rFonts w:cs="Arial"/>
          <w:sz w:val="24"/>
          <w:szCs w:val="24"/>
        </w:rPr>
        <w:t>/</w:t>
      </w:r>
      <w:r w:rsidRPr="00010BEC">
        <w:rPr>
          <w:rFonts w:cs="Arial"/>
          <w:sz w:val="24"/>
          <w:szCs w:val="24"/>
        </w:rPr>
        <w:t>20</w:t>
      </w:r>
      <w:r w:rsidR="00933ECD">
        <w:rPr>
          <w:rFonts w:cs="Arial"/>
          <w:sz w:val="24"/>
          <w:szCs w:val="24"/>
        </w:rPr>
        <w:t>17</w:t>
      </w:r>
      <w:r w:rsidR="00847EF8" w:rsidRPr="00010BEC">
        <w:rPr>
          <w:rFonts w:cs="Arial"/>
          <w:sz w:val="24"/>
          <w:szCs w:val="24"/>
        </w:rPr>
        <w:t>.</w:t>
      </w:r>
      <w:r w:rsidRPr="00010BEC">
        <w:rPr>
          <w:rFonts w:cs="Arial"/>
          <w:sz w:val="24"/>
          <w:szCs w:val="24"/>
        </w:rPr>
        <w:t xml:space="preserve"> </w:t>
      </w:r>
    </w:p>
    <w:p w:rsidR="00E671E1" w:rsidRPr="00010BEC" w:rsidRDefault="00E671E1" w:rsidP="00903828">
      <w:pPr>
        <w:pStyle w:val="corte4fondo"/>
        <w:spacing w:line="276" w:lineRule="auto"/>
        <w:ind w:left="4395" w:right="-521" w:firstLine="0"/>
        <w:rPr>
          <w:rFonts w:cs="Arial"/>
          <w:sz w:val="24"/>
          <w:szCs w:val="24"/>
        </w:rPr>
      </w:pPr>
    </w:p>
    <w:p w:rsidR="00E671E1" w:rsidRPr="00010BEC" w:rsidRDefault="003F0151" w:rsidP="00903828">
      <w:pPr>
        <w:ind w:left="4395"/>
        <w:contextualSpacing/>
        <w:jc w:val="both"/>
        <w:rPr>
          <w:rFonts w:ascii="Arial" w:hAnsi="Arial" w:cs="Arial"/>
        </w:rPr>
      </w:pPr>
      <w:r w:rsidRPr="00010BEC">
        <w:rPr>
          <w:rFonts w:ascii="Arial" w:hAnsi="Arial" w:cs="Arial"/>
          <w:b/>
          <w:sz w:val="24"/>
          <w:szCs w:val="24"/>
        </w:rPr>
        <w:t xml:space="preserve">ACTOR: </w:t>
      </w:r>
      <w:r w:rsidR="00884B24">
        <w:rPr>
          <w:rFonts w:cs="Arial"/>
          <w:b/>
          <w:sz w:val="24"/>
          <w:szCs w:val="24"/>
        </w:rPr>
        <w:t>**********</w:t>
      </w:r>
      <w:r w:rsidRPr="00010BEC">
        <w:rPr>
          <w:rFonts w:ascii="Arial" w:hAnsi="Arial" w:cs="Arial"/>
          <w:b/>
          <w:sz w:val="24"/>
          <w:szCs w:val="24"/>
        </w:rPr>
        <w:t>.</w:t>
      </w:r>
    </w:p>
    <w:p w:rsidR="00E671E1" w:rsidRPr="00010BEC" w:rsidRDefault="003F0151" w:rsidP="00903828">
      <w:pPr>
        <w:pStyle w:val="corte4fondo"/>
        <w:spacing w:line="276" w:lineRule="auto"/>
        <w:ind w:left="4395" w:right="-521" w:firstLine="0"/>
        <w:rPr>
          <w:rFonts w:cs="Arial"/>
          <w:b/>
          <w:i/>
          <w:sz w:val="24"/>
          <w:szCs w:val="24"/>
        </w:rPr>
      </w:pPr>
      <w:r w:rsidRPr="00010BEC">
        <w:rPr>
          <w:rFonts w:cs="Arial"/>
          <w:b/>
          <w:i/>
          <w:sz w:val="24"/>
          <w:szCs w:val="24"/>
        </w:rPr>
        <w:t xml:space="preserve"> </w:t>
      </w:r>
    </w:p>
    <w:p w:rsidR="004A0903" w:rsidRPr="00010BEC" w:rsidRDefault="003F0151" w:rsidP="00903828">
      <w:pPr>
        <w:pStyle w:val="corte4fondo"/>
        <w:spacing w:line="276" w:lineRule="auto"/>
        <w:ind w:left="4395" w:right="51" w:firstLine="0"/>
        <w:rPr>
          <w:rFonts w:cs="Arial"/>
          <w:b/>
          <w:sz w:val="24"/>
          <w:szCs w:val="24"/>
        </w:rPr>
      </w:pPr>
      <w:r w:rsidRPr="00010BEC">
        <w:rPr>
          <w:rFonts w:cs="Arial"/>
          <w:b/>
          <w:sz w:val="24"/>
          <w:szCs w:val="24"/>
        </w:rPr>
        <w:t>AUTORIDAD</w:t>
      </w:r>
      <w:r w:rsidR="00933ECD">
        <w:rPr>
          <w:rFonts w:cs="Arial"/>
          <w:b/>
          <w:sz w:val="24"/>
          <w:szCs w:val="24"/>
        </w:rPr>
        <w:t>ES</w:t>
      </w:r>
      <w:r w:rsidRPr="00010BEC">
        <w:rPr>
          <w:rFonts w:cs="Arial"/>
          <w:b/>
          <w:sz w:val="24"/>
          <w:szCs w:val="24"/>
        </w:rPr>
        <w:t xml:space="preserve"> DEMANDADA</w:t>
      </w:r>
      <w:r w:rsidR="00933ECD">
        <w:rPr>
          <w:rFonts w:cs="Arial"/>
          <w:b/>
          <w:sz w:val="24"/>
          <w:szCs w:val="24"/>
        </w:rPr>
        <w:t>S</w:t>
      </w:r>
      <w:r w:rsidRPr="00010BEC">
        <w:rPr>
          <w:rFonts w:cs="Arial"/>
          <w:b/>
          <w:sz w:val="24"/>
          <w:szCs w:val="24"/>
        </w:rPr>
        <w:t>:</w:t>
      </w:r>
      <w:r w:rsidR="004A0903" w:rsidRPr="00010BEC">
        <w:rPr>
          <w:rFonts w:cs="Arial"/>
          <w:b/>
          <w:sz w:val="24"/>
          <w:szCs w:val="24"/>
        </w:rPr>
        <w:t xml:space="preserve"> DIRECTORA DE INGRESOS Y RECAUDACIÓN </w:t>
      </w:r>
      <w:r w:rsidR="00933ECD" w:rsidRPr="00010BEC">
        <w:rPr>
          <w:rFonts w:cs="Arial"/>
          <w:b/>
          <w:sz w:val="24"/>
          <w:szCs w:val="24"/>
        </w:rPr>
        <w:t xml:space="preserve">DE LA SECRETARÍA DE FINANZAS </w:t>
      </w:r>
      <w:r w:rsidR="00933ECD" w:rsidRPr="00010BEC">
        <w:rPr>
          <w:rFonts w:cs="Arial"/>
          <w:sz w:val="24"/>
          <w:szCs w:val="24"/>
        </w:rPr>
        <w:t>DEL PODER</w:t>
      </w:r>
      <w:r w:rsidR="00933ECD">
        <w:rPr>
          <w:rFonts w:cs="Arial"/>
          <w:sz w:val="24"/>
          <w:szCs w:val="24"/>
        </w:rPr>
        <w:t xml:space="preserve"> EJECUTIVO DEL ESTADO DE OAXACA </w:t>
      </w:r>
      <w:r w:rsidR="00933ECD">
        <w:rPr>
          <w:rFonts w:cs="Arial"/>
          <w:b/>
          <w:sz w:val="24"/>
          <w:szCs w:val="24"/>
        </w:rPr>
        <w:t xml:space="preserve">Y SECRETARIO DE FINANZAS </w:t>
      </w:r>
      <w:r w:rsidR="00416798">
        <w:rPr>
          <w:rFonts w:cs="Arial"/>
          <w:b/>
          <w:sz w:val="24"/>
          <w:szCs w:val="24"/>
        </w:rPr>
        <w:t>DE</w:t>
      </w:r>
      <w:r w:rsidR="004A0903" w:rsidRPr="00010BEC">
        <w:rPr>
          <w:rFonts w:cs="Arial"/>
          <w:sz w:val="24"/>
          <w:szCs w:val="24"/>
        </w:rPr>
        <w:t xml:space="preserve"> PODER EJECUTIVO DEL ESTADO DE OAXACA.</w:t>
      </w:r>
    </w:p>
    <w:p w:rsidR="00846633" w:rsidRPr="00010BEC" w:rsidRDefault="00846633" w:rsidP="00445A43">
      <w:pPr>
        <w:pStyle w:val="corte4fondo"/>
        <w:spacing w:line="276" w:lineRule="auto"/>
        <w:ind w:right="51" w:firstLine="0"/>
        <w:rPr>
          <w:rFonts w:cs="Arial"/>
          <w:b/>
          <w:sz w:val="24"/>
          <w:szCs w:val="24"/>
        </w:rPr>
      </w:pPr>
    </w:p>
    <w:p w:rsidR="008238F5" w:rsidRPr="0010069A" w:rsidRDefault="008238F5" w:rsidP="00F34F16">
      <w:pPr>
        <w:pStyle w:val="BodyText2"/>
        <w:spacing w:line="360" w:lineRule="auto"/>
        <w:ind w:firstLine="0"/>
        <w:rPr>
          <w:rFonts w:ascii="Arial" w:hAnsi="Arial" w:cs="Arial"/>
          <w:b/>
          <w:szCs w:val="24"/>
        </w:rPr>
      </w:pPr>
    </w:p>
    <w:p w:rsidR="00DB644D" w:rsidRPr="0010069A" w:rsidRDefault="003F0151" w:rsidP="00F34F16">
      <w:pPr>
        <w:pStyle w:val="BodyText2"/>
        <w:spacing w:line="360" w:lineRule="auto"/>
        <w:ind w:firstLine="0"/>
        <w:rPr>
          <w:rFonts w:ascii="Arial" w:hAnsi="Arial" w:cs="Arial"/>
          <w:szCs w:val="24"/>
        </w:rPr>
      </w:pPr>
      <w:r w:rsidRPr="00010BEC">
        <w:rPr>
          <w:rFonts w:ascii="Arial" w:hAnsi="Arial" w:cs="Arial"/>
          <w:b/>
          <w:szCs w:val="24"/>
        </w:rPr>
        <w:t>OAXACA DE JUÁREZ, OAXACA, D</w:t>
      </w:r>
      <w:r w:rsidR="00903828">
        <w:rPr>
          <w:rFonts w:ascii="Arial" w:hAnsi="Arial" w:cs="Arial"/>
          <w:b/>
          <w:szCs w:val="24"/>
        </w:rPr>
        <w:t>I</w:t>
      </w:r>
      <w:r w:rsidR="00775CE2">
        <w:rPr>
          <w:rFonts w:ascii="Arial" w:hAnsi="Arial" w:cs="Arial"/>
          <w:b/>
          <w:szCs w:val="24"/>
        </w:rPr>
        <w:t xml:space="preserve">STRITO DEL CENTRO A, </w:t>
      </w:r>
      <w:r w:rsidR="00A908B2">
        <w:rPr>
          <w:rFonts w:ascii="Arial" w:hAnsi="Arial" w:cs="Arial"/>
          <w:b/>
          <w:szCs w:val="24"/>
        </w:rPr>
        <w:t>DOCE DE MARZO DE DOS MIL DIECINUEVE (12</w:t>
      </w:r>
      <w:r w:rsidR="00DF16D7">
        <w:rPr>
          <w:rFonts w:ascii="Arial" w:hAnsi="Arial" w:cs="Arial"/>
          <w:b/>
          <w:szCs w:val="24"/>
        </w:rPr>
        <w:t>-03</w:t>
      </w:r>
      <w:r w:rsidRPr="00010BEC">
        <w:rPr>
          <w:rFonts w:ascii="Arial" w:hAnsi="Arial" w:cs="Arial"/>
          <w:b/>
          <w:szCs w:val="24"/>
        </w:rPr>
        <w:t xml:space="preserve">-2019). </w:t>
      </w:r>
      <w:r w:rsidRPr="00010BEC">
        <w:rPr>
          <w:rFonts w:ascii="Arial" w:hAnsi="Arial" w:cs="Arial"/>
          <w:szCs w:val="24"/>
        </w:rPr>
        <w:t xml:space="preserve">- - - - - - - - - - - - </w:t>
      </w:r>
    </w:p>
    <w:p w:rsidR="00903828" w:rsidRPr="0010069A" w:rsidRDefault="00903828" w:rsidP="00F34F16">
      <w:pPr>
        <w:pStyle w:val="BodyText2"/>
        <w:spacing w:line="360" w:lineRule="auto"/>
        <w:ind w:firstLine="0"/>
        <w:rPr>
          <w:rFonts w:ascii="Arial" w:hAnsi="Arial" w:cs="Arial"/>
          <w:szCs w:val="24"/>
        </w:rPr>
      </w:pPr>
    </w:p>
    <w:p w:rsidR="00C4765D" w:rsidRPr="004A0903" w:rsidRDefault="00A9190E" w:rsidP="00445A43">
      <w:pPr>
        <w:pStyle w:val="corte4fondo"/>
        <w:ind w:right="51" w:firstLine="708"/>
        <w:rPr>
          <w:rFonts w:cs="Arial"/>
          <w:sz w:val="24"/>
          <w:szCs w:val="24"/>
        </w:rPr>
      </w:pPr>
      <w:r w:rsidRPr="0010069A">
        <w:rPr>
          <w:rFonts w:cs="Arial"/>
          <w:sz w:val="24"/>
          <w:szCs w:val="24"/>
        </w:rPr>
        <w:t>V</w:t>
      </w:r>
      <w:r w:rsidR="00BF0D6B" w:rsidRPr="0010069A">
        <w:rPr>
          <w:rFonts w:cs="Arial"/>
          <w:sz w:val="24"/>
          <w:szCs w:val="24"/>
        </w:rPr>
        <w:t xml:space="preserve"> </w:t>
      </w:r>
      <w:r w:rsidRPr="0010069A">
        <w:rPr>
          <w:rFonts w:cs="Arial"/>
          <w:sz w:val="24"/>
          <w:szCs w:val="24"/>
        </w:rPr>
        <w:t>I</w:t>
      </w:r>
      <w:r w:rsidR="00BF0D6B" w:rsidRPr="0010069A">
        <w:rPr>
          <w:rFonts w:cs="Arial"/>
          <w:sz w:val="24"/>
          <w:szCs w:val="24"/>
        </w:rPr>
        <w:t xml:space="preserve"> </w:t>
      </w:r>
      <w:r w:rsidRPr="0010069A">
        <w:rPr>
          <w:rFonts w:cs="Arial"/>
          <w:sz w:val="24"/>
          <w:szCs w:val="24"/>
        </w:rPr>
        <w:t>S</w:t>
      </w:r>
      <w:r w:rsidR="00BF0D6B" w:rsidRPr="0010069A">
        <w:rPr>
          <w:rFonts w:cs="Arial"/>
          <w:sz w:val="24"/>
          <w:szCs w:val="24"/>
        </w:rPr>
        <w:t xml:space="preserve"> </w:t>
      </w:r>
      <w:r w:rsidRPr="0010069A">
        <w:rPr>
          <w:rFonts w:cs="Arial"/>
          <w:sz w:val="24"/>
          <w:szCs w:val="24"/>
        </w:rPr>
        <w:t>T</w:t>
      </w:r>
      <w:r w:rsidR="00BF0D6B" w:rsidRPr="0010069A">
        <w:rPr>
          <w:rFonts w:cs="Arial"/>
          <w:sz w:val="24"/>
          <w:szCs w:val="24"/>
        </w:rPr>
        <w:t xml:space="preserve"> </w:t>
      </w:r>
      <w:r w:rsidRPr="0010069A">
        <w:rPr>
          <w:rFonts w:cs="Arial"/>
          <w:sz w:val="24"/>
          <w:szCs w:val="24"/>
        </w:rPr>
        <w:t>O</w:t>
      </w:r>
      <w:r w:rsidR="00BF0D6B" w:rsidRPr="0010069A">
        <w:rPr>
          <w:rFonts w:cs="Arial"/>
          <w:sz w:val="24"/>
          <w:szCs w:val="24"/>
        </w:rPr>
        <w:t xml:space="preserve"> </w:t>
      </w:r>
      <w:r w:rsidRPr="0010069A">
        <w:rPr>
          <w:rFonts w:cs="Arial"/>
          <w:sz w:val="24"/>
          <w:szCs w:val="24"/>
        </w:rPr>
        <w:t xml:space="preserve">S </w:t>
      </w:r>
      <w:r w:rsidR="00A87F63" w:rsidRPr="0010069A">
        <w:rPr>
          <w:rFonts w:cs="Arial"/>
          <w:sz w:val="24"/>
          <w:szCs w:val="24"/>
        </w:rPr>
        <w:t>para resolver los autos del</w:t>
      </w:r>
      <w:r w:rsidR="00183229" w:rsidRPr="0010069A">
        <w:rPr>
          <w:rFonts w:cs="Arial"/>
          <w:sz w:val="24"/>
          <w:szCs w:val="24"/>
        </w:rPr>
        <w:t xml:space="preserve"> </w:t>
      </w:r>
      <w:r w:rsidR="00D47454" w:rsidRPr="0010069A">
        <w:rPr>
          <w:rFonts w:cs="Arial"/>
          <w:sz w:val="24"/>
          <w:szCs w:val="24"/>
        </w:rPr>
        <w:t>j</w:t>
      </w:r>
      <w:r w:rsidR="007E782A" w:rsidRPr="0010069A">
        <w:rPr>
          <w:rFonts w:cs="Arial"/>
          <w:sz w:val="24"/>
          <w:szCs w:val="24"/>
        </w:rPr>
        <w:t>uicio de nulidad de número</w:t>
      </w:r>
      <w:r w:rsidR="00065CEC" w:rsidRPr="0010069A">
        <w:rPr>
          <w:rFonts w:cs="Arial"/>
          <w:sz w:val="24"/>
          <w:szCs w:val="24"/>
        </w:rPr>
        <w:t xml:space="preserve"> </w:t>
      </w:r>
      <w:r w:rsidR="00416798">
        <w:rPr>
          <w:rFonts w:cs="Arial"/>
          <w:sz w:val="24"/>
          <w:szCs w:val="24"/>
        </w:rPr>
        <w:t>EXP/0</w:t>
      </w:r>
      <w:r w:rsidR="00775CE2">
        <w:rPr>
          <w:rFonts w:cs="Arial"/>
          <w:sz w:val="24"/>
          <w:szCs w:val="24"/>
        </w:rPr>
        <w:t>0</w:t>
      </w:r>
      <w:r w:rsidR="00416798">
        <w:rPr>
          <w:rFonts w:cs="Arial"/>
          <w:sz w:val="24"/>
          <w:szCs w:val="24"/>
        </w:rPr>
        <w:t>90/2017</w:t>
      </w:r>
      <w:r w:rsidRPr="00010BEC">
        <w:rPr>
          <w:rFonts w:cs="Arial"/>
          <w:sz w:val="24"/>
          <w:szCs w:val="24"/>
        </w:rPr>
        <w:t>,</w:t>
      </w:r>
      <w:r w:rsidR="00D71A3E" w:rsidRPr="00010BEC">
        <w:rPr>
          <w:rFonts w:cs="Arial"/>
          <w:sz w:val="24"/>
          <w:szCs w:val="24"/>
        </w:rPr>
        <w:t xml:space="preserve"> promovido por</w:t>
      </w:r>
      <w:r w:rsidR="00F34F16" w:rsidRPr="00010BEC">
        <w:rPr>
          <w:rFonts w:cs="Arial"/>
          <w:b/>
          <w:sz w:val="24"/>
          <w:szCs w:val="24"/>
        </w:rPr>
        <w:t xml:space="preserve"> </w:t>
      </w:r>
      <w:r w:rsidR="00884B24">
        <w:rPr>
          <w:rFonts w:cs="Arial"/>
          <w:b/>
          <w:sz w:val="24"/>
          <w:szCs w:val="24"/>
        </w:rPr>
        <w:t>**********</w:t>
      </w:r>
      <w:r w:rsidR="00840146" w:rsidRPr="00010BEC">
        <w:rPr>
          <w:rFonts w:cs="Arial"/>
          <w:b/>
          <w:sz w:val="24"/>
          <w:szCs w:val="24"/>
        </w:rPr>
        <w:t>,</w:t>
      </w:r>
      <w:r w:rsidR="00D63A89" w:rsidRPr="0010069A">
        <w:rPr>
          <w:rFonts w:cs="Arial"/>
          <w:sz w:val="24"/>
          <w:szCs w:val="24"/>
        </w:rPr>
        <w:t xml:space="preserve"> en contra de la </w:t>
      </w:r>
      <w:r w:rsidR="008F6555" w:rsidRPr="008F6555">
        <w:rPr>
          <w:rFonts w:cs="Arial"/>
          <w:sz w:val="24"/>
          <w:szCs w:val="24"/>
        </w:rPr>
        <w:t xml:space="preserve">Multa por Infracción Relacionada con la Presentación de Declaraciones del Impuesto Cedular a los Ingresos por el Otorgamiento del Uso o Goce Temporal de Bienes Inmuebles de fecha </w:t>
      </w:r>
      <w:r w:rsidR="00884B24">
        <w:rPr>
          <w:rFonts w:cs="Arial"/>
          <w:b/>
          <w:sz w:val="24"/>
          <w:szCs w:val="24"/>
        </w:rPr>
        <w:t xml:space="preserve">********** </w:t>
      </w:r>
      <w:r w:rsidR="004A0903" w:rsidRPr="00010BEC">
        <w:rPr>
          <w:rFonts w:cs="Arial"/>
          <w:sz w:val="24"/>
          <w:szCs w:val="24"/>
        </w:rPr>
        <w:t xml:space="preserve">con número de control </w:t>
      </w:r>
      <w:r w:rsidR="00884B24">
        <w:rPr>
          <w:rFonts w:cs="Arial"/>
          <w:b/>
          <w:sz w:val="24"/>
          <w:szCs w:val="24"/>
        </w:rPr>
        <w:t>**********</w:t>
      </w:r>
      <w:r w:rsidR="004A0903" w:rsidRPr="00010BEC">
        <w:rPr>
          <w:rFonts w:cs="Arial"/>
          <w:sz w:val="24"/>
          <w:szCs w:val="24"/>
        </w:rPr>
        <w:t xml:space="preserve"> signada por la </w:t>
      </w:r>
      <w:r w:rsidR="004A0903" w:rsidRPr="00010BEC">
        <w:rPr>
          <w:rFonts w:cs="Arial"/>
          <w:b/>
          <w:sz w:val="24"/>
          <w:szCs w:val="24"/>
        </w:rPr>
        <w:t xml:space="preserve">DIRECTORA DE INGRESOS Y RECAUDACIÓN DE LA SECRETARÍA DE FINANZAS </w:t>
      </w:r>
      <w:r w:rsidR="00DF16D7" w:rsidRPr="00010BEC">
        <w:rPr>
          <w:rFonts w:cs="Arial"/>
          <w:sz w:val="24"/>
          <w:szCs w:val="24"/>
        </w:rPr>
        <w:t xml:space="preserve">DEL PODER EJECUTIVO </w:t>
      </w:r>
      <w:r w:rsidR="00DF16D7" w:rsidRPr="00DF16D7">
        <w:rPr>
          <w:rFonts w:cs="Arial"/>
          <w:b/>
          <w:sz w:val="24"/>
          <w:szCs w:val="24"/>
        </w:rPr>
        <w:t>DEL ESTADO DE OAXACA</w:t>
      </w:r>
      <w:r w:rsidR="003F0151">
        <w:rPr>
          <w:rFonts w:cs="Arial"/>
          <w:sz w:val="24"/>
          <w:szCs w:val="24"/>
        </w:rPr>
        <w:t>,</w:t>
      </w:r>
      <w:r w:rsidR="00BF0D6B" w:rsidRPr="0010069A">
        <w:rPr>
          <w:rFonts w:cs="Arial"/>
          <w:b/>
          <w:sz w:val="24"/>
          <w:szCs w:val="24"/>
        </w:rPr>
        <w:t xml:space="preserve"> </w:t>
      </w:r>
      <w:r w:rsidR="00BF0D6B" w:rsidRPr="0010069A">
        <w:rPr>
          <w:rFonts w:cs="Arial"/>
          <w:sz w:val="24"/>
          <w:szCs w:val="24"/>
        </w:rPr>
        <w:t xml:space="preserve">y;- </w:t>
      </w:r>
      <w:r w:rsidR="00CA6768">
        <w:rPr>
          <w:rFonts w:cs="Arial"/>
          <w:sz w:val="24"/>
          <w:szCs w:val="24"/>
        </w:rPr>
        <w:t xml:space="preserve">- - - - - - - - - - - - - - - - - - - </w:t>
      </w:r>
    </w:p>
    <w:p w:rsidR="00894FDF" w:rsidRDefault="00894FDF" w:rsidP="00025DE5">
      <w:pPr>
        <w:pStyle w:val="corte4fondo"/>
        <w:ind w:right="51" w:firstLine="0"/>
        <w:rPr>
          <w:rFonts w:cs="Arial"/>
          <w:sz w:val="24"/>
          <w:szCs w:val="24"/>
        </w:rPr>
      </w:pPr>
    </w:p>
    <w:p w:rsidR="00445A43" w:rsidRPr="0010069A" w:rsidRDefault="00445A43" w:rsidP="00025DE5">
      <w:pPr>
        <w:pStyle w:val="corte4fondo"/>
        <w:ind w:right="51" w:firstLine="0"/>
        <w:rPr>
          <w:rFonts w:cs="Arial"/>
          <w:sz w:val="24"/>
          <w:szCs w:val="24"/>
        </w:rPr>
      </w:pPr>
    </w:p>
    <w:p w:rsidR="00E671E1" w:rsidRDefault="003F3E00" w:rsidP="00847EF8">
      <w:pPr>
        <w:spacing w:line="360" w:lineRule="auto"/>
        <w:rPr>
          <w:rFonts w:ascii="Arial" w:hAnsi="Arial" w:cs="Arial"/>
          <w:b/>
          <w:spacing w:val="-3"/>
          <w:sz w:val="24"/>
          <w:szCs w:val="24"/>
          <w:lang w:val="es-ES_tradnl"/>
        </w:rPr>
      </w:pPr>
      <w:r w:rsidRPr="0010069A">
        <w:rPr>
          <w:rFonts w:ascii="Arial" w:hAnsi="Arial" w:cs="Arial"/>
          <w:sz w:val="24"/>
          <w:szCs w:val="24"/>
        </w:rPr>
        <w:t xml:space="preserve">                               </w:t>
      </w:r>
      <w:r w:rsidR="001B5D21" w:rsidRPr="0010069A">
        <w:rPr>
          <w:rFonts w:ascii="Arial" w:hAnsi="Arial" w:cs="Arial"/>
          <w:sz w:val="24"/>
          <w:szCs w:val="24"/>
        </w:rPr>
        <w:t xml:space="preserve">         </w:t>
      </w:r>
      <w:r w:rsidRPr="0010069A">
        <w:rPr>
          <w:rFonts w:ascii="Arial" w:hAnsi="Arial" w:cs="Arial"/>
          <w:sz w:val="24"/>
          <w:szCs w:val="24"/>
        </w:rPr>
        <w:t xml:space="preserve"> </w:t>
      </w:r>
      <w:r w:rsidR="006F0180" w:rsidRPr="0010069A">
        <w:rPr>
          <w:rFonts w:ascii="Arial" w:hAnsi="Arial" w:cs="Arial"/>
          <w:b/>
          <w:sz w:val="24"/>
          <w:szCs w:val="24"/>
        </w:rPr>
        <w:t>R E</w:t>
      </w:r>
      <w:r w:rsidR="00DA26E6" w:rsidRPr="0010069A">
        <w:rPr>
          <w:rFonts w:ascii="Arial" w:hAnsi="Arial" w:cs="Arial"/>
          <w:b/>
          <w:spacing w:val="-3"/>
          <w:sz w:val="24"/>
          <w:szCs w:val="24"/>
          <w:lang w:val="es-ES_tradnl"/>
        </w:rPr>
        <w:t xml:space="preserve"> S U L T A N D O</w:t>
      </w:r>
      <w:r w:rsidR="006F0180" w:rsidRPr="0010069A">
        <w:rPr>
          <w:rFonts w:ascii="Arial" w:hAnsi="Arial" w:cs="Arial"/>
          <w:b/>
          <w:spacing w:val="-3"/>
          <w:sz w:val="24"/>
          <w:szCs w:val="24"/>
          <w:lang w:val="es-ES_tradnl"/>
        </w:rPr>
        <w:t>:</w:t>
      </w:r>
    </w:p>
    <w:p w:rsidR="00445A43" w:rsidRPr="0010069A" w:rsidRDefault="00445A43" w:rsidP="00847EF8">
      <w:pPr>
        <w:spacing w:line="360" w:lineRule="auto"/>
        <w:rPr>
          <w:rFonts w:ascii="Arial" w:hAnsi="Arial" w:cs="Arial"/>
          <w:b/>
          <w:spacing w:val="-3"/>
          <w:sz w:val="24"/>
          <w:szCs w:val="24"/>
          <w:lang w:val="es-ES_tradnl"/>
        </w:rPr>
      </w:pPr>
    </w:p>
    <w:p w:rsidR="00022B15" w:rsidRPr="0010069A" w:rsidRDefault="00022B15" w:rsidP="00847EF8">
      <w:pPr>
        <w:spacing w:line="360" w:lineRule="auto"/>
        <w:rPr>
          <w:rFonts w:ascii="Arial" w:hAnsi="Arial" w:cs="Arial"/>
          <w:sz w:val="24"/>
          <w:szCs w:val="24"/>
        </w:rPr>
      </w:pPr>
    </w:p>
    <w:p w:rsidR="00487361" w:rsidRPr="00DF16D7" w:rsidRDefault="001E66AE" w:rsidP="00DF0277">
      <w:pPr>
        <w:spacing w:line="360" w:lineRule="auto"/>
        <w:jc w:val="both"/>
        <w:rPr>
          <w:rFonts w:ascii="Arial" w:hAnsi="Arial" w:cs="Arial"/>
          <w:b/>
          <w:sz w:val="24"/>
          <w:szCs w:val="24"/>
        </w:rPr>
      </w:pPr>
      <w:r w:rsidRPr="0010069A">
        <w:rPr>
          <w:rFonts w:ascii="Arial" w:hAnsi="Arial" w:cs="Arial"/>
          <w:b/>
          <w:spacing w:val="-3"/>
          <w:sz w:val="24"/>
          <w:szCs w:val="24"/>
          <w:lang w:val="es-ES_tradnl"/>
        </w:rPr>
        <w:tab/>
        <w:t>PRIMERO.-</w:t>
      </w:r>
      <w:r w:rsidR="00894FDF" w:rsidRPr="0010069A">
        <w:rPr>
          <w:rFonts w:ascii="Arial" w:hAnsi="Arial" w:cs="Arial"/>
          <w:b/>
          <w:spacing w:val="-3"/>
          <w:sz w:val="24"/>
          <w:szCs w:val="24"/>
          <w:lang w:val="es-ES_tradnl"/>
        </w:rPr>
        <w:t xml:space="preserve"> </w:t>
      </w:r>
      <w:r w:rsidR="00884B24">
        <w:rPr>
          <w:rFonts w:cs="Arial"/>
          <w:b/>
          <w:sz w:val="24"/>
          <w:szCs w:val="24"/>
        </w:rPr>
        <w:t>**********</w:t>
      </w:r>
      <w:r w:rsidR="00022B15" w:rsidRPr="00010BEC">
        <w:rPr>
          <w:rFonts w:ascii="Arial" w:hAnsi="Arial" w:cs="Arial"/>
          <w:b/>
          <w:sz w:val="24"/>
          <w:szCs w:val="24"/>
        </w:rPr>
        <w:t>,</w:t>
      </w:r>
      <w:r w:rsidR="00022B15" w:rsidRPr="00010BEC">
        <w:rPr>
          <w:rFonts w:ascii="Arial" w:hAnsi="Arial" w:cs="Arial"/>
          <w:spacing w:val="-3"/>
          <w:sz w:val="24"/>
          <w:szCs w:val="24"/>
          <w:lang w:val="es-ES_tradnl"/>
        </w:rPr>
        <w:t xml:space="preserve"> </w:t>
      </w:r>
      <w:r w:rsidR="00571381" w:rsidRPr="00010BEC">
        <w:rPr>
          <w:rFonts w:ascii="Arial" w:hAnsi="Arial" w:cs="Arial"/>
          <w:spacing w:val="-3"/>
          <w:sz w:val="24"/>
          <w:szCs w:val="24"/>
          <w:lang w:val="es-ES_tradnl"/>
        </w:rPr>
        <w:t xml:space="preserve">por medio de su </w:t>
      </w:r>
      <w:r w:rsidR="00A87F63" w:rsidRPr="00010BEC">
        <w:rPr>
          <w:rFonts w:ascii="Arial" w:hAnsi="Arial" w:cs="Arial"/>
          <w:sz w:val="24"/>
          <w:szCs w:val="24"/>
          <w:lang w:val="es-MX"/>
        </w:rPr>
        <w:t>escrito recibido el</w:t>
      </w:r>
      <w:r w:rsidR="00CA6768">
        <w:rPr>
          <w:rFonts w:ascii="Arial" w:hAnsi="Arial" w:cs="Arial"/>
          <w:sz w:val="24"/>
          <w:szCs w:val="24"/>
          <w:lang w:val="es-MX"/>
        </w:rPr>
        <w:t xml:space="preserve"> </w:t>
      </w:r>
      <w:r w:rsidR="00884B24">
        <w:rPr>
          <w:rFonts w:cs="Arial"/>
          <w:b/>
          <w:sz w:val="24"/>
          <w:szCs w:val="24"/>
        </w:rPr>
        <w:t xml:space="preserve">********** </w:t>
      </w:r>
      <w:r w:rsidR="00A87F63" w:rsidRPr="00010BEC">
        <w:rPr>
          <w:rFonts w:ascii="Arial" w:hAnsi="Arial" w:cs="Arial"/>
          <w:sz w:val="24"/>
          <w:szCs w:val="24"/>
          <w:lang w:val="es-MX"/>
        </w:rPr>
        <w:t>e</w:t>
      </w:r>
      <w:r w:rsidR="00A87F63" w:rsidRPr="00010BEC">
        <w:rPr>
          <w:rFonts w:ascii="Arial" w:hAnsi="Arial" w:cs="Arial"/>
          <w:sz w:val="24"/>
          <w:szCs w:val="24"/>
        </w:rPr>
        <w:t>n la Oficialía de Partes Común</w:t>
      </w:r>
      <w:r w:rsidR="00571381" w:rsidRPr="00010BEC">
        <w:rPr>
          <w:rFonts w:ascii="Arial" w:hAnsi="Arial" w:cs="Arial"/>
          <w:sz w:val="24"/>
          <w:szCs w:val="24"/>
        </w:rPr>
        <w:t xml:space="preserve"> </w:t>
      </w:r>
      <w:r w:rsidR="00BB7FC6" w:rsidRPr="00010BEC">
        <w:rPr>
          <w:rFonts w:ascii="Arial" w:hAnsi="Arial" w:cs="Arial"/>
          <w:sz w:val="24"/>
          <w:szCs w:val="24"/>
        </w:rPr>
        <w:t>de</w:t>
      </w:r>
      <w:r w:rsidR="00B128B0">
        <w:rPr>
          <w:rFonts w:ascii="Arial" w:hAnsi="Arial" w:cs="Arial"/>
          <w:sz w:val="24"/>
          <w:szCs w:val="24"/>
        </w:rPr>
        <w:t xml:space="preserve">l entonces </w:t>
      </w:r>
      <w:r w:rsidR="00A87F63" w:rsidRPr="00DF16D7">
        <w:rPr>
          <w:rFonts w:ascii="Arial" w:hAnsi="Arial" w:cs="Arial"/>
          <w:sz w:val="24"/>
          <w:szCs w:val="24"/>
        </w:rPr>
        <w:t>Tribunal</w:t>
      </w:r>
      <w:r w:rsidR="00B128B0" w:rsidRPr="00DF16D7">
        <w:rPr>
          <w:rFonts w:ascii="Arial" w:hAnsi="Arial" w:cs="Arial"/>
          <w:sz w:val="24"/>
          <w:szCs w:val="24"/>
        </w:rPr>
        <w:t xml:space="preserve"> de lo Contencioso Administrativo y de Cuentas del Poder Judicial del Estado de Oaxaca</w:t>
      </w:r>
      <w:r w:rsidR="00A87F63" w:rsidRPr="00010BEC">
        <w:rPr>
          <w:rFonts w:ascii="Arial" w:hAnsi="Arial" w:cs="Arial"/>
          <w:sz w:val="24"/>
          <w:szCs w:val="24"/>
          <w:lang w:val="es-MX"/>
        </w:rPr>
        <w:t>,</w:t>
      </w:r>
      <w:r w:rsidR="00A87F63" w:rsidRPr="00010BEC">
        <w:rPr>
          <w:rFonts w:ascii="Arial" w:hAnsi="Arial" w:cs="Arial"/>
          <w:sz w:val="24"/>
          <w:szCs w:val="24"/>
        </w:rPr>
        <w:t xml:space="preserve"> </w:t>
      </w:r>
      <w:r w:rsidR="00A87F63" w:rsidRPr="00010BEC">
        <w:rPr>
          <w:rFonts w:ascii="Arial" w:hAnsi="Arial" w:cs="Arial"/>
          <w:bCs/>
          <w:sz w:val="24"/>
          <w:szCs w:val="24"/>
          <w:lang w:val="es-MX"/>
        </w:rPr>
        <w:t>por su propio derecho</w:t>
      </w:r>
      <w:r w:rsidR="00A87F63" w:rsidRPr="00010BEC">
        <w:rPr>
          <w:rFonts w:ascii="Arial" w:hAnsi="Arial" w:cs="Arial"/>
          <w:sz w:val="24"/>
          <w:szCs w:val="24"/>
        </w:rPr>
        <w:t xml:space="preserve"> demandó la nulidad de</w:t>
      </w:r>
      <w:r w:rsidR="00894FDF" w:rsidRPr="00010BEC">
        <w:rPr>
          <w:rFonts w:ascii="Arial" w:hAnsi="Arial" w:cs="Arial"/>
          <w:sz w:val="24"/>
          <w:szCs w:val="24"/>
        </w:rPr>
        <w:t xml:space="preserve"> </w:t>
      </w:r>
      <w:r w:rsidR="00F968FE" w:rsidRPr="00010BEC">
        <w:rPr>
          <w:rFonts w:ascii="Arial" w:hAnsi="Arial" w:cs="Arial"/>
          <w:sz w:val="24"/>
          <w:szCs w:val="24"/>
        </w:rPr>
        <w:t>l</w:t>
      </w:r>
      <w:r w:rsidR="00894FDF" w:rsidRPr="00010BEC">
        <w:rPr>
          <w:rFonts w:ascii="Arial" w:hAnsi="Arial" w:cs="Arial"/>
          <w:sz w:val="24"/>
          <w:szCs w:val="24"/>
        </w:rPr>
        <w:t>a resolución</w:t>
      </w:r>
      <w:r w:rsidR="0040287A" w:rsidRPr="00010BEC">
        <w:rPr>
          <w:rFonts w:ascii="Arial" w:hAnsi="Arial" w:cs="Arial"/>
          <w:sz w:val="24"/>
          <w:szCs w:val="24"/>
        </w:rPr>
        <w:t xml:space="preserve"> emitida</w:t>
      </w:r>
      <w:r w:rsidR="005C01D3" w:rsidRPr="00010BEC">
        <w:rPr>
          <w:rFonts w:ascii="Arial" w:hAnsi="Arial" w:cs="Arial"/>
          <w:sz w:val="24"/>
          <w:szCs w:val="24"/>
        </w:rPr>
        <w:t xml:space="preserve"> con número de control </w:t>
      </w:r>
      <w:r w:rsidR="00884B24">
        <w:rPr>
          <w:rFonts w:cs="Arial"/>
          <w:b/>
          <w:sz w:val="24"/>
          <w:szCs w:val="24"/>
        </w:rPr>
        <w:t>**********</w:t>
      </w:r>
      <w:r w:rsidR="004A0903" w:rsidRPr="00010BEC">
        <w:rPr>
          <w:rFonts w:ascii="Arial" w:hAnsi="Arial" w:cs="Arial"/>
          <w:sz w:val="24"/>
          <w:szCs w:val="24"/>
        </w:rPr>
        <w:t xml:space="preserve"> de fecha</w:t>
      </w:r>
      <w:r w:rsidR="004A0903" w:rsidRPr="00010BEC">
        <w:rPr>
          <w:rFonts w:cs="Arial"/>
          <w:sz w:val="24"/>
          <w:szCs w:val="24"/>
        </w:rPr>
        <w:t xml:space="preserve"> </w:t>
      </w:r>
      <w:r w:rsidR="00884B24">
        <w:rPr>
          <w:rFonts w:cs="Arial"/>
          <w:b/>
          <w:sz w:val="24"/>
          <w:szCs w:val="24"/>
        </w:rPr>
        <w:t xml:space="preserve">********** </w:t>
      </w:r>
      <w:r w:rsidR="004A0903" w:rsidRPr="00010BEC">
        <w:rPr>
          <w:rFonts w:ascii="Arial" w:hAnsi="Arial" w:cs="Arial"/>
          <w:sz w:val="24"/>
          <w:szCs w:val="24"/>
        </w:rPr>
        <w:t xml:space="preserve">signada por la </w:t>
      </w:r>
      <w:r w:rsidR="004A0903" w:rsidRPr="00010BEC">
        <w:rPr>
          <w:rFonts w:ascii="Arial" w:hAnsi="Arial" w:cs="Arial"/>
          <w:b/>
          <w:sz w:val="24"/>
          <w:szCs w:val="24"/>
        </w:rPr>
        <w:t xml:space="preserve">DIRECTORA </w:t>
      </w:r>
      <w:r w:rsidR="00B128B0">
        <w:rPr>
          <w:rFonts w:ascii="Arial" w:hAnsi="Arial" w:cs="Arial"/>
          <w:b/>
          <w:sz w:val="24"/>
          <w:szCs w:val="24"/>
        </w:rPr>
        <w:t xml:space="preserve">DE INGRESOS Y RECAUDACIÓN </w:t>
      </w:r>
      <w:r w:rsidR="004A0903" w:rsidRPr="00010BEC">
        <w:rPr>
          <w:rFonts w:ascii="Arial" w:hAnsi="Arial" w:cs="Arial"/>
          <w:b/>
          <w:sz w:val="24"/>
          <w:szCs w:val="24"/>
        </w:rPr>
        <w:t xml:space="preserve">DE LA </w:t>
      </w:r>
      <w:r w:rsidR="004A0903" w:rsidRPr="00010BEC">
        <w:rPr>
          <w:rFonts w:ascii="Arial" w:hAnsi="Arial" w:cs="Arial"/>
          <w:b/>
          <w:sz w:val="24"/>
          <w:szCs w:val="24"/>
        </w:rPr>
        <w:lastRenderedPageBreak/>
        <w:t xml:space="preserve">SECRETARÍA DE FINANZAS </w:t>
      </w:r>
      <w:r w:rsidR="00DF16D7" w:rsidRPr="00DF16D7">
        <w:rPr>
          <w:rFonts w:ascii="Arial" w:hAnsi="Arial" w:cs="Arial"/>
          <w:b/>
          <w:sz w:val="24"/>
          <w:szCs w:val="24"/>
        </w:rPr>
        <w:t xml:space="preserve">DEL PODER EJECUTIVO DEL ESTADO DE OAXACA. - - - - </w:t>
      </w:r>
      <w:r w:rsidR="00DF16D7">
        <w:rPr>
          <w:rFonts w:ascii="Arial" w:hAnsi="Arial" w:cs="Arial"/>
          <w:b/>
          <w:sz w:val="24"/>
          <w:szCs w:val="24"/>
        </w:rPr>
        <w:t xml:space="preserve">- - - - - - </w:t>
      </w:r>
      <w:r w:rsidR="00884B24">
        <w:rPr>
          <w:rFonts w:ascii="Arial" w:hAnsi="Arial" w:cs="Arial"/>
          <w:b/>
          <w:sz w:val="24"/>
          <w:szCs w:val="24"/>
        </w:rPr>
        <w:t xml:space="preserve">- - - - - - - - - - - - - - - - - - - - - - - - - </w:t>
      </w:r>
    </w:p>
    <w:p w:rsidR="004A0903" w:rsidRPr="00DF16D7" w:rsidRDefault="004A0903" w:rsidP="00DF0277">
      <w:pPr>
        <w:spacing w:line="360" w:lineRule="auto"/>
        <w:jc w:val="both"/>
        <w:rPr>
          <w:rFonts w:ascii="Arial" w:hAnsi="Arial" w:cs="Arial"/>
          <w:b/>
          <w:sz w:val="24"/>
          <w:szCs w:val="24"/>
        </w:rPr>
      </w:pPr>
    </w:p>
    <w:p w:rsidR="003216A8" w:rsidRPr="00010BEC" w:rsidRDefault="00DF0277" w:rsidP="00DF0277">
      <w:pPr>
        <w:spacing w:line="360" w:lineRule="auto"/>
        <w:jc w:val="both"/>
        <w:rPr>
          <w:rFonts w:ascii="Arial" w:hAnsi="Arial" w:cs="Arial"/>
          <w:sz w:val="24"/>
          <w:szCs w:val="24"/>
        </w:rPr>
      </w:pPr>
      <w:r w:rsidRPr="0048694B">
        <w:rPr>
          <w:rFonts w:ascii="Arial" w:hAnsi="Arial" w:cs="Arial"/>
          <w:sz w:val="24"/>
          <w:szCs w:val="24"/>
        </w:rPr>
        <w:t xml:space="preserve">          </w:t>
      </w:r>
      <w:r w:rsidRPr="00010BEC">
        <w:rPr>
          <w:rFonts w:ascii="Arial" w:hAnsi="Arial" w:cs="Arial"/>
          <w:b/>
          <w:sz w:val="24"/>
          <w:szCs w:val="24"/>
        </w:rPr>
        <w:t xml:space="preserve">SEGUNDO.- </w:t>
      </w:r>
      <w:r w:rsidRPr="00010BEC">
        <w:rPr>
          <w:rFonts w:ascii="Arial" w:hAnsi="Arial" w:cs="Arial"/>
          <w:bCs/>
          <w:sz w:val="24"/>
          <w:szCs w:val="24"/>
        </w:rPr>
        <w:t>Por auto de fecha</w:t>
      </w:r>
      <w:r w:rsidR="00487361" w:rsidRPr="00010BEC">
        <w:rPr>
          <w:rFonts w:ascii="Arial" w:hAnsi="Arial" w:cs="Arial"/>
          <w:bCs/>
          <w:sz w:val="24"/>
          <w:szCs w:val="24"/>
        </w:rPr>
        <w:t xml:space="preserve"> </w:t>
      </w:r>
      <w:r w:rsidR="00884B24">
        <w:rPr>
          <w:rFonts w:cs="Arial"/>
          <w:b/>
          <w:sz w:val="24"/>
          <w:szCs w:val="24"/>
        </w:rPr>
        <w:t xml:space="preserve">********** </w:t>
      </w:r>
      <w:r w:rsidR="003216A8" w:rsidRPr="00010BEC">
        <w:rPr>
          <w:rFonts w:ascii="Arial" w:hAnsi="Arial" w:cs="Arial"/>
          <w:sz w:val="24"/>
          <w:szCs w:val="24"/>
        </w:rPr>
        <w:t>se admitió a trámite la demanda interpuesta, ordenándose notificar, correr traslado, emplazar y apercibir a la</w:t>
      </w:r>
      <w:r w:rsidR="00CA6768">
        <w:rPr>
          <w:rFonts w:ascii="Arial" w:hAnsi="Arial" w:cs="Arial"/>
          <w:sz w:val="24"/>
          <w:szCs w:val="24"/>
        </w:rPr>
        <w:t>s</w:t>
      </w:r>
      <w:r w:rsidR="003216A8" w:rsidRPr="00010BEC">
        <w:rPr>
          <w:rFonts w:ascii="Arial" w:hAnsi="Arial" w:cs="Arial"/>
          <w:sz w:val="24"/>
          <w:szCs w:val="24"/>
        </w:rPr>
        <w:t xml:space="preserve"> autoridad</w:t>
      </w:r>
      <w:r w:rsidR="00CA6768">
        <w:rPr>
          <w:rFonts w:ascii="Arial" w:hAnsi="Arial" w:cs="Arial"/>
          <w:sz w:val="24"/>
          <w:szCs w:val="24"/>
        </w:rPr>
        <w:t>es</w:t>
      </w:r>
      <w:r w:rsidR="003216A8" w:rsidRPr="00010BEC">
        <w:rPr>
          <w:rFonts w:ascii="Arial" w:hAnsi="Arial" w:cs="Arial"/>
          <w:sz w:val="24"/>
          <w:szCs w:val="24"/>
        </w:rPr>
        <w:t xml:space="preserve"> demandada</w:t>
      </w:r>
      <w:r w:rsidR="00CA6768">
        <w:rPr>
          <w:rFonts w:ascii="Arial" w:hAnsi="Arial" w:cs="Arial"/>
          <w:sz w:val="24"/>
          <w:szCs w:val="24"/>
        </w:rPr>
        <w:t>s</w:t>
      </w:r>
      <w:r w:rsidR="003541F9" w:rsidRPr="00010BEC">
        <w:rPr>
          <w:rFonts w:ascii="Arial" w:hAnsi="Arial" w:cs="Arial"/>
          <w:sz w:val="24"/>
          <w:szCs w:val="24"/>
        </w:rPr>
        <w:t xml:space="preserve"> </w:t>
      </w:r>
      <w:r w:rsidR="004A0903" w:rsidRPr="00010BEC">
        <w:rPr>
          <w:rFonts w:ascii="Arial" w:hAnsi="Arial" w:cs="Arial"/>
          <w:b/>
          <w:sz w:val="24"/>
          <w:szCs w:val="24"/>
        </w:rPr>
        <w:t xml:space="preserve">DIRECTORA DE INGRESOS Y RECAUDACIÓN DE LA SECRETARÍA DE FINANZAS </w:t>
      </w:r>
      <w:r w:rsidR="004A0903" w:rsidRPr="00010BEC">
        <w:rPr>
          <w:rFonts w:ascii="Arial" w:hAnsi="Arial" w:cs="Arial"/>
          <w:sz w:val="24"/>
          <w:szCs w:val="24"/>
        </w:rPr>
        <w:t>del Poder Ejecutivo del Estado de Oaxaca</w:t>
      </w:r>
      <w:r w:rsidR="00B128B0">
        <w:rPr>
          <w:rFonts w:ascii="Arial" w:hAnsi="Arial" w:cs="Arial"/>
          <w:sz w:val="24"/>
          <w:szCs w:val="24"/>
        </w:rPr>
        <w:t xml:space="preserve"> y Secretario de la misma dependencia</w:t>
      </w:r>
      <w:r w:rsidR="00CA0FF6" w:rsidRPr="00010BEC">
        <w:rPr>
          <w:rFonts w:ascii="Arial" w:hAnsi="Arial" w:cs="Arial"/>
          <w:sz w:val="24"/>
          <w:szCs w:val="24"/>
        </w:rPr>
        <w:t>,</w:t>
      </w:r>
      <w:r w:rsidR="004A0903" w:rsidRPr="00010BEC">
        <w:rPr>
          <w:rFonts w:ascii="Arial" w:hAnsi="Arial" w:cs="Arial"/>
          <w:sz w:val="24"/>
          <w:szCs w:val="24"/>
        </w:rPr>
        <w:t xml:space="preserve"> </w:t>
      </w:r>
      <w:r w:rsidR="003216A8" w:rsidRPr="00010BEC">
        <w:rPr>
          <w:rFonts w:ascii="Arial" w:hAnsi="Arial" w:cs="Arial"/>
          <w:sz w:val="24"/>
          <w:szCs w:val="24"/>
        </w:rPr>
        <w:t xml:space="preserve">para </w:t>
      </w:r>
      <w:r w:rsidR="004A0903" w:rsidRPr="00010BEC">
        <w:rPr>
          <w:rFonts w:ascii="Arial" w:hAnsi="Arial" w:cs="Arial"/>
          <w:sz w:val="24"/>
          <w:szCs w:val="24"/>
        </w:rPr>
        <w:t>que produjera</w:t>
      </w:r>
      <w:r w:rsidR="003216A8" w:rsidRPr="00010BEC">
        <w:rPr>
          <w:rFonts w:ascii="Arial" w:hAnsi="Arial" w:cs="Arial"/>
          <w:sz w:val="24"/>
          <w:szCs w:val="24"/>
        </w:rPr>
        <w:t xml:space="preserve"> su contestación en los términos de ley. - - </w:t>
      </w:r>
      <w:r w:rsidR="003B6903" w:rsidRPr="00010BEC">
        <w:rPr>
          <w:rFonts w:ascii="Arial" w:hAnsi="Arial" w:cs="Arial"/>
          <w:sz w:val="24"/>
          <w:szCs w:val="24"/>
        </w:rPr>
        <w:t xml:space="preserve">- - - - </w:t>
      </w:r>
      <w:r w:rsidR="00E61D06">
        <w:rPr>
          <w:rFonts w:ascii="Arial" w:hAnsi="Arial" w:cs="Arial"/>
          <w:sz w:val="24"/>
          <w:szCs w:val="24"/>
        </w:rPr>
        <w:t xml:space="preserve">- </w:t>
      </w:r>
      <w:r w:rsidR="00884B24">
        <w:rPr>
          <w:rFonts w:ascii="Arial" w:hAnsi="Arial" w:cs="Arial"/>
          <w:sz w:val="24"/>
          <w:szCs w:val="24"/>
        </w:rPr>
        <w:t xml:space="preserve">- - - </w:t>
      </w:r>
    </w:p>
    <w:p w:rsidR="00C4765D" w:rsidRPr="00010BEC" w:rsidRDefault="00C4765D" w:rsidP="00DF0277">
      <w:pPr>
        <w:spacing w:line="360" w:lineRule="auto"/>
        <w:jc w:val="both"/>
        <w:rPr>
          <w:rFonts w:ascii="Arial" w:hAnsi="Arial" w:cs="Arial"/>
          <w:sz w:val="24"/>
          <w:szCs w:val="24"/>
        </w:rPr>
      </w:pPr>
    </w:p>
    <w:p w:rsidR="001F0DF7" w:rsidRPr="001F0DF7" w:rsidRDefault="00DF0277" w:rsidP="00DF0277">
      <w:pPr>
        <w:spacing w:line="360" w:lineRule="auto"/>
        <w:jc w:val="both"/>
        <w:rPr>
          <w:rFonts w:ascii="Arial" w:hAnsi="Arial" w:cs="Arial"/>
          <w:sz w:val="24"/>
          <w:szCs w:val="24"/>
        </w:rPr>
      </w:pPr>
      <w:r w:rsidRPr="00010BEC">
        <w:rPr>
          <w:rFonts w:ascii="Arial" w:hAnsi="Arial" w:cs="Arial"/>
          <w:sz w:val="24"/>
          <w:szCs w:val="24"/>
        </w:rPr>
        <w:t xml:space="preserve">        </w:t>
      </w:r>
      <w:r w:rsidRPr="00010BEC">
        <w:rPr>
          <w:rFonts w:ascii="Arial" w:hAnsi="Arial" w:cs="Arial"/>
          <w:b/>
          <w:sz w:val="24"/>
          <w:szCs w:val="24"/>
        </w:rPr>
        <w:t>TERCERO.-</w:t>
      </w:r>
      <w:r w:rsidR="001F0DF7">
        <w:rPr>
          <w:rFonts w:ascii="Arial" w:hAnsi="Arial" w:cs="Arial"/>
          <w:b/>
          <w:sz w:val="24"/>
          <w:szCs w:val="24"/>
        </w:rPr>
        <w:t xml:space="preserve"> </w:t>
      </w:r>
      <w:r w:rsidR="001F0DF7">
        <w:rPr>
          <w:rFonts w:ascii="Arial" w:hAnsi="Arial" w:cs="Arial"/>
          <w:sz w:val="24"/>
          <w:szCs w:val="24"/>
        </w:rPr>
        <w:t xml:space="preserve">Mediante auto de fecha </w:t>
      </w:r>
      <w:r w:rsidR="00884B24">
        <w:rPr>
          <w:rFonts w:cs="Arial"/>
          <w:b/>
          <w:sz w:val="24"/>
          <w:szCs w:val="24"/>
        </w:rPr>
        <w:t xml:space="preserve">********** </w:t>
      </w:r>
      <w:r w:rsidR="001F0DF7">
        <w:rPr>
          <w:rFonts w:ascii="Arial" w:hAnsi="Arial" w:cs="Arial"/>
          <w:sz w:val="24"/>
          <w:szCs w:val="24"/>
        </w:rPr>
        <w:t>se tuvo a la autoridad demandada contestando la demanda en sent</w:t>
      </w:r>
      <w:r w:rsidR="00E71EAF">
        <w:rPr>
          <w:rFonts w:ascii="Arial" w:hAnsi="Arial" w:cs="Arial"/>
          <w:sz w:val="24"/>
          <w:szCs w:val="24"/>
        </w:rPr>
        <w:t xml:space="preserve">ido afirmativo, en virtud de </w:t>
      </w:r>
      <w:r w:rsidR="001F0DF7">
        <w:rPr>
          <w:rFonts w:ascii="Arial" w:hAnsi="Arial" w:cs="Arial"/>
          <w:sz w:val="24"/>
          <w:szCs w:val="24"/>
        </w:rPr>
        <w:t xml:space="preserve"> quien se ostentó como Directora de lo Contencioso de la Secretaría de Finanzas del Poder Ejecutivo de Estado de Oaxaca</w:t>
      </w:r>
      <w:r w:rsidR="00CC4426">
        <w:rPr>
          <w:rFonts w:ascii="Arial" w:hAnsi="Arial" w:cs="Arial"/>
          <w:sz w:val="24"/>
          <w:szCs w:val="24"/>
        </w:rPr>
        <w:t xml:space="preserve"> y representando a la Secretaría en mención y sus áreas administrativas, no acreditó su personalidad con que compareci</w:t>
      </w:r>
      <w:r w:rsidR="00E71EAF">
        <w:rPr>
          <w:rFonts w:ascii="Arial" w:hAnsi="Arial" w:cs="Arial"/>
          <w:sz w:val="24"/>
          <w:szCs w:val="24"/>
        </w:rPr>
        <w:t>ó en</w:t>
      </w:r>
      <w:r w:rsidR="00CC4426">
        <w:rPr>
          <w:rFonts w:ascii="Arial" w:hAnsi="Arial" w:cs="Arial"/>
          <w:sz w:val="24"/>
          <w:szCs w:val="24"/>
        </w:rPr>
        <w:t xml:space="preserve"> el presente juicio, haciéndosele efectivo el apercibimiento  que se le hizo en términos de ley </w:t>
      </w:r>
    </w:p>
    <w:p w:rsidR="001F0DF7" w:rsidRDefault="001F0DF7" w:rsidP="00DF0277">
      <w:pPr>
        <w:spacing w:line="360" w:lineRule="auto"/>
        <w:jc w:val="both"/>
        <w:rPr>
          <w:rFonts w:ascii="Arial" w:hAnsi="Arial" w:cs="Arial"/>
          <w:b/>
          <w:sz w:val="24"/>
          <w:szCs w:val="24"/>
        </w:rPr>
      </w:pPr>
    </w:p>
    <w:p w:rsidR="001F0DF7" w:rsidRDefault="00CC4426" w:rsidP="00CC4426">
      <w:pPr>
        <w:spacing w:line="360" w:lineRule="auto"/>
        <w:ind w:firstLine="708"/>
        <w:jc w:val="both"/>
        <w:rPr>
          <w:rFonts w:ascii="Arial" w:hAnsi="Arial" w:cs="Arial"/>
          <w:sz w:val="24"/>
          <w:szCs w:val="24"/>
        </w:rPr>
      </w:pPr>
      <w:r>
        <w:rPr>
          <w:rFonts w:ascii="Arial" w:hAnsi="Arial" w:cs="Arial"/>
          <w:b/>
          <w:sz w:val="24"/>
          <w:szCs w:val="24"/>
        </w:rPr>
        <w:t xml:space="preserve">CUARTO .- </w:t>
      </w:r>
      <w:r w:rsidR="00E71EAF" w:rsidRPr="00E71EAF">
        <w:rPr>
          <w:rFonts w:ascii="Arial" w:hAnsi="Arial" w:cs="Arial"/>
          <w:sz w:val="24"/>
          <w:szCs w:val="24"/>
        </w:rPr>
        <w:t xml:space="preserve"> Mediante acuerdo de fecha </w:t>
      </w:r>
      <w:r w:rsidR="00884B24">
        <w:rPr>
          <w:rFonts w:cs="Arial"/>
          <w:b/>
          <w:sz w:val="24"/>
          <w:szCs w:val="24"/>
        </w:rPr>
        <w:t>**********</w:t>
      </w:r>
      <w:r w:rsidR="00E71EAF" w:rsidRPr="00E71EAF">
        <w:rPr>
          <w:rFonts w:ascii="Arial" w:hAnsi="Arial" w:cs="Arial"/>
          <w:sz w:val="24"/>
          <w:szCs w:val="24"/>
        </w:rPr>
        <w:t xml:space="preserve"> se </w:t>
      </w:r>
      <w:r w:rsidR="00E71EAF">
        <w:rPr>
          <w:rFonts w:ascii="Arial" w:hAnsi="Arial" w:cs="Arial"/>
          <w:sz w:val="24"/>
          <w:szCs w:val="24"/>
        </w:rPr>
        <w:t xml:space="preserve">le tuvo a la autoridad demandada interponiendo el recurso de revisión en contra del acuerdo  de fecha </w:t>
      </w:r>
      <w:r w:rsidR="00884B24">
        <w:rPr>
          <w:rFonts w:cs="Arial"/>
          <w:b/>
          <w:sz w:val="24"/>
          <w:szCs w:val="24"/>
        </w:rPr>
        <w:t>**********</w:t>
      </w:r>
      <w:r w:rsidR="00E71EAF">
        <w:rPr>
          <w:rFonts w:ascii="Arial" w:hAnsi="Arial" w:cs="Arial"/>
          <w:sz w:val="24"/>
          <w:szCs w:val="24"/>
        </w:rPr>
        <w:t xml:space="preserve">en consecuencia se ordenó suspender la audiencia final  señalada para el </w:t>
      </w:r>
      <w:r w:rsidR="00884B24">
        <w:rPr>
          <w:rFonts w:cs="Arial"/>
          <w:b/>
          <w:sz w:val="24"/>
          <w:szCs w:val="24"/>
        </w:rPr>
        <w:t>**********</w:t>
      </w:r>
      <w:r w:rsidR="00E71EAF">
        <w:rPr>
          <w:rFonts w:ascii="Arial" w:hAnsi="Arial" w:cs="Arial"/>
          <w:sz w:val="24"/>
          <w:szCs w:val="24"/>
        </w:rPr>
        <w:t xml:space="preserve">.- - - - - - - - - - - - - - - - - - </w:t>
      </w:r>
    </w:p>
    <w:p w:rsidR="00E71EAF" w:rsidRDefault="00E71EAF" w:rsidP="00CC4426">
      <w:pPr>
        <w:spacing w:line="360" w:lineRule="auto"/>
        <w:ind w:firstLine="708"/>
        <w:jc w:val="both"/>
        <w:rPr>
          <w:rFonts w:ascii="Arial" w:hAnsi="Arial" w:cs="Arial"/>
          <w:sz w:val="24"/>
          <w:szCs w:val="24"/>
        </w:rPr>
      </w:pPr>
    </w:p>
    <w:p w:rsidR="004549DB" w:rsidRDefault="00E71EAF" w:rsidP="00CC4426">
      <w:pPr>
        <w:spacing w:line="360" w:lineRule="auto"/>
        <w:ind w:firstLine="708"/>
        <w:jc w:val="both"/>
        <w:rPr>
          <w:rFonts w:ascii="Arial" w:hAnsi="Arial" w:cs="Arial"/>
          <w:sz w:val="24"/>
          <w:szCs w:val="24"/>
        </w:rPr>
      </w:pPr>
      <w:r w:rsidRPr="004549DB">
        <w:rPr>
          <w:rFonts w:ascii="Arial" w:hAnsi="Arial" w:cs="Arial"/>
          <w:b/>
          <w:sz w:val="24"/>
          <w:szCs w:val="24"/>
        </w:rPr>
        <w:t>QUINTO.-</w:t>
      </w:r>
      <w:r w:rsidR="004549DB" w:rsidRPr="004549DB">
        <w:rPr>
          <w:rFonts w:ascii="Arial" w:hAnsi="Arial" w:cs="Arial"/>
          <w:b/>
          <w:sz w:val="24"/>
          <w:szCs w:val="24"/>
        </w:rPr>
        <w:t xml:space="preserve"> </w:t>
      </w:r>
      <w:r w:rsidR="004549DB">
        <w:rPr>
          <w:rFonts w:ascii="Arial" w:hAnsi="Arial" w:cs="Arial"/>
          <w:sz w:val="24"/>
          <w:szCs w:val="24"/>
        </w:rPr>
        <w:t xml:space="preserve">Mediante auto de fecha </w:t>
      </w:r>
      <w:r w:rsidR="00884B24">
        <w:rPr>
          <w:rFonts w:cs="Arial"/>
          <w:b/>
          <w:sz w:val="24"/>
          <w:szCs w:val="24"/>
        </w:rPr>
        <w:t>**********</w:t>
      </w:r>
      <w:r w:rsidR="004549DB">
        <w:rPr>
          <w:rFonts w:ascii="Arial" w:hAnsi="Arial" w:cs="Arial"/>
          <w:sz w:val="24"/>
          <w:szCs w:val="24"/>
        </w:rPr>
        <w:t xml:space="preserve"> se declaró que causó ejecutoria la resolución emitida por la Sala Superior de este Tribunal de Justicia Administrativa del Estado de Oaxaca d</w:t>
      </w:r>
      <w:r w:rsidR="004549DB" w:rsidRPr="00C57DBC">
        <w:rPr>
          <w:rFonts w:ascii="Arial" w:hAnsi="Arial" w:cs="Arial"/>
          <w:sz w:val="24"/>
          <w:szCs w:val="24"/>
        </w:rPr>
        <w:t>el recurso de revisión</w:t>
      </w:r>
      <w:r w:rsidR="004549DB">
        <w:rPr>
          <w:rFonts w:ascii="Arial" w:hAnsi="Arial" w:cs="Arial"/>
          <w:sz w:val="24"/>
          <w:szCs w:val="24"/>
        </w:rPr>
        <w:t xml:space="preserve"> interpuesto por la autoridad demandada, en virtud  de no haber hecho valer el juicio de amparo en el término</w:t>
      </w:r>
      <w:r w:rsidR="00C57DBC">
        <w:rPr>
          <w:rFonts w:ascii="Arial" w:hAnsi="Arial" w:cs="Arial"/>
          <w:sz w:val="24"/>
          <w:szCs w:val="24"/>
        </w:rPr>
        <w:t xml:space="preserve"> legal establecido, señalándose fecha y hora para la celebración de la Audiencia Final</w:t>
      </w:r>
      <w:r w:rsidR="004549DB">
        <w:rPr>
          <w:rFonts w:ascii="Arial" w:hAnsi="Arial" w:cs="Arial"/>
          <w:sz w:val="24"/>
          <w:szCs w:val="24"/>
        </w:rPr>
        <w:t xml:space="preserve"> Así mismo se hi</w:t>
      </w:r>
      <w:r w:rsidR="00A44E17">
        <w:rPr>
          <w:rFonts w:ascii="Arial" w:hAnsi="Arial" w:cs="Arial"/>
          <w:sz w:val="24"/>
          <w:szCs w:val="24"/>
        </w:rPr>
        <w:t>zo del conocimiento de las partes</w:t>
      </w:r>
      <w:r w:rsidR="004549DB">
        <w:rPr>
          <w:rFonts w:ascii="Arial" w:hAnsi="Arial" w:cs="Arial"/>
          <w:sz w:val="24"/>
          <w:szCs w:val="24"/>
        </w:rPr>
        <w:t xml:space="preserve"> de la suspensión de plazos y términos </w:t>
      </w:r>
      <w:r w:rsidR="00A44E17">
        <w:rPr>
          <w:rFonts w:ascii="Arial" w:hAnsi="Arial" w:cs="Arial"/>
          <w:sz w:val="24"/>
          <w:szCs w:val="24"/>
        </w:rPr>
        <w:t xml:space="preserve"> jurisdiccionales  con motivo del cierre de actividades del entonces Tribunal de lo contencioso Administrativo  y de cuentas  del Poder Judicial del Estado de Oaxaca, así también en el mismo acuerdo se hizo del conocimiento de las partes  el levantamiento de la suspensión de </w:t>
      </w:r>
      <w:r w:rsidR="00C57DBC">
        <w:rPr>
          <w:rFonts w:ascii="Arial" w:hAnsi="Arial" w:cs="Arial"/>
          <w:sz w:val="24"/>
          <w:szCs w:val="24"/>
        </w:rPr>
        <w:t>plazos</w:t>
      </w:r>
      <w:r w:rsidR="00A44E17">
        <w:rPr>
          <w:rFonts w:ascii="Arial" w:hAnsi="Arial" w:cs="Arial"/>
          <w:sz w:val="24"/>
          <w:szCs w:val="24"/>
        </w:rPr>
        <w:t xml:space="preserve">  y términos </w:t>
      </w:r>
      <w:r w:rsidR="00C57DBC">
        <w:rPr>
          <w:rFonts w:ascii="Arial" w:hAnsi="Arial" w:cs="Arial"/>
          <w:sz w:val="24"/>
          <w:szCs w:val="24"/>
        </w:rPr>
        <w:t>decretados por el ahora Tribunal de Justicia Administrativa del Estado de O</w:t>
      </w:r>
      <w:r w:rsidR="00A44E17">
        <w:rPr>
          <w:rFonts w:ascii="Arial" w:hAnsi="Arial" w:cs="Arial"/>
          <w:sz w:val="24"/>
          <w:szCs w:val="24"/>
        </w:rPr>
        <w:t>axaca</w:t>
      </w:r>
      <w:r w:rsidR="00C57DBC">
        <w:rPr>
          <w:rFonts w:ascii="Arial" w:hAnsi="Arial" w:cs="Arial"/>
          <w:sz w:val="24"/>
          <w:szCs w:val="24"/>
        </w:rPr>
        <w:t xml:space="preserve">., ratificándose la adscripción del juzgador de esta Sala, autorizando conservar las claves </w:t>
      </w:r>
      <w:r w:rsidR="00C57DBC">
        <w:rPr>
          <w:rFonts w:ascii="Arial" w:hAnsi="Arial" w:cs="Arial"/>
          <w:sz w:val="24"/>
          <w:szCs w:val="24"/>
        </w:rPr>
        <w:lastRenderedPageBreak/>
        <w:t>de los asuntos que se venían manejando en el órgano jurisdiccional extinto. - - - - - - - - - - - - - - - - - - - - - - - - - - -</w:t>
      </w:r>
      <w:r w:rsidR="00884B24">
        <w:rPr>
          <w:rFonts w:ascii="Arial" w:hAnsi="Arial" w:cs="Arial"/>
          <w:sz w:val="24"/>
          <w:szCs w:val="24"/>
        </w:rPr>
        <w:t xml:space="preserve"> - - - - - - - - - - - - - - - - - - - - </w:t>
      </w:r>
    </w:p>
    <w:p w:rsidR="00A07112" w:rsidRPr="00010BEC" w:rsidRDefault="00A07112" w:rsidP="00DF0277">
      <w:pPr>
        <w:spacing w:line="360" w:lineRule="auto"/>
        <w:jc w:val="both"/>
        <w:rPr>
          <w:rFonts w:ascii="Arial" w:hAnsi="Arial" w:cs="Arial"/>
          <w:sz w:val="24"/>
          <w:szCs w:val="24"/>
        </w:rPr>
      </w:pPr>
    </w:p>
    <w:p w:rsidR="00DF0277" w:rsidRPr="00010BEC" w:rsidRDefault="00492E25" w:rsidP="00E128B0">
      <w:pPr>
        <w:pStyle w:val="corte4fondo"/>
        <w:ind w:right="51" w:firstLine="567"/>
        <w:rPr>
          <w:rFonts w:cs="Arial"/>
          <w:sz w:val="24"/>
          <w:szCs w:val="24"/>
        </w:rPr>
      </w:pPr>
      <w:r w:rsidRPr="00010BEC">
        <w:rPr>
          <w:rFonts w:cs="Arial"/>
          <w:b/>
          <w:bCs/>
          <w:sz w:val="24"/>
          <w:szCs w:val="24"/>
        </w:rPr>
        <w:t xml:space="preserve">  </w:t>
      </w:r>
      <w:r w:rsidR="00C57DBC">
        <w:rPr>
          <w:rFonts w:cs="Arial"/>
          <w:b/>
          <w:bCs/>
          <w:sz w:val="24"/>
          <w:szCs w:val="24"/>
        </w:rPr>
        <w:t>SEX</w:t>
      </w:r>
      <w:r w:rsidR="002858DC" w:rsidRPr="00010BEC">
        <w:rPr>
          <w:rFonts w:cs="Arial"/>
          <w:b/>
          <w:bCs/>
          <w:sz w:val="24"/>
          <w:szCs w:val="24"/>
        </w:rPr>
        <w:t>TO</w:t>
      </w:r>
      <w:r w:rsidR="00281184" w:rsidRPr="00010BEC">
        <w:rPr>
          <w:rFonts w:cs="Arial"/>
          <w:bCs/>
          <w:sz w:val="24"/>
          <w:szCs w:val="24"/>
        </w:rPr>
        <w:t>.-</w:t>
      </w:r>
      <w:r w:rsidR="00DF0277" w:rsidRPr="00010BEC">
        <w:rPr>
          <w:rFonts w:cs="Arial"/>
          <w:bCs/>
          <w:sz w:val="24"/>
          <w:szCs w:val="24"/>
        </w:rPr>
        <w:t xml:space="preserve"> </w:t>
      </w:r>
      <w:r w:rsidR="00A6777B" w:rsidRPr="00010BEC">
        <w:rPr>
          <w:rFonts w:cs="Arial"/>
          <w:sz w:val="24"/>
          <w:szCs w:val="24"/>
        </w:rPr>
        <w:t xml:space="preserve">Siendo las </w:t>
      </w:r>
      <w:r w:rsidR="00884B24">
        <w:rPr>
          <w:rFonts w:cs="Arial"/>
          <w:b/>
          <w:sz w:val="24"/>
          <w:szCs w:val="24"/>
        </w:rPr>
        <w:t xml:space="preserve">********** </w:t>
      </w:r>
      <w:r w:rsidR="00DF0277" w:rsidRPr="00010BEC">
        <w:rPr>
          <w:rFonts w:cs="Arial"/>
          <w:sz w:val="24"/>
          <w:szCs w:val="24"/>
        </w:rPr>
        <w:t xml:space="preserve">se llevó a cabo la Audiencia </w:t>
      </w:r>
      <w:r w:rsidR="00FB43AE">
        <w:rPr>
          <w:rFonts w:cs="Arial"/>
          <w:sz w:val="24"/>
          <w:szCs w:val="24"/>
        </w:rPr>
        <w:t>Final</w:t>
      </w:r>
      <w:r w:rsidR="00DF0277" w:rsidRPr="00010BEC">
        <w:rPr>
          <w:rFonts w:cs="Arial"/>
          <w:sz w:val="24"/>
          <w:szCs w:val="24"/>
        </w:rPr>
        <w:t xml:space="preserve">, en la que no se presentaron las partes, ni persona alguna que legalmente las representara, </w:t>
      </w:r>
      <w:r w:rsidR="00E72BBD">
        <w:rPr>
          <w:rFonts w:cs="Arial"/>
          <w:sz w:val="24"/>
          <w:szCs w:val="24"/>
        </w:rPr>
        <w:t>dando cuenta la Secretari</w:t>
      </w:r>
      <w:r w:rsidR="00DF0277" w:rsidRPr="00010BEC">
        <w:rPr>
          <w:rFonts w:cs="Arial"/>
          <w:sz w:val="24"/>
          <w:szCs w:val="24"/>
        </w:rPr>
        <w:t>a de Acuerdos</w:t>
      </w:r>
      <w:r w:rsidR="00D63A89" w:rsidRPr="00010BEC">
        <w:rPr>
          <w:rFonts w:cs="Arial"/>
          <w:sz w:val="24"/>
          <w:szCs w:val="24"/>
        </w:rPr>
        <w:t xml:space="preserve"> </w:t>
      </w:r>
      <w:r w:rsidR="00E72BBD">
        <w:rPr>
          <w:rFonts w:cs="Arial"/>
          <w:sz w:val="24"/>
          <w:szCs w:val="24"/>
        </w:rPr>
        <w:t xml:space="preserve">del escrito de formulación de alegatos de la parte actora presentado en la Oficialía de Partes Común </w:t>
      </w:r>
      <w:r w:rsidR="00D63A89" w:rsidRPr="00010BEC">
        <w:rPr>
          <w:rFonts w:cs="Arial"/>
          <w:sz w:val="24"/>
          <w:szCs w:val="24"/>
        </w:rPr>
        <w:t>de este Tribunal</w:t>
      </w:r>
      <w:r w:rsidRPr="00010BEC">
        <w:rPr>
          <w:rFonts w:cs="Arial"/>
          <w:sz w:val="24"/>
          <w:szCs w:val="24"/>
        </w:rPr>
        <w:t xml:space="preserve"> </w:t>
      </w:r>
      <w:r w:rsidR="00884B24">
        <w:rPr>
          <w:rFonts w:cs="Arial"/>
          <w:b/>
          <w:sz w:val="24"/>
          <w:szCs w:val="24"/>
        </w:rPr>
        <w:t xml:space="preserve">********** </w:t>
      </w:r>
      <w:r w:rsidR="00DF0277" w:rsidRPr="00445A43">
        <w:rPr>
          <w:rFonts w:cs="Arial"/>
          <w:sz w:val="24"/>
          <w:szCs w:val="24"/>
        </w:rPr>
        <w:t xml:space="preserve">por lo que se </w:t>
      </w:r>
      <w:r w:rsidR="00445A43" w:rsidRPr="00445A43">
        <w:rPr>
          <w:rFonts w:cs="Arial"/>
          <w:sz w:val="24"/>
          <w:szCs w:val="24"/>
        </w:rPr>
        <w:t>ordenó</w:t>
      </w:r>
      <w:r w:rsidR="00C57DBC" w:rsidRPr="00445A43">
        <w:rPr>
          <w:rFonts w:cs="Arial"/>
          <w:sz w:val="24"/>
          <w:szCs w:val="24"/>
        </w:rPr>
        <w:t xml:space="preserve"> turnar el presente para el dictado de la sentencia, </w:t>
      </w:r>
      <w:r w:rsidR="00DF0277" w:rsidRPr="00445A43">
        <w:rPr>
          <w:rFonts w:cs="Arial"/>
          <w:sz w:val="24"/>
          <w:szCs w:val="24"/>
        </w:rPr>
        <w:t xml:space="preserve">y.- - </w:t>
      </w:r>
      <w:r w:rsidR="00AA26DB" w:rsidRPr="00445A43">
        <w:rPr>
          <w:rFonts w:cs="Arial"/>
          <w:sz w:val="24"/>
          <w:szCs w:val="24"/>
        </w:rPr>
        <w:t xml:space="preserve"> - - - -  - </w:t>
      </w:r>
      <w:r w:rsidR="00DF0277" w:rsidRPr="00445A43">
        <w:rPr>
          <w:rFonts w:cs="Arial"/>
          <w:sz w:val="24"/>
          <w:szCs w:val="24"/>
        </w:rPr>
        <w:t xml:space="preserve">- </w:t>
      </w:r>
    </w:p>
    <w:p w:rsidR="0081072E" w:rsidRPr="00010BEC" w:rsidRDefault="0081072E" w:rsidP="00BA47E7">
      <w:pPr>
        <w:pStyle w:val="corte4fondo"/>
        <w:ind w:right="51" w:firstLine="0"/>
        <w:rPr>
          <w:rFonts w:cs="Arial"/>
          <w:bCs/>
          <w:sz w:val="24"/>
          <w:szCs w:val="24"/>
        </w:rPr>
      </w:pPr>
    </w:p>
    <w:p w:rsidR="00DF0277" w:rsidRPr="00010BEC" w:rsidRDefault="00DF0277" w:rsidP="00DF0277">
      <w:pPr>
        <w:spacing w:line="360" w:lineRule="auto"/>
        <w:jc w:val="both"/>
        <w:rPr>
          <w:rFonts w:ascii="Arial" w:hAnsi="Arial" w:cs="Arial"/>
          <w:b/>
          <w:spacing w:val="-3"/>
          <w:sz w:val="24"/>
          <w:szCs w:val="24"/>
          <w:lang w:val="es-ES_tradnl"/>
        </w:rPr>
      </w:pPr>
      <w:r w:rsidRPr="00010BEC">
        <w:rPr>
          <w:rFonts w:ascii="Arial" w:hAnsi="Arial" w:cs="Arial"/>
          <w:b/>
          <w:spacing w:val="-3"/>
          <w:sz w:val="24"/>
          <w:szCs w:val="24"/>
          <w:lang w:val="es-ES_tradnl"/>
        </w:rPr>
        <w:t xml:space="preserve"> </w:t>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r>
      <w:r w:rsidRPr="00010BEC">
        <w:rPr>
          <w:rFonts w:ascii="Arial" w:hAnsi="Arial" w:cs="Arial"/>
          <w:b/>
          <w:spacing w:val="-3"/>
          <w:sz w:val="24"/>
          <w:szCs w:val="24"/>
          <w:lang w:val="es-ES_tradnl"/>
        </w:rPr>
        <w:tab/>
        <w:t>C O N S I D E R A N D O:</w:t>
      </w:r>
    </w:p>
    <w:p w:rsidR="00DF0277" w:rsidRDefault="00DF0277" w:rsidP="00DF0277">
      <w:pPr>
        <w:spacing w:line="360" w:lineRule="auto"/>
        <w:jc w:val="right"/>
        <w:rPr>
          <w:rFonts w:ascii="Arial" w:hAnsi="Arial" w:cs="Arial"/>
          <w:b/>
          <w:spacing w:val="-3"/>
          <w:sz w:val="24"/>
          <w:szCs w:val="24"/>
          <w:lang w:val="es-ES_tradnl"/>
        </w:rPr>
      </w:pPr>
    </w:p>
    <w:p w:rsidR="00445A43" w:rsidRPr="00010BEC" w:rsidRDefault="00445A43" w:rsidP="00DF0277">
      <w:pPr>
        <w:spacing w:line="360" w:lineRule="auto"/>
        <w:jc w:val="right"/>
        <w:rPr>
          <w:rFonts w:ascii="Arial" w:hAnsi="Arial" w:cs="Arial"/>
          <w:b/>
          <w:spacing w:val="-3"/>
          <w:sz w:val="24"/>
          <w:szCs w:val="24"/>
          <w:lang w:val="es-ES_tradnl"/>
        </w:rPr>
      </w:pPr>
    </w:p>
    <w:p w:rsidR="00CC1955" w:rsidRPr="00010BEC" w:rsidRDefault="00DF0277" w:rsidP="00CC1955">
      <w:pPr>
        <w:spacing w:line="360" w:lineRule="auto"/>
        <w:ind w:hanging="426"/>
        <w:jc w:val="both"/>
        <w:rPr>
          <w:rFonts w:ascii="Arial" w:hAnsi="Arial" w:cs="Arial"/>
          <w:sz w:val="24"/>
          <w:szCs w:val="24"/>
        </w:rPr>
      </w:pPr>
      <w:r w:rsidRPr="00010BEC">
        <w:rPr>
          <w:rFonts w:ascii="Arial" w:hAnsi="Arial" w:cs="Arial"/>
          <w:b/>
          <w:sz w:val="24"/>
          <w:szCs w:val="24"/>
          <w:lang w:val="es-ES_tradnl"/>
        </w:rPr>
        <w:tab/>
      </w:r>
      <w:r w:rsidR="00CC1955" w:rsidRPr="00010BEC">
        <w:rPr>
          <w:rFonts w:ascii="Arial" w:hAnsi="Arial" w:cs="Arial"/>
          <w:b/>
          <w:sz w:val="24"/>
          <w:szCs w:val="24"/>
          <w:lang w:val="es-ES_tradnl"/>
        </w:rPr>
        <w:t xml:space="preserve">          </w:t>
      </w:r>
      <w:r w:rsidRPr="00010BEC">
        <w:rPr>
          <w:rFonts w:ascii="Arial" w:hAnsi="Arial" w:cs="Arial"/>
          <w:b/>
          <w:sz w:val="24"/>
          <w:szCs w:val="24"/>
        </w:rPr>
        <w:t xml:space="preserve">PRIMERO.- </w:t>
      </w:r>
      <w:r w:rsidR="00CC1955" w:rsidRPr="00010BEC">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w:t>
      </w:r>
      <w:r w:rsidR="003A46E8">
        <w:rPr>
          <w:rFonts w:ascii="Arial" w:hAnsi="Arial" w:cs="Arial"/>
          <w:sz w:val="24"/>
          <w:szCs w:val="24"/>
        </w:rPr>
        <w:t>1</w:t>
      </w:r>
      <w:r w:rsidR="00CC1955" w:rsidRPr="00010BEC">
        <w:rPr>
          <w:rFonts w:ascii="Arial" w:hAnsi="Arial" w:cs="Arial"/>
          <w:sz w:val="24"/>
          <w:szCs w:val="24"/>
        </w:rPr>
        <w:t xml:space="preserve">46 y 147 de la Ley de Procedimiento y Justicia Administrativa para el Estado de Oaxaca. - - - - </w:t>
      </w:r>
    </w:p>
    <w:p w:rsidR="00DF0277" w:rsidRPr="00010BEC" w:rsidRDefault="00DF0277" w:rsidP="00DF0277">
      <w:pPr>
        <w:spacing w:line="360" w:lineRule="auto"/>
        <w:jc w:val="both"/>
        <w:rPr>
          <w:rFonts w:ascii="Arial" w:hAnsi="Arial" w:cs="Arial"/>
          <w:sz w:val="24"/>
          <w:szCs w:val="24"/>
        </w:rPr>
      </w:pPr>
    </w:p>
    <w:p w:rsidR="00CC1955" w:rsidRPr="00010BEC" w:rsidRDefault="00CC1955" w:rsidP="00CC1955">
      <w:pPr>
        <w:pStyle w:val="corte4fondo"/>
        <w:ind w:right="51" w:firstLine="0"/>
        <w:rPr>
          <w:rFonts w:cs="Arial"/>
          <w:sz w:val="23"/>
          <w:szCs w:val="23"/>
        </w:rPr>
      </w:pPr>
      <w:r w:rsidRPr="00010BEC">
        <w:rPr>
          <w:rFonts w:cs="Arial"/>
          <w:b/>
          <w:snapToGrid w:val="0"/>
          <w:sz w:val="24"/>
          <w:szCs w:val="24"/>
        </w:rPr>
        <w:t xml:space="preserve">           </w:t>
      </w:r>
      <w:r w:rsidR="00DF0277" w:rsidRPr="00010BEC">
        <w:rPr>
          <w:rFonts w:cs="Arial"/>
          <w:b/>
          <w:snapToGrid w:val="0"/>
          <w:sz w:val="24"/>
          <w:szCs w:val="24"/>
        </w:rPr>
        <w:t xml:space="preserve">SEGUNDO.- </w:t>
      </w:r>
      <w:r w:rsidRPr="00010BEC">
        <w:rPr>
          <w:rFonts w:cs="Arial"/>
          <w:sz w:val="24"/>
          <w:szCs w:val="24"/>
        </w:rPr>
        <w:t xml:space="preserve">La personalidad de la parte </w:t>
      </w:r>
      <w:r w:rsidR="000B24C7" w:rsidRPr="00010BEC">
        <w:rPr>
          <w:rFonts w:cs="Arial"/>
          <w:sz w:val="24"/>
          <w:szCs w:val="24"/>
        </w:rPr>
        <w:t xml:space="preserve">actora </w:t>
      </w:r>
      <w:r w:rsidRPr="00010BEC">
        <w:rPr>
          <w:rFonts w:cs="Arial"/>
          <w:sz w:val="24"/>
          <w:szCs w:val="24"/>
        </w:rPr>
        <w:t xml:space="preserve">quedó acreditada en autos, en términos del artículo </w:t>
      </w:r>
      <w:r w:rsidR="00FC5E07" w:rsidRPr="00650927">
        <w:rPr>
          <w:rFonts w:cs="Arial"/>
          <w:sz w:val="24"/>
          <w:szCs w:val="24"/>
        </w:rPr>
        <w:t>117</w:t>
      </w:r>
      <w:r w:rsidR="00FC5E07">
        <w:rPr>
          <w:rFonts w:cs="Arial"/>
          <w:sz w:val="24"/>
          <w:szCs w:val="24"/>
        </w:rPr>
        <w:t xml:space="preserve"> </w:t>
      </w:r>
      <w:r w:rsidR="00FC5E07" w:rsidRPr="00650927">
        <w:rPr>
          <w:rFonts w:cs="Arial"/>
          <w:sz w:val="24"/>
          <w:szCs w:val="24"/>
        </w:rPr>
        <w:t>de la Ley de Justicia Administrativa para el Estado</w:t>
      </w:r>
      <w:r w:rsidR="00FC5E07">
        <w:rPr>
          <w:rFonts w:cs="Arial"/>
          <w:sz w:val="24"/>
          <w:szCs w:val="24"/>
        </w:rPr>
        <w:t xml:space="preserve"> de Oaxaca, ya que</w:t>
      </w:r>
      <w:r w:rsidRPr="00010BEC">
        <w:rPr>
          <w:rFonts w:cs="Arial"/>
          <w:sz w:val="24"/>
          <w:szCs w:val="24"/>
        </w:rPr>
        <w:t xml:space="preserve"> promueve por su propio derecho</w:t>
      </w:r>
      <w:r w:rsidR="000B24C7" w:rsidRPr="00010BEC">
        <w:rPr>
          <w:rFonts w:cs="Arial"/>
          <w:sz w:val="24"/>
          <w:szCs w:val="24"/>
        </w:rPr>
        <w:t xml:space="preserve">, no así la parte demandada al no </w:t>
      </w:r>
      <w:r w:rsidR="00FC5E07">
        <w:rPr>
          <w:rFonts w:cs="Arial"/>
          <w:sz w:val="24"/>
          <w:szCs w:val="24"/>
        </w:rPr>
        <w:t>acreditar su personalidad con que pretendió apersonarse a juicio, esto en atención a lo dispuesto por el artículo 120 de la ley de la materia</w:t>
      </w:r>
      <w:r w:rsidR="000B24C7" w:rsidRPr="00010BEC">
        <w:rPr>
          <w:rFonts w:cs="Arial"/>
          <w:sz w:val="24"/>
          <w:szCs w:val="24"/>
        </w:rPr>
        <w:t xml:space="preserve">.- - - - - </w:t>
      </w:r>
      <w:r w:rsidR="00E74D48">
        <w:rPr>
          <w:rFonts w:cs="Arial"/>
          <w:sz w:val="24"/>
          <w:szCs w:val="24"/>
        </w:rPr>
        <w:t>- - -</w:t>
      </w:r>
      <w:r w:rsidR="00884B24">
        <w:rPr>
          <w:rFonts w:cs="Arial"/>
          <w:sz w:val="24"/>
          <w:szCs w:val="24"/>
        </w:rPr>
        <w:t xml:space="preserve"> - - - - </w:t>
      </w:r>
    </w:p>
    <w:p w:rsidR="00DF258F" w:rsidRPr="00010BEC" w:rsidRDefault="00DF258F" w:rsidP="00DF0277">
      <w:pPr>
        <w:spacing w:line="360" w:lineRule="auto"/>
        <w:ind w:right="51" w:firstLine="709"/>
        <w:jc w:val="both"/>
        <w:rPr>
          <w:rFonts w:ascii="Arial" w:hAnsi="Arial" w:cs="Arial"/>
          <w:snapToGrid w:val="0"/>
          <w:sz w:val="24"/>
          <w:szCs w:val="24"/>
          <w:lang w:val="es-ES_tradnl"/>
        </w:rPr>
      </w:pPr>
    </w:p>
    <w:p w:rsidR="00DF258F" w:rsidRPr="00010BEC" w:rsidRDefault="00CC1955" w:rsidP="00025DE5">
      <w:pPr>
        <w:spacing w:line="360" w:lineRule="auto"/>
        <w:ind w:firstLine="708"/>
        <w:jc w:val="both"/>
        <w:rPr>
          <w:rFonts w:ascii="Arial" w:hAnsi="Arial" w:cs="Arial"/>
          <w:sz w:val="24"/>
          <w:szCs w:val="24"/>
        </w:rPr>
      </w:pPr>
      <w:r w:rsidRPr="00010BEC">
        <w:rPr>
          <w:rFonts w:ascii="Arial" w:hAnsi="Arial" w:cs="Arial"/>
          <w:b/>
          <w:sz w:val="24"/>
          <w:szCs w:val="24"/>
          <w:lang w:val="es-ES_tradnl"/>
        </w:rPr>
        <w:t>TERCERO</w:t>
      </w:r>
      <w:r w:rsidRPr="00010BEC">
        <w:rPr>
          <w:rFonts w:ascii="Arial" w:hAnsi="Arial" w:cs="Arial"/>
          <w:sz w:val="24"/>
          <w:szCs w:val="24"/>
          <w:lang w:val="es-ES_tradnl"/>
        </w:rPr>
        <w:t>.-</w:t>
      </w:r>
      <w:r w:rsidRPr="00010BEC">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w:t>
      </w:r>
      <w:r w:rsidR="005D4AC6">
        <w:rPr>
          <w:rFonts w:ascii="Arial" w:hAnsi="Arial" w:cs="Arial"/>
          <w:sz w:val="24"/>
          <w:szCs w:val="24"/>
        </w:rPr>
        <w:t>en términos de los artículos 131 y 132</w:t>
      </w:r>
      <w:r w:rsidRPr="00010BEC">
        <w:rPr>
          <w:rFonts w:ascii="Arial" w:hAnsi="Arial" w:cs="Arial"/>
          <w:sz w:val="24"/>
          <w:szCs w:val="24"/>
        </w:rPr>
        <w:t xml:space="preserve"> de la Ley </w:t>
      </w:r>
      <w:r w:rsidR="005D4AC6">
        <w:rPr>
          <w:rFonts w:ascii="Arial" w:hAnsi="Arial" w:cs="Arial"/>
          <w:sz w:val="24"/>
          <w:szCs w:val="24"/>
        </w:rPr>
        <w:t>de</w:t>
      </w:r>
      <w:r w:rsidRPr="00010BEC">
        <w:rPr>
          <w:rFonts w:ascii="Arial" w:hAnsi="Arial" w:cs="Arial"/>
          <w:sz w:val="24"/>
          <w:szCs w:val="24"/>
        </w:rPr>
        <w:t xml:space="preserve"> Justicia Administrativa para el Estado de Oaxaca. En el caso se estima que no se actualiza alguna de las hipótesis previstas en la Ley que rige a este Tribunal, por lo tanto, NO SE SOBRESEE EL PRESENTE JUICIO.- - - - - - - - - - - - - - - - - - - - </w:t>
      </w:r>
    </w:p>
    <w:p w:rsidR="00CC1955" w:rsidRPr="00010BEC" w:rsidRDefault="00CC1955" w:rsidP="00025DE5">
      <w:pPr>
        <w:spacing w:line="360" w:lineRule="auto"/>
        <w:ind w:firstLine="708"/>
        <w:jc w:val="both"/>
        <w:rPr>
          <w:rFonts w:ascii="Arial" w:hAnsi="Arial" w:cs="Arial"/>
          <w:sz w:val="24"/>
          <w:szCs w:val="24"/>
        </w:rPr>
      </w:pPr>
    </w:p>
    <w:p w:rsidR="00CC1955" w:rsidRPr="00010BEC" w:rsidRDefault="00DF0277" w:rsidP="00CC1955">
      <w:pPr>
        <w:spacing w:line="360" w:lineRule="auto"/>
        <w:jc w:val="both"/>
        <w:rPr>
          <w:rFonts w:ascii="Arial" w:hAnsi="Arial" w:cs="Arial"/>
          <w:sz w:val="24"/>
          <w:szCs w:val="24"/>
        </w:rPr>
      </w:pPr>
      <w:r w:rsidRPr="00010BEC">
        <w:rPr>
          <w:rFonts w:ascii="Arial" w:hAnsi="Arial" w:cs="Arial"/>
          <w:sz w:val="24"/>
          <w:szCs w:val="24"/>
        </w:rPr>
        <w:lastRenderedPageBreak/>
        <w:t xml:space="preserve">          </w:t>
      </w:r>
      <w:r w:rsidRPr="00010BEC">
        <w:rPr>
          <w:rFonts w:ascii="Arial" w:hAnsi="Arial" w:cs="Arial"/>
          <w:b/>
          <w:sz w:val="24"/>
          <w:szCs w:val="24"/>
        </w:rPr>
        <w:t>CUARTO</w:t>
      </w:r>
      <w:r w:rsidR="00CC1955" w:rsidRPr="00010BEC">
        <w:rPr>
          <w:rFonts w:ascii="Arial" w:hAnsi="Arial" w:cs="Arial"/>
          <w:sz w:val="24"/>
          <w:szCs w:val="24"/>
        </w:rPr>
        <w:t>.-</w:t>
      </w:r>
      <w:r w:rsidR="00CC1955" w:rsidRPr="00010BEC">
        <w:rPr>
          <w:rFonts w:ascii="Arial" w:hAnsi="Arial" w:cs="Arial"/>
          <w:b/>
          <w:bCs/>
          <w:sz w:val="24"/>
          <w:szCs w:val="24"/>
        </w:rPr>
        <w:t xml:space="preserve">Estudio de los Conceptos de Impugnación y pruebas ofrecidas por la parte actora. </w:t>
      </w:r>
      <w:r w:rsidR="00CC1955" w:rsidRPr="00010BEC">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010BEC">
        <w:rPr>
          <w:rFonts w:ascii="Arial" w:hAnsi="Arial" w:cs="Arial"/>
          <w:sz w:val="24"/>
          <w:szCs w:val="24"/>
        </w:rPr>
        <w:t xml:space="preserve">; no obstante ello, serán valorados en el cuerpo de esta sentencia. </w:t>
      </w:r>
    </w:p>
    <w:p w:rsidR="00CC1955" w:rsidRPr="00010BEC" w:rsidRDefault="00CC1955" w:rsidP="00CC1955">
      <w:pPr>
        <w:spacing w:line="360" w:lineRule="auto"/>
        <w:jc w:val="both"/>
        <w:rPr>
          <w:rFonts w:ascii="Arial" w:hAnsi="Arial" w:cs="Arial"/>
          <w:sz w:val="24"/>
          <w:szCs w:val="24"/>
        </w:rPr>
      </w:pPr>
    </w:p>
    <w:p w:rsidR="00CC1955" w:rsidRPr="00010BEC" w:rsidRDefault="00CC1955" w:rsidP="00010BEC">
      <w:pPr>
        <w:pStyle w:val="Textonotapie"/>
        <w:widowControl w:val="0"/>
        <w:spacing w:line="360" w:lineRule="auto"/>
        <w:ind w:firstLine="708"/>
        <w:jc w:val="both"/>
        <w:rPr>
          <w:rFonts w:ascii="Arial" w:hAnsi="Arial" w:cs="Arial"/>
          <w:sz w:val="24"/>
          <w:szCs w:val="24"/>
          <w:lang w:eastAsia="es-MX"/>
        </w:rPr>
      </w:pPr>
      <w:r w:rsidRPr="00010BEC">
        <w:rPr>
          <w:rFonts w:ascii="Arial" w:hAnsi="Arial" w:cs="Arial"/>
          <w:sz w:val="24"/>
          <w:szCs w:val="24"/>
          <w:lang w:val="es-MX" w:eastAsia="es-MX"/>
        </w:rPr>
        <w:t>Al respecto resulta aplicable</w:t>
      </w:r>
      <w:r w:rsidRPr="00010BEC">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010BEC">
        <w:rPr>
          <w:rFonts w:ascii="Arial" w:hAnsi="Arial" w:cs="Arial"/>
          <w:i/>
          <w:sz w:val="24"/>
          <w:szCs w:val="24"/>
          <w:lang w:eastAsia="es-MX"/>
        </w:rPr>
        <w:t>Semanario Judicial de la Federación y su Gaceta</w:t>
      </w:r>
      <w:r w:rsidRPr="00010BEC">
        <w:rPr>
          <w:rFonts w:ascii="Arial" w:hAnsi="Arial" w:cs="Arial"/>
          <w:sz w:val="24"/>
          <w:szCs w:val="24"/>
          <w:lang w:eastAsia="es-MX"/>
        </w:rPr>
        <w:t>, Tomo XXXI, mayo</w:t>
      </w:r>
      <w:r w:rsidR="00010BEC" w:rsidRPr="00010BEC">
        <w:rPr>
          <w:rFonts w:ascii="Arial" w:hAnsi="Arial" w:cs="Arial"/>
          <w:sz w:val="24"/>
          <w:szCs w:val="24"/>
          <w:lang w:eastAsia="es-MX"/>
        </w:rPr>
        <w:t xml:space="preserve"> de 2010, página 830, de rubro:</w:t>
      </w:r>
    </w:p>
    <w:p w:rsidR="00903828" w:rsidRDefault="00903828" w:rsidP="00CC1955">
      <w:pPr>
        <w:pStyle w:val="Textonotapie"/>
        <w:widowControl w:val="0"/>
        <w:spacing w:line="276" w:lineRule="auto"/>
        <w:ind w:firstLine="708"/>
        <w:jc w:val="both"/>
        <w:rPr>
          <w:rFonts w:ascii="Arial" w:hAnsi="Arial" w:cs="Arial"/>
          <w:sz w:val="24"/>
          <w:szCs w:val="24"/>
          <w:lang w:eastAsia="es-MX"/>
        </w:rPr>
      </w:pPr>
    </w:p>
    <w:p w:rsidR="004E6A5E" w:rsidRDefault="004E6A5E" w:rsidP="00CC1955">
      <w:pPr>
        <w:pStyle w:val="Textonotapie"/>
        <w:widowControl w:val="0"/>
        <w:spacing w:line="276" w:lineRule="auto"/>
        <w:ind w:firstLine="708"/>
        <w:jc w:val="both"/>
        <w:rPr>
          <w:rFonts w:ascii="Arial" w:hAnsi="Arial" w:cs="Arial"/>
          <w:sz w:val="24"/>
          <w:szCs w:val="24"/>
          <w:lang w:eastAsia="es-MX"/>
        </w:rPr>
      </w:pPr>
    </w:p>
    <w:p w:rsidR="00445A43" w:rsidRPr="00010BEC" w:rsidRDefault="00445A43" w:rsidP="00CC1955">
      <w:pPr>
        <w:pStyle w:val="Textonotapie"/>
        <w:widowControl w:val="0"/>
        <w:spacing w:line="276" w:lineRule="auto"/>
        <w:ind w:firstLine="708"/>
        <w:jc w:val="both"/>
        <w:rPr>
          <w:rFonts w:ascii="Arial" w:hAnsi="Arial" w:cs="Arial"/>
          <w:sz w:val="24"/>
          <w:szCs w:val="24"/>
          <w:lang w:eastAsia="es-MX"/>
        </w:rPr>
      </w:pPr>
    </w:p>
    <w:p w:rsidR="00223AF2" w:rsidRPr="00010BEC" w:rsidRDefault="00CC1955" w:rsidP="00010BEC">
      <w:pPr>
        <w:pStyle w:val="Textonotapie"/>
        <w:widowControl w:val="0"/>
        <w:spacing w:line="360" w:lineRule="auto"/>
        <w:ind w:left="1701" w:right="1469"/>
        <w:jc w:val="both"/>
        <w:rPr>
          <w:rFonts w:ascii="Arial" w:hAnsi="Arial" w:cs="Arial"/>
          <w:b/>
          <w:sz w:val="24"/>
          <w:szCs w:val="24"/>
          <w:lang w:eastAsia="es-MX"/>
        </w:rPr>
      </w:pPr>
      <w:r w:rsidRPr="00010BEC">
        <w:rPr>
          <w:rFonts w:ascii="Arial" w:hAnsi="Arial" w:cs="Arial"/>
          <w:sz w:val="24"/>
          <w:szCs w:val="24"/>
          <w:lang w:eastAsia="es-MX"/>
        </w:rPr>
        <w:t xml:space="preserve"> </w:t>
      </w:r>
      <w:r w:rsidRPr="00010BEC">
        <w:rPr>
          <w:rFonts w:ascii="Arial" w:hAnsi="Arial" w:cs="Arial"/>
          <w:b/>
          <w:sz w:val="24"/>
          <w:szCs w:val="24"/>
          <w:lang w:eastAsia="es-MX"/>
        </w:rPr>
        <w:t>CONCEPTOS DE VIOLACIÓN O AGRAVIOS. PARA CUMPLIR CON LOS PRINCIPIOS DE CONGRUENCIA Y EXHAUSTIVIDAD EN LAS SENTENCIAS DE AMPARO ES INNECESARIA SU TRANSCRIPCIÓN.</w:t>
      </w:r>
    </w:p>
    <w:p w:rsidR="00223AF2" w:rsidRPr="00010BEC" w:rsidRDefault="00223AF2" w:rsidP="00223AF2">
      <w:pPr>
        <w:pStyle w:val="Textonotapie"/>
        <w:widowControl w:val="0"/>
        <w:spacing w:line="360" w:lineRule="auto"/>
        <w:ind w:left="1701" w:right="1469"/>
        <w:jc w:val="right"/>
        <w:rPr>
          <w:rFonts w:ascii="Arial" w:hAnsi="Arial" w:cs="Arial"/>
          <w:sz w:val="24"/>
          <w:szCs w:val="24"/>
        </w:rPr>
      </w:pPr>
    </w:p>
    <w:p w:rsidR="00223AF2" w:rsidRPr="00010BEC" w:rsidRDefault="00223AF2" w:rsidP="0030015A">
      <w:pPr>
        <w:widowControl w:val="0"/>
        <w:spacing w:line="360" w:lineRule="auto"/>
        <w:ind w:firstLine="708"/>
        <w:jc w:val="both"/>
        <w:rPr>
          <w:rFonts w:ascii="Arial" w:hAnsi="Arial" w:cs="Arial"/>
          <w:sz w:val="24"/>
          <w:szCs w:val="24"/>
          <w:lang w:eastAsia="es-ES"/>
        </w:rPr>
      </w:pPr>
      <w:r w:rsidRPr="00010BEC">
        <w:rPr>
          <w:rFonts w:ascii="Arial" w:hAnsi="Arial" w:cs="Arial"/>
          <w:sz w:val="24"/>
          <w:szCs w:val="24"/>
          <w:lang w:eastAsia="es-ES"/>
        </w:rPr>
        <w:t xml:space="preserve">Ahora bien, esta Sala después de haber analizado la </w:t>
      </w:r>
      <w:r w:rsidRPr="00010BEC">
        <w:rPr>
          <w:rFonts w:ascii="Arial" w:hAnsi="Arial" w:cs="Arial"/>
          <w:b/>
          <w:sz w:val="24"/>
          <w:szCs w:val="24"/>
          <w:lang w:eastAsia="es-ES"/>
        </w:rPr>
        <w:t>MULTA POR INFRACCIÓN ESTABLECIDA EN EL ARTÍCULO 269 FRACCIÓN I, DEL CÓDIGO FISCAL PARA EL ESTADO DE OAXACA,</w:t>
      </w:r>
      <w:r w:rsidRPr="00010BEC">
        <w:rPr>
          <w:rFonts w:ascii="Arial" w:hAnsi="Arial" w:cs="Arial"/>
          <w:sz w:val="24"/>
          <w:szCs w:val="24"/>
          <w:lang w:eastAsia="es-ES"/>
        </w:rPr>
        <w:t xml:space="preserve"> contenida en el oficio con número </w:t>
      </w:r>
      <w:r w:rsidR="0030015A" w:rsidRPr="00010BEC">
        <w:rPr>
          <w:rFonts w:ascii="Arial" w:hAnsi="Arial" w:cs="Arial"/>
          <w:sz w:val="24"/>
          <w:szCs w:val="24"/>
        </w:rPr>
        <w:t xml:space="preserve">de control </w:t>
      </w:r>
      <w:r w:rsidR="00884B24">
        <w:rPr>
          <w:rFonts w:cs="Arial"/>
          <w:b/>
          <w:sz w:val="24"/>
          <w:szCs w:val="24"/>
        </w:rPr>
        <w:t>**********</w:t>
      </w:r>
      <w:r w:rsidR="0030015A" w:rsidRPr="00010BEC">
        <w:rPr>
          <w:rFonts w:ascii="Arial" w:hAnsi="Arial" w:cs="Arial"/>
          <w:sz w:val="24"/>
          <w:szCs w:val="24"/>
        </w:rPr>
        <w:t xml:space="preserve"> </w:t>
      </w:r>
      <w:r w:rsidR="0030015A" w:rsidRPr="00010BEC">
        <w:rPr>
          <w:rFonts w:cs="Arial"/>
          <w:sz w:val="24"/>
          <w:szCs w:val="24"/>
        </w:rPr>
        <w:t xml:space="preserve">de fecha </w:t>
      </w:r>
      <w:r w:rsidR="00884B24">
        <w:rPr>
          <w:rFonts w:cs="Arial"/>
          <w:b/>
          <w:sz w:val="24"/>
          <w:szCs w:val="24"/>
        </w:rPr>
        <w:t xml:space="preserve">********** </w:t>
      </w:r>
      <w:r w:rsidR="0030015A" w:rsidRPr="00010BEC">
        <w:rPr>
          <w:rFonts w:ascii="Arial" w:hAnsi="Arial" w:cs="Arial"/>
          <w:sz w:val="24"/>
          <w:szCs w:val="24"/>
        </w:rPr>
        <w:t xml:space="preserve">signada por la </w:t>
      </w:r>
      <w:r w:rsidR="0030015A" w:rsidRPr="00010BEC">
        <w:rPr>
          <w:rFonts w:ascii="Arial" w:hAnsi="Arial" w:cs="Arial"/>
          <w:b/>
          <w:sz w:val="24"/>
          <w:szCs w:val="24"/>
        </w:rPr>
        <w:t xml:space="preserve">DIRECTORA DE INGRESOS Y RECAUDACIÓN DE LA SECRETARÍA DE FINANZAS </w:t>
      </w:r>
      <w:r w:rsidR="0030015A" w:rsidRPr="00010BEC">
        <w:rPr>
          <w:rFonts w:ascii="Arial" w:hAnsi="Arial" w:cs="Arial"/>
          <w:sz w:val="24"/>
          <w:szCs w:val="24"/>
        </w:rPr>
        <w:t>del Poder Ejecutivo del Estado de Oaxaca</w:t>
      </w:r>
      <w:r w:rsidR="00673A04" w:rsidRPr="00010BEC">
        <w:rPr>
          <w:rFonts w:ascii="Arial" w:hAnsi="Arial" w:cs="Arial"/>
          <w:sz w:val="24"/>
          <w:szCs w:val="24"/>
        </w:rPr>
        <w:t>.</w:t>
      </w:r>
      <w:r w:rsidR="00673A04" w:rsidRPr="00010BEC">
        <w:rPr>
          <w:rFonts w:ascii="Arial" w:hAnsi="Arial" w:cs="Arial"/>
          <w:sz w:val="24"/>
          <w:szCs w:val="24"/>
          <w:lang w:eastAsia="es-ES"/>
        </w:rPr>
        <w:t xml:space="preserve"> </w:t>
      </w:r>
      <w:r w:rsidRPr="00010BEC">
        <w:rPr>
          <w:rFonts w:ascii="Arial" w:hAnsi="Arial" w:cs="Arial"/>
          <w:sz w:val="24"/>
          <w:szCs w:val="24"/>
          <w:lang w:eastAsia="es-ES"/>
        </w:rPr>
        <w:t>y tomando en consideración los conceptos de impugnación hechos valer por el actor se advierte, que la enjuiciada señaló lo siguiente: “…</w:t>
      </w:r>
      <w:r w:rsidRPr="00010BEC">
        <w:rPr>
          <w:rFonts w:ascii="Arial" w:hAnsi="Arial" w:cs="Arial"/>
          <w:b/>
          <w:sz w:val="24"/>
          <w:szCs w:val="24"/>
          <w:lang w:val="es-ES_tradnl" w:eastAsia="es-ES"/>
        </w:rPr>
        <w:t xml:space="preserve">Que en los artículos 61 párrafo primero y tercero del Código Fiscal </w:t>
      </w:r>
      <w:r w:rsidR="008B0A3B">
        <w:rPr>
          <w:rFonts w:ascii="Arial" w:hAnsi="Arial" w:cs="Arial"/>
          <w:b/>
          <w:sz w:val="24"/>
          <w:szCs w:val="24"/>
          <w:lang w:val="es-ES_tradnl" w:eastAsia="es-ES"/>
        </w:rPr>
        <w:t xml:space="preserve">para </w:t>
      </w:r>
      <w:r w:rsidRPr="00010BEC">
        <w:rPr>
          <w:rFonts w:ascii="Arial" w:hAnsi="Arial" w:cs="Arial"/>
          <w:b/>
          <w:sz w:val="24"/>
          <w:szCs w:val="24"/>
          <w:lang w:val="es-ES_tradnl" w:eastAsia="es-ES"/>
        </w:rPr>
        <w:t>el Estado de Oaxaca, 53, 55 fracción I, II  y III y 56 fracción I</w:t>
      </w:r>
      <w:r w:rsidR="008B0A3B">
        <w:rPr>
          <w:rFonts w:ascii="Arial" w:hAnsi="Arial" w:cs="Arial"/>
          <w:b/>
          <w:sz w:val="24"/>
          <w:szCs w:val="24"/>
          <w:lang w:val="es-ES_tradnl" w:eastAsia="es-ES"/>
        </w:rPr>
        <w:t>I</w:t>
      </w:r>
      <w:r w:rsidRPr="00010BEC">
        <w:rPr>
          <w:rFonts w:ascii="Arial" w:hAnsi="Arial" w:cs="Arial"/>
          <w:b/>
          <w:sz w:val="24"/>
          <w:szCs w:val="24"/>
          <w:lang w:val="es-ES_tradnl" w:eastAsia="es-ES"/>
        </w:rPr>
        <w:t>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w:t>
      </w:r>
      <w:r w:rsidR="008B0A3B">
        <w:rPr>
          <w:rFonts w:ascii="Arial" w:hAnsi="Arial" w:cs="Arial"/>
          <w:b/>
          <w:sz w:val="24"/>
          <w:szCs w:val="24"/>
          <w:lang w:val="es-ES_tradnl" w:eastAsia="es-ES"/>
        </w:rPr>
        <w:t>as por la Secretaría</w:t>
      </w:r>
      <w:r w:rsidRPr="00010BEC">
        <w:rPr>
          <w:rFonts w:ascii="Arial" w:hAnsi="Arial" w:cs="Arial"/>
          <w:b/>
          <w:sz w:val="24"/>
          <w:szCs w:val="24"/>
          <w:lang w:val="es-ES_tradnl" w:eastAsia="es-ES"/>
        </w:rPr>
        <w:t xml:space="preserve">, se expidan </w:t>
      </w:r>
      <w:r w:rsidR="008B0A3B">
        <w:rPr>
          <w:rFonts w:ascii="Arial" w:hAnsi="Arial" w:cs="Arial"/>
          <w:b/>
          <w:sz w:val="24"/>
          <w:szCs w:val="24"/>
          <w:lang w:val="es-ES_tradnl" w:eastAsia="es-ES"/>
        </w:rPr>
        <w:t>para tal efecto, mismas que deben realizarse</w:t>
      </w:r>
      <w:r w:rsidRPr="00010BEC">
        <w:rPr>
          <w:rFonts w:ascii="Arial" w:hAnsi="Arial" w:cs="Arial"/>
          <w:b/>
          <w:sz w:val="24"/>
          <w:szCs w:val="24"/>
          <w:lang w:val="es-ES_tradnl" w:eastAsia="es-ES"/>
        </w:rPr>
        <w:t xml:space="preserve"> dentro de los primeros</w:t>
      </w:r>
      <w:r w:rsidR="005108B6" w:rsidRPr="00010BEC">
        <w:rPr>
          <w:rFonts w:ascii="Arial" w:hAnsi="Arial" w:cs="Arial"/>
          <w:b/>
          <w:sz w:val="24"/>
          <w:szCs w:val="24"/>
          <w:lang w:val="es-ES_tradnl" w:eastAsia="es-ES"/>
        </w:rPr>
        <w:t xml:space="preserve"> </w:t>
      </w:r>
      <w:r w:rsidRPr="00010BEC">
        <w:rPr>
          <w:rFonts w:ascii="Arial" w:hAnsi="Arial" w:cs="Arial"/>
          <w:b/>
          <w:sz w:val="24"/>
          <w:szCs w:val="24"/>
          <w:lang w:val="es-ES_tradnl" w:eastAsia="es-ES"/>
        </w:rPr>
        <w:t xml:space="preserve">17 días del mes siguiente al periodo que se </w:t>
      </w:r>
      <w:r w:rsidRPr="00010BEC">
        <w:rPr>
          <w:rFonts w:ascii="Arial" w:hAnsi="Arial" w:cs="Arial"/>
          <w:b/>
          <w:sz w:val="24"/>
          <w:szCs w:val="24"/>
          <w:lang w:val="es-ES_tradnl" w:eastAsia="es-ES"/>
        </w:rPr>
        <w:lastRenderedPageBreak/>
        <w:t>está declarando</w:t>
      </w:r>
      <w:r w:rsidRPr="00010BEC">
        <w:rPr>
          <w:rFonts w:ascii="Arial" w:hAnsi="Arial" w:cs="Arial"/>
          <w:sz w:val="24"/>
          <w:szCs w:val="24"/>
          <w:lang w:val="es-ES_tradnl" w:eastAsia="es-ES"/>
        </w:rPr>
        <w:t>…”.</w:t>
      </w:r>
    </w:p>
    <w:p w:rsidR="00223AF2" w:rsidRPr="00010BEC" w:rsidRDefault="00223AF2" w:rsidP="00223AF2">
      <w:pPr>
        <w:spacing w:line="360" w:lineRule="auto"/>
        <w:ind w:left="851" w:right="902"/>
        <w:jc w:val="both"/>
        <w:rPr>
          <w:rFonts w:ascii="Arial" w:hAnsi="Arial" w:cs="Arial"/>
          <w:sz w:val="24"/>
          <w:szCs w:val="24"/>
          <w:lang w:eastAsia="es-ES"/>
        </w:rPr>
      </w:pPr>
    </w:p>
    <w:p w:rsidR="00C86C4C" w:rsidRDefault="00223AF2" w:rsidP="00010BEC">
      <w:pPr>
        <w:spacing w:line="360" w:lineRule="auto"/>
        <w:ind w:right="51" w:firstLine="708"/>
        <w:jc w:val="both"/>
        <w:rPr>
          <w:rFonts w:ascii="Arial" w:hAnsi="Arial" w:cs="Arial"/>
          <w:b/>
          <w:sz w:val="24"/>
          <w:szCs w:val="24"/>
          <w:lang w:val="es-ES_tradnl" w:eastAsia="es-ES"/>
        </w:rPr>
      </w:pPr>
      <w:r w:rsidRPr="00010BEC">
        <w:rPr>
          <w:rFonts w:ascii="Arial" w:hAnsi="Arial" w:cs="Arial"/>
          <w:sz w:val="24"/>
          <w:szCs w:val="24"/>
          <w:lang w:eastAsia="es-ES"/>
        </w:rPr>
        <w:t>A</w:t>
      </w:r>
      <w:r w:rsidRPr="00010BEC">
        <w:rPr>
          <w:rFonts w:ascii="Arial" w:hAnsi="Arial" w:cs="Arial"/>
          <w:sz w:val="24"/>
          <w:szCs w:val="24"/>
          <w:lang w:val="es-ES_tradnl" w:eastAsia="es-ES"/>
        </w:rPr>
        <w:t xml:space="preserve">sí mismo, manifestó: </w:t>
      </w:r>
      <w:r w:rsidRPr="00010BEC">
        <w:rPr>
          <w:rFonts w:ascii="Arial" w:hAnsi="Arial" w:cs="Arial"/>
          <w:b/>
          <w:sz w:val="24"/>
          <w:szCs w:val="24"/>
          <w:lang w:val="es-ES_tradnl" w:eastAsia="es-ES"/>
        </w:rPr>
        <w:t>“… Atendiendo a lo anterior se realizó una revisión minuciosa en el Registro Estatal de Contribuyentes con que cu</w:t>
      </w:r>
      <w:r w:rsidR="00AD1EF2">
        <w:rPr>
          <w:rFonts w:ascii="Arial" w:hAnsi="Arial" w:cs="Arial"/>
          <w:b/>
          <w:sz w:val="24"/>
          <w:szCs w:val="24"/>
          <w:lang w:val="es-ES_tradnl" w:eastAsia="es-ES"/>
        </w:rPr>
        <w:t>enta esta Secretaría;</w:t>
      </w:r>
      <w:r w:rsidRPr="00010BEC">
        <w:rPr>
          <w:rFonts w:ascii="Arial" w:hAnsi="Arial" w:cs="Arial"/>
          <w:b/>
          <w:sz w:val="24"/>
          <w:szCs w:val="24"/>
          <w:lang w:val="es-ES_tradnl" w:eastAsia="es-ES"/>
        </w:rPr>
        <w:t xml:space="preserve"> la cual c</w:t>
      </w:r>
      <w:r w:rsidR="00AD1EF2">
        <w:rPr>
          <w:rFonts w:ascii="Arial" w:hAnsi="Arial" w:cs="Arial"/>
          <w:b/>
          <w:sz w:val="24"/>
          <w:szCs w:val="24"/>
          <w:lang w:val="es-ES_tradnl" w:eastAsia="es-ES"/>
        </w:rPr>
        <w:t>ontiene los registros contables</w:t>
      </w:r>
      <w:r w:rsidRPr="00010BEC">
        <w:rPr>
          <w:rFonts w:ascii="Arial" w:hAnsi="Arial" w:cs="Arial"/>
          <w:b/>
          <w:sz w:val="24"/>
          <w:szCs w:val="24"/>
          <w:lang w:val="es-ES_tradnl" w:eastAsia="es-ES"/>
        </w:rPr>
        <w:t xml:space="preserve"> en materia de declaraciones y pagos; y en ejercicio de las facultades de revisión al cumplimiento de las declaraciones y </w:t>
      </w:r>
      <w:r w:rsidR="00AD1EF2">
        <w:rPr>
          <w:rFonts w:ascii="Arial" w:hAnsi="Arial" w:cs="Arial"/>
          <w:b/>
          <w:sz w:val="24"/>
          <w:szCs w:val="24"/>
          <w:lang w:val="es-ES_tradnl" w:eastAsia="es-ES"/>
        </w:rPr>
        <w:t>pagos por los sujetos obligados en materia del impuesto Cedular a los Ingresos por el Otorgamiento del Uso o Goce Temporal de Bienes Inmuebles</w:t>
      </w:r>
      <w:r w:rsidRPr="00010BEC">
        <w:rPr>
          <w:rFonts w:ascii="Arial" w:hAnsi="Arial" w:cs="Arial"/>
          <w:b/>
          <w:sz w:val="24"/>
          <w:szCs w:val="24"/>
          <w:lang w:val="es-ES_tradnl" w:eastAsia="es-ES"/>
        </w:rPr>
        <w:t xml:space="preserve">, se </w:t>
      </w:r>
      <w:r w:rsidR="00AD1EF2">
        <w:rPr>
          <w:rFonts w:ascii="Arial" w:hAnsi="Arial" w:cs="Arial"/>
          <w:b/>
          <w:sz w:val="24"/>
          <w:szCs w:val="24"/>
          <w:lang w:val="es-ES_tradnl" w:eastAsia="es-ES"/>
        </w:rPr>
        <w:t xml:space="preserve">le </w:t>
      </w:r>
      <w:r w:rsidRPr="00010BEC">
        <w:rPr>
          <w:rFonts w:ascii="Arial" w:hAnsi="Arial" w:cs="Arial"/>
          <w:b/>
          <w:sz w:val="24"/>
          <w:szCs w:val="24"/>
          <w:lang w:val="es-ES_tradnl" w:eastAsia="es-ES"/>
        </w:rPr>
        <w:t>ha identificado como sujeto obligado  en materia del impuesto de referencia, y que ha incurrido en el incumplimiento de su(s) obligacio(nes</w:t>
      </w:r>
      <w:r w:rsidR="00AD1EF2">
        <w:rPr>
          <w:rFonts w:ascii="Arial" w:hAnsi="Arial" w:cs="Arial"/>
          <w:b/>
          <w:sz w:val="24"/>
          <w:szCs w:val="24"/>
          <w:lang w:val="es-ES_tradnl" w:eastAsia="es-ES"/>
        </w:rPr>
        <w:t>), toda vez que ha transcurrido en exceso</w:t>
      </w:r>
      <w:r w:rsidRPr="00010BEC">
        <w:rPr>
          <w:rFonts w:ascii="Arial" w:hAnsi="Arial" w:cs="Arial"/>
          <w:b/>
          <w:sz w:val="24"/>
          <w:szCs w:val="24"/>
          <w:lang w:val="es-ES_tradnl" w:eastAsia="es-ES"/>
        </w:rPr>
        <w:t xml:space="preserve"> el plazo</w:t>
      </w:r>
      <w:r w:rsidR="00AD1EF2">
        <w:rPr>
          <w:rFonts w:ascii="Arial" w:hAnsi="Arial" w:cs="Arial"/>
          <w:b/>
          <w:sz w:val="24"/>
          <w:szCs w:val="24"/>
          <w:lang w:val="es-ES_tradnl" w:eastAsia="es-ES"/>
        </w:rPr>
        <w:t xml:space="preserve"> a que se refiere el artículo 27</w:t>
      </w:r>
      <w:r w:rsidRPr="00010BEC">
        <w:rPr>
          <w:rFonts w:ascii="Arial" w:hAnsi="Arial" w:cs="Arial"/>
          <w:b/>
          <w:sz w:val="24"/>
          <w:szCs w:val="24"/>
          <w:lang w:val="es-ES_tradnl" w:eastAsia="es-ES"/>
        </w:rPr>
        <w:t xml:space="preserve"> de la Ley Estatal de Hacienda Vigente</w:t>
      </w:r>
      <w:r w:rsidR="00AD1EF2">
        <w:rPr>
          <w:rFonts w:ascii="Arial" w:hAnsi="Arial" w:cs="Arial"/>
          <w:b/>
          <w:sz w:val="24"/>
          <w:szCs w:val="24"/>
          <w:lang w:val="es-ES_tradnl" w:eastAsia="es-ES"/>
        </w:rPr>
        <w:t xml:space="preserve">, </w:t>
      </w:r>
      <w:r w:rsidRPr="00010BEC">
        <w:rPr>
          <w:rFonts w:ascii="Arial" w:hAnsi="Arial" w:cs="Arial"/>
          <w:b/>
          <w:sz w:val="24"/>
          <w:szCs w:val="24"/>
          <w:lang w:val="es-ES_tradnl" w:eastAsia="es-ES"/>
        </w:rPr>
        <w:t xml:space="preserve">para </w:t>
      </w:r>
      <w:r w:rsidR="00AD1EF2">
        <w:rPr>
          <w:rFonts w:ascii="Arial" w:hAnsi="Arial" w:cs="Arial"/>
          <w:b/>
          <w:sz w:val="24"/>
          <w:szCs w:val="24"/>
          <w:lang w:val="es-ES_tradnl" w:eastAsia="es-ES"/>
        </w:rPr>
        <w:t xml:space="preserve">la presentación de </w:t>
      </w:r>
      <w:r w:rsidRPr="00010BEC">
        <w:rPr>
          <w:rFonts w:ascii="Arial" w:hAnsi="Arial" w:cs="Arial"/>
          <w:b/>
          <w:sz w:val="24"/>
          <w:szCs w:val="24"/>
          <w:lang w:val="es-ES_tradnl" w:eastAsia="es-ES"/>
        </w:rPr>
        <w:t>la(s) declaracione(s) bimestrale(s) definitiva(s) y enterar el impuesto que nos ocupa</w:t>
      </w:r>
      <w:r w:rsidR="00AD1EF2">
        <w:rPr>
          <w:rFonts w:ascii="Arial" w:hAnsi="Arial" w:cs="Arial"/>
          <w:b/>
          <w:sz w:val="24"/>
          <w:szCs w:val="24"/>
          <w:lang w:val="es-ES_tradnl" w:eastAsia="es-ES"/>
        </w:rPr>
        <w:t xml:space="preserve">, </w:t>
      </w:r>
      <w:r w:rsidRPr="00010BEC">
        <w:rPr>
          <w:rFonts w:ascii="Arial" w:hAnsi="Arial" w:cs="Arial"/>
          <w:b/>
          <w:sz w:val="24"/>
          <w:szCs w:val="24"/>
          <w:lang w:val="es-ES_tradnl" w:eastAsia="es-ES"/>
        </w:rPr>
        <w:t>conforme a los siguiente:</w:t>
      </w:r>
      <w:r w:rsidR="00010BEC" w:rsidRPr="00010BEC">
        <w:rPr>
          <w:rFonts w:ascii="Arial" w:hAnsi="Arial" w:cs="Arial"/>
          <w:b/>
          <w:sz w:val="24"/>
          <w:szCs w:val="24"/>
          <w:lang w:val="es-ES_tradnl" w:eastAsia="es-ES"/>
        </w:rPr>
        <w:t>…”.</w:t>
      </w:r>
    </w:p>
    <w:p w:rsidR="004E6A5E" w:rsidRDefault="004E6A5E" w:rsidP="00010BEC">
      <w:pPr>
        <w:spacing w:line="360" w:lineRule="auto"/>
        <w:ind w:right="51" w:firstLine="708"/>
        <w:jc w:val="both"/>
        <w:rPr>
          <w:rFonts w:ascii="Arial" w:hAnsi="Arial" w:cs="Arial"/>
          <w:b/>
          <w:sz w:val="24"/>
          <w:szCs w:val="24"/>
          <w:lang w:val="es-ES_tradnl" w:eastAsia="es-ES"/>
        </w:rPr>
      </w:pPr>
    </w:p>
    <w:p w:rsidR="004E6A5E" w:rsidRPr="00010BEC" w:rsidRDefault="004E6A5E" w:rsidP="00010BEC">
      <w:pPr>
        <w:spacing w:line="360" w:lineRule="auto"/>
        <w:ind w:right="51" w:firstLine="708"/>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1276"/>
        <w:gridCol w:w="2126"/>
        <w:gridCol w:w="1953"/>
        <w:gridCol w:w="1601"/>
      </w:tblGrid>
      <w:tr w:rsidR="00223AF2" w:rsidRPr="00E90161" w:rsidTr="00E16240">
        <w:tblPrEx>
          <w:tblCellMar>
            <w:top w:w="0" w:type="dxa"/>
            <w:bottom w:w="0" w:type="dxa"/>
          </w:tblCellMar>
        </w:tblPrEx>
        <w:trPr>
          <w:trHeight w:val="153"/>
        </w:trPr>
        <w:tc>
          <w:tcPr>
            <w:tcW w:w="2176" w:type="dxa"/>
          </w:tcPr>
          <w:p w:rsidR="00223AF2" w:rsidRPr="00E90161" w:rsidRDefault="00223AF2" w:rsidP="00A0313E">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OBLIGACIÓN OMITIDA</w:t>
            </w:r>
          </w:p>
        </w:tc>
        <w:tc>
          <w:tcPr>
            <w:tcW w:w="1276" w:type="dxa"/>
          </w:tcPr>
          <w:p w:rsidR="00223AF2" w:rsidRPr="00E90161" w:rsidRDefault="00223AF2" w:rsidP="00A0313E">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PERIODOS REQUERIDOS</w:t>
            </w:r>
          </w:p>
        </w:tc>
        <w:tc>
          <w:tcPr>
            <w:tcW w:w="2126" w:type="dxa"/>
          </w:tcPr>
          <w:p w:rsidR="00223AF2" w:rsidRPr="00E90161" w:rsidRDefault="00223AF2" w:rsidP="00A0313E">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PLAZO PARA LA PRESENTACIÓN DE LAS DECLARACIONES OMITIDAS</w:t>
            </w:r>
          </w:p>
        </w:tc>
        <w:tc>
          <w:tcPr>
            <w:tcW w:w="1953" w:type="dxa"/>
          </w:tcPr>
          <w:p w:rsidR="00223AF2" w:rsidRPr="00E90161" w:rsidRDefault="00223AF2" w:rsidP="00A0313E">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FECHA DE VENCIMIENTO</w:t>
            </w:r>
          </w:p>
        </w:tc>
        <w:tc>
          <w:tcPr>
            <w:tcW w:w="1601" w:type="dxa"/>
          </w:tcPr>
          <w:p w:rsidR="00223AF2" w:rsidRPr="00E90161" w:rsidRDefault="00223AF2" w:rsidP="00A0313E">
            <w:pPr>
              <w:spacing w:line="360" w:lineRule="auto"/>
              <w:ind w:right="51"/>
              <w:jc w:val="center"/>
              <w:rPr>
                <w:rFonts w:ascii="Arial" w:hAnsi="Arial" w:cs="Arial"/>
                <w:sz w:val="14"/>
                <w:szCs w:val="14"/>
                <w:lang w:val="es-ES_tradnl" w:eastAsia="es-ES"/>
              </w:rPr>
            </w:pPr>
            <w:r w:rsidRPr="00E90161">
              <w:rPr>
                <w:rFonts w:ascii="Arial" w:hAnsi="Arial" w:cs="Arial"/>
                <w:sz w:val="14"/>
                <w:szCs w:val="14"/>
                <w:lang w:val="es-ES_tradnl" w:eastAsia="es-ES"/>
              </w:rPr>
              <w:t>FUNDAMENTO LEGAL</w:t>
            </w:r>
          </w:p>
        </w:tc>
      </w:tr>
      <w:tr w:rsidR="00223AF2" w:rsidRPr="00E90161" w:rsidTr="00C94DBC">
        <w:tblPrEx>
          <w:tblCellMar>
            <w:top w:w="0" w:type="dxa"/>
            <w:bottom w:w="0" w:type="dxa"/>
          </w:tblCellMar>
        </w:tblPrEx>
        <w:trPr>
          <w:trHeight w:val="5610"/>
        </w:trPr>
        <w:tc>
          <w:tcPr>
            <w:tcW w:w="2176" w:type="dxa"/>
          </w:tcPr>
          <w:p w:rsidR="00EC3BD5" w:rsidRDefault="00EC3BD5" w:rsidP="002B48D7">
            <w:pPr>
              <w:spacing w:line="360" w:lineRule="auto"/>
              <w:ind w:right="51"/>
              <w:jc w:val="both"/>
              <w:rPr>
                <w:rFonts w:ascii="Arial" w:hAnsi="Arial" w:cs="Arial"/>
                <w:sz w:val="14"/>
                <w:szCs w:val="14"/>
                <w:lang w:val="es-ES_tradnl" w:eastAsia="es-ES"/>
              </w:rPr>
            </w:pPr>
          </w:p>
          <w:p w:rsidR="00EC3BD5" w:rsidRDefault="00EC3BD5" w:rsidP="002B48D7">
            <w:pPr>
              <w:spacing w:line="360" w:lineRule="auto"/>
              <w:ind w:right="51"/>
              <w:jc w:val="both"/>
              <w:rPr>
                <w:rFonts w:ascii="Arial" w:hAnsi="Arial" w:cs="Arial"/>
                <w:sz w:val="14"/>
                <w:szCs w:val="14"/>
                <w:lang w:val="es-ES_tradnl" w:eastAsia="es-ES"/>
              </w:rPr>
            </w:pPr>
          </w:p>
          <w:p w:rsidR="00EC3BD5" w:rsidRDefault="00EC3BD5" w:rsidP="002B48D7">
            <w:pPr>
              <w:spacing w:line="360" w:lineRule="auto"/>
              <w:ind w:right="51"/>
              <w:jc w:val="both"/>
              <w:rPr>
                <w:rFonts w:ascii="Arial" w:hAnsi="Arial" w:cs="Arial"/>
                <w:sz w:val="14"/>
                <w:szCs w:val="14"/>
                <w:lang w:val="es-ES_tradnl" w:eastAsia="es-ES"/>
              </w:rPr>
            </w:pPr>
          </w:p>
          <w:p w:rsidR="00EC3BD5" w:rsidRDefault="00EC3BD5" w:rsidP="002B48D7">
            <w:pPr>
              <w:spacing w:line="360" w:lineRule="auto"/>
              <w:ind w:right="51"/>
              <w:jc w:val="both"/>
              <w:rPr>
                <w:rFonts w:ascii="Arial" w:hAnsi="Arial" w:cs="Arial"/>
                <w:sz w:val="14"/>
                <w:szCs w:val="14"/>
                <w:lang w:val="es-ES_tradnl" w:eastAsia="es-ES"/>
              </w:rPr>
            </w:pPr>
          </w:p>
          <w:p w:rsidR="00EC3BD5" w:rsidRDefault="00EC3BD5" w:rsidP="002B48D7">
            <w:pPr>
              <w:spacing w:line="360" w:lineRule="auto"/>
              <w:ind w:right="51"/>
              <w:jc w:val="both"/>
              <w:rPr>
                <w:rFonts w:ascii="Arial" w:hAnsi="Arial" w:cs="Arial"/>
                <w:sz w:val="14"/>
                <w:szCs w:val="14"/>
                <w:lang w:val="es-ES_tradnl" w:eastAsia="es-ES"/>
              </w:rPr>
            </w:pPr>
          </w:p>
          <w:p w:rsidR="00EC3BD5" w:rsidRDefault="00EC3BD5" w:rsidP="002B48D7">
            <w:pPr>
              <w:spacing w:line="360" w:lineRule="auto"/>
              <w:ind w:right="51"/>
              <w:jc w:val="both"/>
              <w:rPr>
                <w:rFonts w:ascii="Arial" w:hAnsi="Arial" w:cs="Arial"/>
                <w:sz w:val="14"/>
                <w:szCs w:val="14"/>
                <w:lang w:val="es-ES_tradnl" w:eastAsia="es-ES"/>
              </w:rPr>
            </w:pPr>
          </w:p>
          <w:p w:rsidR="00EC3BD5" w:rsidRDefault="00EC3BD5" w:rsidP="002B48D7">
            <w:pPr>
              <w:spacing w:line="360" w:lineRule="auto"/>
              <w:ind w:right="51"/>
              <w:jc w:val="both"/>
              <w:rPr>
                <w:rFonts w:ascii="Arial" w:hAnsi="Arial" w:cs="Arial"/>
                <w:sz w:val="14"/>
                <w:szCs w:val="14"/>
                <w:lang w:val="es-ES_tradnl" w:eastAsia="es-ES"/>
              </w:rPr>
            </w:pPr>
          </w:p>
          <w:p w:rsidR="00EC3BD5" w:rsidRDefault="00EC3BD5" w:rsidP="002B48D7">
            <w:pPr>
              <w:spacing w:line="360" w:lineRule="auto"/>
              <w:ind w:right="51"/>
              <w:jc w:val="both"/>
              <w:rPr>
                <w:rFonts w:ascii="Arial" w:hAnsi="Arial" w:cs="Arial"/>
                <w:sz w:val="14"/>
                <w:szCs w:val="14"/>
                <w:lang w:val="es-ES_tradnl" w:eastAsia="es-ES"/>
              </w:rPr>
            </w:pPr>
          </w:p>
          <w:p w:rsidR="00223AF2" w:rsidRPr="00E90161" w:rsidRDefault="00EC3BD5" w:rsidP="002B48D7">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P</w:t>
            </w:r>
            <w:r w:rsidR="00223AF2" w:rsidRPr="00E90161">
              <w:rPr>
                <w:rFonts w:ascii="Arial" w:hAnsi="Arial" w:cs="Arial"/>
                <w:sz w:val="14"/>
                <w:szCs w:val="14"/>
                <w:lang w:val="es-ES_tradnl" w:eastAsia="es-ES"/>
              </w:rPr>
              <w:t xml:space="preserve">resentación de las declaracione(s) bimestrale(s) </w:t>
            </w:r>
            <w:r w:rsidR="00AD1EF2" w:rsidRPr="00E90161">
              <w:rPr>
                <w:rFonts w:ascii="Arial" w:hAnsi="Arial" w:cs="Arial"/>
                <w:sz w:val="14"/>
                <w:szCs w:val="14"/>
                <w:lang w:val="es-ES_tradnl" w:eastAsia="es-ES"/>
              </w:rPr>
              <w:t>definitiva(s) del I</w:t>
            </w:r>
            <w:r w:rsidR="00223AF2" w:rsidRPr="00E90161">
              <w:rPr>
                <w:rFonts w:ascii="Arial" w:hAnsi="Arial" w:cs="Arial"/>
                <w:sz w:val="14"/>
                <w:szCs w:val="14"/>
                <w:lang w:val="es-ES_tradnl" w:eastAsia="es-ES"/>
              </w:rPr>
              <w:t xml:space="preserve">mpuesto </w:t>
            </w:r>
            <w:r w:rsidR="002B48D7" w:rsidRPr="00E90161">
              <w:rPr>
                <w:rFonts w:ascii="Arial" w:hAnsi="Arial" w:cs="Arial"/>
                <w:sz w:val="14"/>
                <w:szCs w:val="14"/>
                <w:lang w:val="es-ES_tradnl" w:eastAsia="es-ES"/>
              </w:rPr>
              <w:t>Cedular a los Ingresos por el Otorgamiento del Uso o goce T</w:t>
            </w:r>
            <w:r>
              <w:rPr>
                <w:rFonts w:ascii="Arial" w:hAnsi="Arial" w:cs="Arial"/>
                <w:sz w:val="14"/>
                <w:szCs w:val="14"/>
                <w:lang w:val="es-ES_tradnl" w:eastAsia="es-ES"/>
              </w:rPr>
              <w:t>empor</w:t>
            </w:r>
            <w:r w:rsidR="002B48D7" w:rsidRPr="00E90161">
              <w:rPr>
                <w:rFonts w:ascii="Arial" w:hAnsi="Arial" w:cs="Arial"/>
                <w:sz w:val="14"/>
                <w:szCs w:val="14"/>
                <w:lang w:val="es-ES_tradnl" w:eastAsia="es-ES"/>
              </w:rPr>
              <w:t>al de Bienes Inmuebles.</w:t>
            </w:r>
          </w:p>
        </w:tc>
        <w:tc>
          <w:tcPr>
            <w:tcW w:w="1276" w:type="dxa"/>
          </w:tcPr>
          <w:p w:rsidR="00E90161" w:rsidRPr="00E90161" w:rsidRDefault="00E90161" w:rsidP="00E90161">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 xml:space="preserve">1° </w:t>
            </w:r>
            <w:r>
              <w:rPr>
                <w:rFonts w:ascii="Arial" w:hAnsi="Arial" w:cs="Arial"/>
                <w:sz w:val="14"/>
                <w:szCs w:val="14"/>
                <w:lang w:val="es-ES_tradnl" w:eastAsia="es-ES"/>
              </w:rPr>
              <w:t>bimestre 2013</w:t>
            </w:r>
          </w:p>
          <w:p w:rsidR="00E90161" w:rsidRPr="00E90161" w:rsidRDefault="00E90161"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2° bimestre 2013</w:t>
            </w:r>
          </w:p>
          <w:p w:rsidR="00E90161" w:rsidRPr="00E90161" w:rsidRDefault="00E90161"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3° bimestre 2013</w:t>
            </w:r>
          </w:p>
          <w:p w:rsidR="00E90161" w:rsidRPr="00E90161" w:rsidRDefault="00E90161"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4° bimestre 2013</w:t>
            </w:r>
          </w:p>
          <w:p w:rsidR="00E90161" w:rsidRPr="00E90161" w:rsidRDefault="00E90161"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5° bimestre 2013</w:t>
            </w:r>
          </w:p>
          <w:p w:rsidR="002B48D7" w:rsidRPr="00E90161" w:rsidRDefault="00E90161" w:rsidP="00A0313E">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6° bimestre 2013</w:t>
            </w:r>
          </w:p>
          <w:p w:rsidR="008B325A" w:rsidRPr="00E90161" w:rsidRDefault="00223AF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 xml:space="preserve">1° </w:t>
            </w:r>
            <w:r w:rsidR="0030015A" w:rsidRPr="00E90161">
              <w:rPr>
                <w:rFonts w:ascii="Arial" w:hAnsi="Arial" w:cs="Arial"/>
                <w:sz w:val="14"/>
                <w:szCs w:val="14"/>
                <w:lang w:val="es-ES_tradnl" w:eastAsia="es-ES"/>
              </w:rPr>
              <w:t>bimestre 2014</w:t>
            </w:r>
          </w:p>
          <w:p w:rsidR="008B325A" w:rsidRPr="00E90161" w:rsidRDefault="0030015A"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2° bimestre 2014</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3° bimestre 2014</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4° bimestre 2014</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5° bimestre 2014</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6° bimestre 2014</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bimestre 2015</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2° bimestre 2015</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3° bimestre 2015</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4° bimestre 2015</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5° bimestre 2015</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4° bimestre 2016</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5° bimestre 2016</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6° bimestre 2016</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bimestre 2017</w:t>
            </w:r>
          </w:p>
          <w:p w:rsidR="008B325A" w:rsidRPr="00E90161" w:rsidRDefault="0030015A" w:rsidP="0030015A">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2° bimestre 2017</w:t>
            </w:r>
          </w:p>
          <w:p w:rsidR="0030015A" w:rsidRPr="00E90161" w:rsidRDefault="0030015A" w:rsidP="00FF53CD">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3° bimestre 2017</w:t>
            </w:r>
          </w:p>
        </w:tc>
        <w:tc>
          <w:tcPr>
            <w:tcW w:w="2126" w:type="dxa"/>
          </w:tcPr>
          <w:p w:rsidR="00E90161" w:rsidRPr="00E90161" w:rsidRDefault="00E16240"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 al 17 de marzo del 2013</w:t>
            </w:r>
          </w:p>
          <w:p w:rsidR="00E90161" w:rsidRPr="00E90161" w:rsidRDefault="00E16240"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 al 17 de mayo del 2013</w:t>
            </w:r>
          </w:p>
          <w:p w:rsidR="00E90161" w:rsidRPr="00E90161" w:rsidRDefault="00C8715F"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 al 17 de julio</w:t>
            </w:r>
            <w:r w:rsidR="00E16240">
              <w:rPr>
                <w:rFonts w:ascii="Arial" w:hAnsi="Arial" w:cs="Arial"/>
                <w:sz w:val="14"/>
                <w:szCs w:val="14"/>
                <w:lang w:val="es-ES_tradnl" w:eastAsia="es-ES"/>
              </w:rPr>
              <w:t xml:space="preserve"> del 2013</w:t>
            </w:r>
          </w:p>
          <w:p w:rsidR="00E90161" w:rsidRPr="00E90161" w:rsidRDefault="00E16240"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 al 17 de septiembre del 2013</w:t>
            </w:r>
          </w:p>
          <w:p w:rsidR="00E90161" w:rsidRDefault="00E16240"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 al 17 de noviembre del 2013</w:t>
            </w:r>
          </w:p>
          <w:p w:rsidR="00C94DBC" w:rsidRPr="00E90161" w:rsidRDefault="00C94DBC" w:rsidP="00C94DBC">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 al 17 de enero del 2014</w:t>
            </w:r>
          </w:p>
          <w:p w:rsidR="00223AF2" w:rsidRPr="00E90161" w:rsidRDefault="001B2C9B"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marzo del 2014</w:t>
            </w:r>
          </w:p>
          <w:p w:rsidR="00223AF2" w:rsidRPr="00E90161" w:rsidRDefault="001B2C9B"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mayo del 2014</w:t>
            </w:r>
          </w:p>
          <w:p w:rsidR="001B2C9B" w:rsidRPr="00E90161" w:rsidRDefault="00C94DBC" w:rsidP="001B2C9B">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 al 17 de julio</w:t>
            </w:r>
            <w:r w:rsidR="001B2C9B" w:rsidRPr="00E90161">
              <w:rPr>
                <w:rFonts w:ascii="Arial" w:hAnsi="Arial" w:cs="Arial"/>
                <w:sz w:val="14"/>
                <w:szCs w:val="14"/>
                <w:lang w:val="es-ES_tradnl" w:eastAsia="es-ES"/>
              </w:rPr>
              <w:t xml:space="preserve"> del 2014</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septiembre del 2014</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noviembre del 2014</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enero del 2015</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marzo del 2015</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mayo del 2015</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julio del 2015</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septiembre del 2015</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noviembre del 2015</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septiembre del 2016</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noviembre del 2016</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enero del 2017</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marzo del 2017</w:t>
            </w:r>
          </w:p>
          <w:p w:rsidR="001B2C9B" w:rsidRPr="00E90161" w:rsidRDefault="001B2C9B" w:rsidP="001B2C9B">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mayo del 2017</w:t>
            </w:r>
          </w:p>
          <w:p w:rsidR="00223AF2" w:rsidRPr="00E90161" w:rsidRDefault="001B2C9B" w:rsidP="00FF53CD">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 al 17 de julio del 2017</w:t>
            </w:r>
          </w:p>
        </w:tc>
        <w:tc>
          <w:tcPr>
            <w:tcW w:w="1953" w:type="dxa"/>
          </w:tcPr>
          <w:p w:rsidR="00E90161" w:rsidRPr="00E90161" w:rsidRDefault="00C94DBC"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18</w:t>
            </w:r>
            <w:r w:rsidR="00E90161" w:rsidRPr="00E90161">
              <w:rPr>
                <w:rFonts w:ascii="Arial" w:hAnsi="Arial" w:cs="Arial"/>
                <w:sz w:val="14"/>
                <w:szCs w:val="14"/>
                <w:lang w:val="es-ES_tradnl" w:eastAsia="es-ES"/>
              </w:rPr>
              <w:t xml:space="preserve"> de marz</w:t>
            </w:r>
            <w:r>
              <w:rPr>
                <w:rFonts w:ascii="Arial" w:hAnsi="Arial" w:cs="Arial"/>
                <w:sz w:val="14"/>
                <w:szCs w:val="14"/>
                <w:lang w:val="es-ES_tradnl" w:eastAsia="es-ES"/>
              </w:rPr>
              <w:t>o del 2013</w:t>
            </w:r>
          </w:p>
          <w:p w:rsidR="00E90161" w:rsidRPr="00E90161" w:rsidRDefault="00C94DBC"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17 de mayo de 2013</w:t>
            </w:r>
          </w:p>
          <w:p w:rsidR="00E90161" w:rsidRPr="00E90161" w:rsidRDefault="00C94DBC"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17 de julio de 2013</w:t>
            </w:r>
          </w:p>
          <w:p w:rsidR="00E90161" w:rsidRPr="00E90161" w:rsidRDefault="00C94DBC"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17 de septiembre de 2013</w:t>
            </w:r>
          </w:p>
          <w:p w:rsidR="00E90161" w:rsidRDefault="00C94DBC" w:rsidP="00E90161">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18 de noviembre de 2013</w:t>
            </w:r>
          </w:p>
          <w:p w:rsidR="00C94DBC" w:rsidRPr="00E90161" w:rsidRDefault="00C94DBC" w:rsidP="00C94DBC">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17 de enero de 2014</w:t>
            </w:r>
          </w:p>
          <w:p w:rsidR="006B7712"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marzo del 2014</w:t>
            </w:r>
          </w:p>
          <w:p w:rsidR="006B7712" w:rsidRPr="00E90161" w:rsidRDefault="008B325A"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19 de mayo de 2014</w:t>
            </w:r>
          </w:p>
          <w:p w:rsidR="008B325A"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julio de 2014</w:t>
            </w:r>
          </w:p>
          <w:p w:rsidR="006B7712"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septiembre de 2014</w:t>
            </w:r>
          </w:p>
          <w:p w:rsidR="006B7712"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noviembre de 2014</w:t>
            </w:r>
          </w:p>
          <w:p w:rsidR="006B7712"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19 de enero de 2015</w:t>
            </w:r>
          </w:p>
          <w:p w:rsidR="006B7712"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marzo de 2015</w:t>
            </w:r>
          </w:p>
          <w:p w:rsidR="006B7712"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18 de mayo de 2015</w:t>
            </w:r>
          </w:p>
          <w:p w:rsidR="008B325A"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julio de 2015</w:t>
            </w:r>
          </w:p>
          <w:p w:rsidR="006B7712"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septiembre de 2015</w:t>
            </w:r>
          </w:p>
          <w:p w:rsidR="006B7712" w:rsidRPr="00E90161" w:rsidRDefault="006B771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noviembre de 2015</w:t>
            </w:r>
          </w:p>
          <w:p w:rsidR="006B7712" w:rsidRPr="00E90161" w:rsidRDefault="006B7712" w:rsidP="006B7712">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19 de septiembre de 2016</w:t>
            </w:r>
          </w:p>
          <w:p w:rsidR="006B7712" w:rsidRPr="00E90161" w:rsidRDefault="006B7712" w:rsidP="006B7712">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noviembre de 2016</w:t>
            </w:r>
          </w:p>
          <w:p w:rsidR="006B7712" w:rsidRPr="00E90161" w:rsidRDefault="006B7712" w:rsidP="006B7712">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enero de 2017</w:t>
            </w:r>
          </w:p>
          <w:p w:rsidR="006B7712" w:rsidRPr="00E90161" w:rsidRDefault="006B7712" w:rsidP="006B7712">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marzo de 2017</w:t>
            </w:r>
          </w:p>
          <w:p w:rsidR="006B7712" w:rsidRPr="00E90161" w:rsidRDefault="006B7712" w:rsidP="006B7712">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mayo de 2017</w:t>
            </w:r>
          </w:p>
          <w:p w:rsidR="006B7712" w:rsidRPr="00E90161" w:rsidRDefault="006B7712" w:rsidP="00FF53CD">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17 de julio de 2017</w:t>
            </w:r>
          </w:p>
        </w:tc>
        <w:tc>
          <w:tcPr>
            <w:tcW w:w="1601" w:type="dxa"/>
          </w:tcPr>
          <w:p w:rsidR="00EC3BD5" w:rsidRDefault="00EC3BD5" w:rsidP="00A0313E">
            <w:pPr>
              <w:spacing w:line="360" w:lineRule="auto"/>
              <w:ind w:right="51"/>
              <w:jc w:val="both"/>
              <w:rPr>
                <w:rFonts w:ascii="Arial" w:hAnsi="Arial" w:cs="Arial"/>
                <w:sz w:val="14"/>
                <w:szCs w:val="14"/>
                <w:lang w:val="es-ES_tradnl" w:eastAsia="es-ES"/>
              </w:rPr>
            </w:pPr>
          </w:p>
          <w:p w:rsidR="00EC3BD5" w:rsidRDefault="00EC3BD5" w:rsidP="00A0313E">
            <w:pPr>
              <w:spacing w:line="360" w:lineRule="auto"/>
              <w:ind w:right="51"/>
              <w:jc w:val="both"/>
              <w:rPr>
                <w:rFonts w:ascii="Arial" w:hAnsi="Arial" w:cs="Arial"/>
                <w:sz w:val="14"/>
                <w:szCs w:val="14"/>
                <w:lang w:val="es-ES_tradnl" w:eastAsia="es-ES"/>
              </w:rPr>
            </w:pPr>
          </w:p>
          <w:p w:rsidR="00EC3BD5" w:rsidRDefault="00EC3BD5" w:rsidP="00A0313E">
            <w:pPr>
              <w:spacing w:line="360" w:lineRule="auto"/>
              <w:ind w:right="51"/>
              <w:jc w:val="both"/>
              <w:rPr>
                <w:rFonts w:ascii="Arial" w:hAnsi="Arial" w:cs="Arial"/>
                <w:sz w:val="14"/>
                <w:szCs w:val="14"/>
                <w:lang w:val="es-ES_tradnl" w:eastAsia="es-ES"/>
              </w:rPr>
            </w:pPr>
          </w:p>
          <w:p w:rsidR="00EC3BD5" w:rsidRDefault="00EC3BD5" w:rsidP="00A0313E">
            <w:pPr>
              <w:spacing w:line="360" w:lineRule="auto"/>
              <w:ind w:right="51"/>
              <w:jc w:val="both"/>
              <w:rPr>
                <w:rFonts w:ascii="Arial" w:hAnsi="Arial" w:cs="Arial"/>
                <w:sz w:val="14"/>
                <w:szCs w:val="14"/>
                <w:lang w:val="es-ES_tradnl" w:eastAsia="es-ES"/>
              </w:rPr>
            </w:pPr>
          </w:p>
          <w:p w:rsidR="00EC3BD5" w:rsidRDefault="00EC3BD5" w:rsidP="00A0313E">
            <w:pPr>
              <w:spacing w:line="360" w:lineRule="auto"/>
              <w:ind w:right="51"/>
              <w:jc w:val="both"/>
              <w:rPr>
                <w:rFonts w:ascii="Arial" w:hAnsi="Arial" w:cs="Arial"/>
                <w:sz w:val="14"/>
                <w:szCs w:val="14"/>
                <w:lang w:val="es-ES_tradnl" w:eastAsia="es-ES"/>
              </w:rPr>
            </w:pPr>
          </w:p>
          <w:p w:rsidR="00EC3BD5" w:rsidRDefault="00EC3BD5" w:rsidP="00A0313E">
            <w:pPr>
              <w:spacing w:line="360" w:lineRule="auto"/>
              <w:ind w:right="51"/>
              <w:jc w:val="both"/>
              <w:rPr>
                <w:rFonts w:ascii="Arial" w:hAnsi="Arial" w:cs="Arial"/>
                <w:sz w:val="14"/>
                <w:szCs w:val="14"/>
                <w:lang w:val="es-ES_tradnl" w:eastAsia="es-ES"/>
              </w:rPr>
            </w:pPr>
          </w:p>
          <w:p w:rsidR="00EC3BD5" w:rsidRDefault="00EC3BD5" w:rsidP="00A0313E">
            <w:pPr>
              <w:spacing w:line="360" w:lineRule="auto"/>
              <w:ind w:right="51"/>
              <w:jc w:val="both"/>
              <w:rPr>
                <w:rFonts w:ascii="Arial" w:hAnsi="Arial" w:cs="Arial"/>
                <w:sz w:val="14"/>
                <w:szCs w:val="14"/>
                <w:lang w:val="es-ES_tradnl" w:eastAsia="es-ES"/>
              </w:rPr>
            </w:pPr>
          </w:p>
          <w:p w:rsidR="002B48D7" w:rsidRDefault="002B48D7"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Artículo 27</w:t>
            </w:r>
            <w:r w:rsidR="00223AF2" w:rsidRPr="00E90161">
              <w:rPr>
                <w:rFonts w:ascii="Arial" w:hAnsi="Arial" w:cs="Arial"/>
                <w:sz w:val="14"/>
                <w:szCs w:val="14"/>
                <w:lang w:val="es-ES_tradnl" w:eastAsia="es-ES"/>
              </w:rPr>
              <w:t xml:space="preserve"> de la Ley Estatal de Hacienda vigente</w:t>
            </w:r>
            <w:r w:rsidRPr="00E90161">
              <w:rPr>
                <w:rFonts w:ascii="Arial" w:hAnsi="Arial" w:cs="Arial"/>
                <w:sz w:val="14"/>
                <w:szCs w:val="14"/>
                <w:lang w:val="es-ES_tradnl" w:eastAsia="es-ES"/>
              </w:rPr>
              <w:t>.</w:t>
            </w:r>
          </w:p>
          <w:p w:rsidR="004E6A5E" w:rsidRPr="00E90161" w:rsidRDefault="004E6A5E" w:rsidP="00A0313E">
            <w:pPr>
              <w:spacing w:line="360" w:lineRule="auto"/>
              <w:ind w:right="51"/>
              <w:jc w:val="both"/>
              <w:rPr>
                <w:rFonts w:ascii="Arial" w:hAnsi="Arial" w:cs="Arial"/>
                <w:sz w:val="14"/>
                <w:szCs w:val="14"/>
                <w:lang w:val="es-ES_tradnl" w:eastAsia="es-ES"/>
              </w:rPr>
            </w:pPr>
          </w:p>
          <w:p w:rsidR="00223AF2" w:rsidRPr="00E90161" w:rsidRDefault="00223AF2" w:rsidP="00A0313E">
            <w:pPr>
              <w:spacing w:line="360" w:lineRule="auto"/>
              <w:ind w:right="51"/>
              <w:jc w:val="both"/>
              <w:rPr>
                <w:rFonts w:ascii="Arial" w:hAnsi="Arial" w:cs="Arial"/>
                <w:sz w:val="14"/>
                <w:szCs w:val="14"/>
                <w:lang w:val="es-ES_tradnl" w:eastAsia="es-ES"/>
              </w:rPr>
            </w:pPr>
            <w:r w:rsidRPr="00E90161">
              <w:rPr>
                <w:rFonts w:ascii="Arial" w:hAnsi="Arial" w:cs="Arial"/>
                <w:sz w:val="14"/>
                <w:szCs w:val="14"/>
                <w:lang w:val="es-ES_tradnl" w:eastAsia="es-ES"/>
              </w:rPr>
              <w:t>Artículo 123 párrafo segundo y último del Código Fiscal del estado de Oaxaca</w:t>
            </w:r>
            <w:r w:rsidR="002B48D7" w:rsidRPr="00E90161">
              <w:rPr>
                <w:rFonts w:ascii="Arial" w:hAnsi="Arial" w:cs="Arial"/>
                <w:sz w:val="14"/>
                <w:szCs w:val="14"/>
                <w:lang w:val="es-ES_tradnl" w:eastAsia="es-ES"/>
              </w:rPr>
              <w:t xml:space="preserve"> vigente. </w:t>
            </w:r>
          </w:p>
        </w:tc>
      </w:tr>
    </w:tbl>
    <w:p w:rsidR="00223AF2" w:rsidRDefault="00223AF2" w:rsidP="00223AF2">
      <w:pPr>
        <w:spacing w:line="360" w:lineRule="auto"/>
        <w:ind w:right="51"/>
        <w:jc w:val="both"/>
        <w:rPr>
          <w:rFonts w:ascii="Arial" w:hAnsi="Arial" w:cs="Arial"/>
          <w:sz w:val="24"/>
          <w:szCs w:val="24"/>
          <w:lang w:val="es-ES_tradnl" w:eastAsia="es-ES"/>
        </w:rPr>
      </w:pPr>
    </w:p>
    <w:p w:rsidR="00903828" w:rsidRDefault="00903828" w:rsidP="00223AF2">
      <w:pPr>
        <w:spacing w:line="360" w:lineRule="auto"/>
        <w:ind w:right="51"/>
        <w:jc w:val="both"/>
        <w:rPr>
          <w:rFonts w:ascii="Arial" w:hAnsi="Arial" w:cs="Arial"/>
          <w:sz w:val="24"/>
          <w:szCs w:val="24"/>
          <w:lang w:val="es-ES_tradnl" w:eastAsia="es-ES"/>
        </w:rPr>
      </w:pPr>
    </w:p>
    <w:p w:rsidR="00223AF2" w:rsidRPr="00010BEC" w:rsidRDefault="00223AF2" w:rsidP="00223AF2">
      <w:pPr>
        <w:spacing w:line="360" w:lineRule="auto"/>
        <w:ind w:right="51" w:firstLine="708"/>
        <w:jc w:val="both"/>
        <w:rPr>
          <w:rFonts w:ascii="Arial" w:hAnsi="Arial" w:cs="Arial"/>
          <w:b/>
          <w:sz w:val="24"/>
          <w:szCs w:val="24"/>
          <w:lang w:val="es-ES_tradnl" w:eastAsia="es-ES"/>
        </w:rPr>
      </w:pPr>
      <w:r w:rsidRPr="00010BEC">
        <w:rPr>
          <w:rFonts w:ascii="Arial" w:hAnsi="Arial" w:cs="Arial"/>
          <w:sz w:val="24"/>
          <w:szCs w:val="24"/>
          <w:lang w:val="es-ES_tradnl" w:eastAsia="es-ES"/>
        </w:rPr>
        <w:t xml:space="preserve">Así también, la autoridad señala: </w:t>
      </w:r>
      <w:r w:rsidRPr="00010BEC">
        <w:rPr>
          <w:rFonts w:ascii="Arial" w:hAnsi="Arial" w:cs="Arial"/>
          <w:b/>
          <w:sz w:val="24"/>
          <w:szCs w:val="24"/>
          <w:lang w:val="es-ES_tradnl" w:eastAsia="es-ES"/>
        </w:rPr>
        <w:t>“… Considerando que</w:t>
      </w:r>
      <w:r w:rsidR="00FA0560" w:rsidRPr="00010BEC">
        <w:rPr>
          <w:rFonts w:ascii="Arial" w:hAnsi="Arial" w:cs="Arial"/>
          <w:b/>
          <w:sz w:val="24"/>
          <w:szCs w:val="24"/>
          <w:lang w:val="es-ES_tradnl" w:eastAsia="es-ES"/>
        </w:rPr>
        <w:t xml:space="preserve"> con fecha 1</w:t>
      </w:r>
      <w:r w:rsidR="00C8715F">
        <w:rPr>
          <w:rFonts w:ascii="Arial" w:hAnsi="Arial" w:cs="Arial"/>
          <w:b/>
          <w:sz w:val="24"/>
          <w:szCs w:val="24"/>
          <w:lang w:val="es-ES_tradnl" w:eastAsia="es-ES"/>
        </w:rPr>
        <w:t>3 de Agosto de 2015</w:t>
      </w:r>
      <w:r w:rsidRPr="00010BEC">
        <w:rPr>
          <w:rFonts w:ascii="Arial" w:hAnsi="Arial" w:cs="Arial"/>
          <w:b/>
          <w:sz w:val="24"/>
          <w:szCs w:val="24"/>
          <w:lang w:val="es-ES_tradnl" w:eastAsia="es-ES"/>
        </w:rPr>
        <w:t xml:space="preserve">, usted presentó  ante la delegación  o Subdelegación  Fiscal  </w:t>
      </w:r>
      <w:r w:rsidR="00C8715F">
        <w:rPr>
          <w:rFonts w:ascii="Arial" w:hAnsi="Arial" w:cs="Arial"/>
          <w:b/>
          <w:sz w:val="24"/>
          <w:szCs w:val="24"/>
          <w:lang w:val="es-ES_tradnl" w:eastAsia="es-ES"/>
        </w:rPr>
        <w:t xml:space="preserve">correspondiente a su </w:t>
      </w:r>
      <w:r w:rsidRPr="00010BEC">
        <w:rPr>
          <w:rFonts w:ascii="Arial" w:hAnsi="Arial" w:cs="Arial"/>
          <w:b/>
          <w:sz w:val="24"/>
          <w:szCs w:val="24"/>
          <w:lang w:val="es-ES_tradnl" w:eastAsia="es-ES"/>
        </w:rPr>
        <w:t xml:space="preserve">domicilio fiscal, formulario múltiple de Registro Estatal  de Contribuyentes a fin de </w:t>
      </w:r>
      <w:r w:rsidRPr="00010BEC">
        <w:rPr>
          <w:rFonts w:ascii="Arial" w:hAnsi="Arial" w:cs="Arial"/>
          <w:b/>
          <w:sz w:val="24"/>
          <w:szCs w:val="24"/>
          <w:lang w:val="es-ES_tradnl" w:eastAsia="es-ES"/>
        </w:rPr>
        <w:lastRenderedPageBreak/>
        <w:t xml:space="preserve">quedar inscrito(a), con la obligación  del Impuesto </w:t>
      </w:r>
      <w:r w:rsidR="00C8715F">
        <w:rPr>
          <w:rFonts w:ascii="Arial" w:hAnsi="Arial" w:cs="Arial"/>
          <w:b/>
          <w:sz w:val="24"/>
          <w:szCs w:val="24"/>
          <w:lang w:val="es-ES_tradnl" w:eastAsia="es-ES"/>
        </w:rPr>
        <w:t>Cedular a los Ingresos por el Otorgamiento del Uso o Goce Temporal de Bienes Inmuebles</w:t>
      </w:r>
      <w:r w:rsidRPr="00010BEC">
        <w:rPr>
          <w:rFonts w:ascii="Arial" w:hAnsi="Arial" w:cs="Arial"/>
          <w:b/>
          <w:sz w:val="24"/>
          <w:szCs w:val="24"/>
          <w:lang w:val="es-ES_tradnl" w:eastAsia="es-ES"/>
        </w:rPr>
        <w:t>; y a la fe</w:t>
      </w:r>
      <w:r w:rsidR="00C8715F">
        <w:rPr>
          <w:rFonts w:ascii="Arial" w:hAnsi="Arial" w:cs="Arial"/>
          <w:b/>
          <w:sz w:val="24"/>
          <w:szCs w:val="24"/>
          <w:lang w:val="es-ES_tradnl" w:eastAsia="es-ES"/>
        </w:rPr>
        <w:t>cha esta secretaría</w:t>
      </w:r>
      <w:r w:rsidRPr="00010BEC">
        <w:rPr>
          <w:rFonts w:ascii="Arial" w:hAnsi="Arial" w:cs="Arial"/>
          <w:b/>
          <w:sz w:val="24"/>
          <w:szCs w:val="24"/>
          <w:lang w:val="es-ES_tradnl" w:eastAsia="es-ES"/>
        </w:rPr>
        <w:t xml:space="preserve"> no cuenta con documentales</w:t>
      </w:r>
      <w:r w:rsidR="004E6A5E">
        <w:rPr>
          <w:rFonts w:ascii="Arial" w:hAnsi="Arial" w:cs="Arial"/>
          <w:b/>
          <w:sz w:val="24"/>
          <w:szCs w:val="24"/>
          <w:lang w:val="es-ES_tradnl" w:eastAsia="es-ES"/>
        </w:rPr>
        <w:t xml:space="preserve"> (sic) </w:t>
      </w:r>
      <w:r w:rsidRPr="00010BEC">
        <w:rPr>
          <w:rFonts w:ascii="Arial" w:hAnsi="Arial" w:cs="Arial"/>
          <w:b/>
          <w:sz w:val="24"/>
          <w:szCs w:val="24"/>
          <w:lang w:val="es-ES_tradnl" w:eastAsia="es-ES"/>
        </w:rPr>
        <w:t>embargo esta autoridad fiscal determina impone el monto mínimo el cual es equivalente a cincuenta veces el Valor de Unidad de Medida y Actualización, publicada en el Diario Oficial de la Federación, vigente a</w:t>
      </w:r>
      <w:r w:rsidR="00F9148E">
        <w:rPr>
          <w:rFonts w:ascii="Arial" w:hAnsi="Arial" w:cs="Arial"/>
          <w:b/>
          <w:sz w:val="24"/>
          <w:szCs w:val="24"/>
          <w:lang w:val="es-ES_tradnl" w:eastAsia="es-ES"/>
        </w:rPr>
        <w:t xml:space="preserve"> partir del 1 de febrero de 2017</w:t>
      </w:r>
      <w:r w:rsidRPr="00010BEC">
        <w:rPr>
          <w:rFonts w:ascii="Arial" w:hAnsi="Arial" w:cs="Arial"/>
          <w:b/>
          <w:sz w:val="24"/>
          <w:szCs w:val="24"/>
          <w:lang w:val="es-ES_tradnl" w:eastAsia="es-ES"/>
        </w:rPr>
        <w:t xml:space="preserve">, por considerar que no existe agravantes ni antecedentes del contribuyente, </w:t>
      </w:r>
      <w:r w:rsidR="00F9148E">
        <w:rPr>
          <w:rFonts w:ascii="Arial" w:hAnsi="Arial" w:cs="Arial"/>
          <w:b/>
          <w:sz w:val="24"/>
          <w:szCs w:val="24"/>
          <w:lang w:val="es-ES_tradnl" w:eastAsia="es-ES"/>
        </w:rPr>
        <w:t xml:space="preserve">en consecuencia se le impone la multa citada </w:t>
      </w:r>
      <w:r w:rsidRPr="00010BEC">
        <w:rPr>
          <w:rFonts w:ascii="Arial" w:hAnsi="Arial" w:cs="Arial"/>
          <w:b/>
          <w:sz w:val="24"/>
          <w:szCs w:val="24"/>
          <w:lang w:val="es-ES_tradnl" w:eastAsia="es-ES"/>
        </w:rPr>
        <w:t>en los términos siguientes: …”</w:t>
      </w:r>
      <w:r w:rsidR="00F9148E">
        <w:rPr>
          <w:rFonts w:ascii="Arial" w:hAnsi="Arial" w:cs="Arial"/>
          <w:b/>
          <w:sz w:val="24"/>
          <w:szCs w:val="24"/>
          <w:lang w:val="es-ES_tradnl" w:eastAsia="es-ES"/>
        </w:rPr>
        <w:t xml:space="preserve">- - - - - - - - </w:t>
      </w:r>
      <w:r w:rsidR="004E6A5E">
        <w:rPr>
          <w:rFonts w:ascii="Arial" w:hAnsi="Arial" w:cs="Arial"/>
          <w:b/>
          <w:sz w:val="24"/>
          <w:szCs w:val="24"/>
          <w:lang w:val="es-ES_tradnl" w:eastAsia="es-ES"/>
        </w:rPr>
        <w:t xml:space="preserve">- - - - - - - - - - </w:t>
      </w:r>
      <w:r w:rsidR="00884B24">
        <w:rPr>
          <w:rFonts w:ascii="Arial" w:hAnsi="Arial" w:cs="Arial"/>
          <w:b/>
          <w:sz w:val="24"/>
          <w:szCs w:val="24"/>
          <w:lang w:val="es-ES_tradnl" w:eastAsia="es-ES"/>
        </w:rPr>
        <w:t xml:space="preserve">- - - - - - - - - - - - </w:t>
      </w:r>
    </w:p>
    <w:p w:rsidR="00223AF2" w:rsidRDefault="00223AF2" w:rsidP="00223AF2">
      <w:pPr>
        <w:spacing w:line="360" w:lineRule="auto"/>
        <w:ind w:right="51"/>
        <w:jc w:val="both"/>
        <w:rPr>
          <w:rFonts w:ascii="Arial" w:hAnsi="Arial" w:cs="Arial"/>
          <w:sz w:val="24"/>
          <w:szCs w:val="24"/>
          <w:lang w:val="es-ES_tradnl" w:eastAsia="es-ES"/>
        </w:rPr>
      </w:pPr>
    </w:p>
    <w:p w:rsidR="00445A43" w:rsidRPr="00010BEC" w:rsidRDefault="00445A43" w:rsidP="00223AF2">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010BEC" w:rsidTr="00A0313E">
        <w:tblPrEx>
          <w:tblCellMar>
            <w:top w:w="0" w:type="dxa"/>
            <w:bottom w:w="0" w:type="dxa"/>
          </w:tblCellMar>
        </w:tblPrEx>
        <w:trPr>
          <w:trHeight w:val="153"/>
        </w:trPr>
        <w:tc>
          <w:tcPr>
            <w:tcW w:w="2491"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INFRACCIÓN</w:t>
            </w:r>
          </w:p>
        </w:tc>
        <w:tc>
          <w:tcPr>
            <w:tcW w:w="1745"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 xml:space="preserve">SANCION </w:t>
            </w:r>
          </w:p>
        </w:tc>
        <w:tc>
          <w:tcPr>
            <w:tcW w:w="1722"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UMA VIGENTE</w:t>
            </w:r>
          </w:p>
        </w:tc>
        <w:tc>
          <w:tcPr>
            <w:tcW w:w="1573" w:type="dxa"/>
          </w:tcPr>
          <w:p w:rsidR="00223AF2" w:rsidRPr="00010BEC" w:rsidRDefault="00223AF2" w:rsidP="00A0313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MULTA A PAGAR</w:t>
            </w:r>
          </w:p>
        </w:tc>
      </w:tr>
      <w:tr w:rsidR="00223AF2" w:rsidRPr="00010BEC" w:rsidTr="00A0313E">
        <w:tblPrEx>
          <w:tblCellMar>
            <w:top w:w="0" w:type="dxa"/>
            <w:bottom w:w="0" w:type="dxa"/>
          </w:tblCellMar>
        </w:tblPrEx>
        <w:trPr>
          <w:trHeight w:val="336"/>
        </w:trPr>
        <w:tc>
          <w:tcPr>
            <w:tcW w:w="2491" w:type="dxa"/>
          </w:tcPr>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eastAsia="es-ES"/>
              </w:rPr>
              <w:t>Artículo 269 fracción I del Código Fiscal para el Estado de Oaxaca vigente.</w:t>
            </w:r>
          </w:p>
        </w:tc>
        <w:tc>
          <w:tcPr>
            <w:tcW w:w="1745" w:type="dxa"/>
          </w:tcPr>
          <w:p w:rsidR="00F9148E" w:rsidRDefault="00223AF2" w:rsidP="00F9148E">
            <w:pPr>
              <w:spacing w:line="360" w:lineRule="auto"/>
              <w:ind w:right="51"/>
              <w:jc w:val="center"/>
              <w:rPr>
                <w:rFonts w:ascii="Arial" w:hAnsi="Arial" w:cs="Arial"/>
                <w:sz w:val="16"/>
                <w:szCs w:val="16"/>
                <w:lang w:val="es-ES_tradnl" w:eastAsia="es-ES"/>
              </w:rPr>
            </w:pPr>
            <w:r w:rsidRPr="00010BEC">
              <w:rPr>
                <w:rFonts w:ascii="Arial" w:hAnsi="Arial" w:cs="Arial"/>
                <w:sz w:val="16"/>
                <w:szCs w:val="16"/>
                <w:lang w:val="es-ES_tradnl" w:eastAsia="es-ES"/>
              </w:rPr>
              <w:t>50 UMA</w:t>
            </w:r>
          </w:p>
          <w:p w:rsidR="00223AF2" w:rsidRPr="00010BEC" w:rsidRDefault="00223AF2" w:rsidP="00A0313E">
            <w:pPr>
              <w:spacing w:line="360" w:lineRule="auto"/>
              <w:ind w:right="51"/>
              <w:jc w:val="both"/>
              <w:rPr>
                <w:rFonts w:ascii="Arial" w:hAnsi="Arial" w:cs="Arial"/>
                <w:sz w:val="16"/>
                <w:szCs w:val="16"/>
                <w:lang w:val="es-ES_tradnl" w:eastAsia="es-ES"/>
              </w:rPr>
            </w:pPr>
            <w:r w:rsidRPr="00010BEC">
              <w:rPr>
                <w:rFonts w:ascii="Arial" w:hAnsi="Arial" w:cs="Arial"/>
                <w:sz w:val="16"/>
                <w:szCs w:val="16"/>
                <w:lang w:val="es-ES_tradnl" w:eastAsia="es-ES"/>
              </w:rPr>
              <w:t xml:space="preserve">Artículo 269 Fracción I del Código Fiscal para el Estado de Oaxaca vigente. </w:t>
            </w:r>
          </w:p>
        </w:tc>
        <w:tc>
          <w:tcPr>
            <w:tcW w:w="1722" w:type="dxa"/>
          </w:tcPr>
          <w:p w:rsidR="00223AF2" w:rsidRPr="00010BEC" w:rsidRDefault="003932AE"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 xml:space="preserve">          $75.49</w:t>
            </w:r>
          </w:p>
        </w:tc>
        <w:tc>
          <w:tcPr>
            <w:tcW w:w="1573" w:type="dxa"/>
          </w:tcPr>
          <w:p w:rsidR="00223AF2" w:rsidRPr="00010BEC" w:rsidRDefault="003932AE"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$ 3,775</w:t>
            </w:r>
            <w:r w:rsidR="00223AF2" w:rsidRPr="00010BEC">
              <w:rPr>
                <w:rFonts w:ascii="Arial" w:hAnsi="Arial" w:cs="Arial"/>
                <w:sz w:val="16"/>
                <w:szCs w:val="16"/>
                <w:lang w:val="es-ES_tradnl" w:eastAsia="es-ES"/>
              </w:rPr>
              <w:t>.00</w:t>
            </w:r>
          </w:p>
        </w:tc>
      </w:tr>
    </w:tbl>
    <w:p w:rsidR="00903828" w:rsidRDefault="00903828" w:rsidP="00223AF2">
      <w:pPr>
        <w:spacing w:line="360" w:lineRule="auto"/>
        <w:ind w:right="51"/>
        <w:jc w:val="both"/>
        <w:rPr>
          <w:rFonts w:ascii="Arial" w:hAnsi="Arial" w:cs="Arial"/>
          <w:sz w:val="24"/>
          <w:szCs w:val="24"/>
          <w:lang w:val="es-ES_tradnl" w:eastAsia="es-ES"/>
        </w:rPr>
      </w:pPr>
    </w:p>
    <w:p w:rsidR="00445A43" w:rsidRPr="00010BEC" w:rsidRDefault="00445A43" w:rsidP="00223AF2">
      <w:pPr>
        <w:spacing w:line="360" w:lineRule="auto"/>
        <w:ind w:right="51"/>
        <w:jc w:val="both"/>
        <w:rPr>
          <w:rFonts w:ascii="Arial" w:hAnsi="Arial" w:cs="Arial"/>
          <w:sz w:val="24"/>
          <w:szCs w:val="24"/>
          <w:lang w:val="es-ES_tradnl" w:eastAsia="es-ES"/>
        </w:rPr>
      </w:pPr>
    </w:p>
    <w:p w:rsidR="00223AF2" w:rsidRPr="00683CDC" w:rsidRDefault="00223AF2" w:rsidP="00223AF2">
      <w:pPr>
        <w:widowControl w:val="0"/>
        <w:spacing w:line="360" w:lineRule="auto"/>
        <w:ind w:firstLine="567"/>
        <w:jc w:val="both"/>
        <w:rPr>
          <w:rFonts w:ascii="Arial" w:hAnsi="Arial" w:cs="Arial"/>
          <w:sz w:val="24"/>
          <w:szCs w:val="24"/>
          <w:lang w:eastAsia="es-ES"/>
        </w:rPr>
      </w:pPr>
      <w:r w:rsidRPr="00010BEC">
        <w:rPr>
          <w:rFonts w:ascii="Arial" w:hAnsi="Arial" w:cs="Arial"/>
          <w:sz w:val="24"/>
          <w:szCs w:val="24"/>
          <w:lang w:eastAsia="es-ES"/>
        </w:rPr>
        <w:t xml:space="preserve">    Para determinar lo anterior, la enjuiciada señaló que la multa por infracción establecid</w:t>
      </w:r>
      <w:r w:rsidRPr="00683CDC">
        <w:rPr>
          <w:rFonts w:ascii="Arial" w:hAnsi="Arial" w:cs="Arial"/>
          <w:sz w:val="24"/>
          <w:szCs w:val="24"/>
          <w:lang w:eastAsia="es-ES"/>
        </w:rPr>
        <w:t>a en el</w:t>
      </w:r>
      <w:r>
        <w:rPr>
          <w:rFonts w:ascii="Arial" w:hAnsi="Arial" w:cs="Arial"/>
          <w:sz w:val="24"/>
          <w:szCs w:val="24"/>
          <w:lang w:eastAsia="es-ES"/>
        </w:rPr>
        <w:t xml:space="preserve"> artículo 269 </w:t>
      </w:r>
      <w:r w:rsidRPr="00683CDC">
        <w:rPr>
          <w:rFonts w:ascii="Arial" w:hAnsi="Arial" w:cs="Arial"/>
          <w:sz w:val="24"/>
          <w:szCs w:val="24"/>
          <w:lang w:eastAsia="es-ES"/>
        </w:rPr>
        <w:t xml:space="preserve">fracción I, del Código Fiscal para el Estado de Oaxaca, impuesta a la aquí actora, surge </w:t>
      </w:r>
      <w:r>
        <w:rPr>
          <w:rFonts w:ascii="Arial" w:hAnsi="Arial" w:cs="Arial"/>
          <w:sz w:val="24"/>
          <w:szCs w:val="24"/>
          <w:lang w:eastAsia="es-ES"/>
        </w:rPr>
        <w:t>de la revisión minuciosa  en el Registro Estatal de Contribuyentes con que cuenta la</w:t>
      </w:r>
      <w:r w:rsidRPr="00683CDC">
        <w:rPr>
          <w:rFonts w:ascii="Arial" w:hAnsi="Arial" w:cs="Arial"/>
          <w:sz w:val="24"/>
          <w:szCs w:val="24"/>
          <w:lang w:eastAsia="es-ES"/>
        </w:rPr>
        <w:t xml:space="preserve"> Secretaría de Finanzas del </w:t>
      </w:r>
      <w:r>
        <w:rPr>
          <w:rFonts w:ascii="Arial" w:hAnsi="Arial" w:cs="Arial"/>
          <w:sz w:val="24"/>
          <w:szCs w:val="24"/>
          <w:lang w:eastAsia="es-ES"/>
        </w:rPr>
        <w:t xml:space="preserve">Gobierno del Estado de Oaxaca, </w:t>
      </w:r>
      <w:r w:rsidRPr="00683CDC">
        <w:rPr>
          <w:rFonts w:ascii="Arial" w:hAnsi="Arial" w:cs="Arial"/>
          <w:sz w:val="24"/>
          <w:szCs w:val="24"/>
          <w:lang w:eastAsia="es-ES"/>
        </w:rPr>
        <w:t>advirtiéndose que no ha dado cumplimiento con la obli</w:t>
      </w:r>
      <w:r>
        <w:rPr>
          <w:rFonts w:ascii="Arial" w:hAnsi="Arial" w:cs="Arial"/>
          <w:sz w:val="24"/>
          <w:szCs w:val="24"/>
          <w:lang w:eastAsia="es-ES"/>
        </w:rPr>
        <w:t>gación fiscal, consistente en la presentación  de las declarac</w:t>
      </w:r>
      <w:r w:rsidR="00E15D74">
        <w:rPr>
          <w:rFonts w:ascii="Arial" w:hAnsi="Arial" w:cs="Arial"/>
          <w:sz w:val="24"/>
          <w:szCs w:val="24"/>
          <w:lang w:eastAsia="es-ES"/>
        </w:rPr>
        <w:t xml:space="preserve">iones bimestrales  definitivas </w:t>
      </w:r>
      <w:r>
        <w:rPr>
          <w:rFonts w:ascii="Arial" w:hAnsi="Arial" w:cs="Arial"/>
          <w:sz w:val="24"/>
          <w:szCs w:val="24"/>
          <w:lang w:eastAsia="es-ES"/>
        </w:rPr>
        <w:t xml:space="preserve">del </w:t>
      </w:r>
      <w:r w:rsidR="00F9148E" w:rsidRPr="00F9148E">
        <w:rPr>
          <w:rFonts w:ascii="Arial" w:hAnsi="Arial" w:cs="Arial"/>
          <w:sz w:val="24"/>
          <w:szCs w:val="24"/>
          <w:lang w:val="es-ES_tradnl" w:eastAsia="es-ES"/>
        </w:rPr>
        <w:t>impuesto Cedular a los Ingresos por el Otorgamiento del Uso o Goce Temporal de Bienes Inmuebles</w:t>
      </w:r>
      <w:r w:rsidRPr="00683CDC">
        <w:rPr>
          <w:rFonts w:ascii="Arial" w:hAnsi="Arial" w:cs="Arial"/>
          <w:sz w:val="24"/>
          <w:szCs w:val="24"/>
          <w:lang w:eastAsia="es-ES"/>
        </w:rPr>
        <w:t>. Así mismo, se encuentra citando los artículos del Código F</w:t>
      </w:r>
      <w:r w:rsidR="00B8751E">
        <w:rPr>
          <w:rFonts w:ascii="Arial" w:hAnsi="Arial" w:cs="Arial"/>
          <w:sz w:val="24"/>
          <w:szCs w:val="24"/>
          <w:lang w:eastAsia="es-ES"/>
        </w:rPr>
        <w:t>iscal del Estado de Oaxaca y su Reglamento,</w:t>
      </w:r>
      <w:r w:rsidRPr="00683CDC">
        <w:rPr>
          <w:rFonts w:ascii="Arial" w:hAnsi="Arial" w:cs="Arial"/>
          <w:sz w:val="24"/>
          <w:szCs w:val="24"/>
          <w:lang w:eastAsia="es-ES"/>
        </w:rPr>
        <w:t xml:space="preserve"> actualmente en vigor, los cuales establecen la obligación de </w:t>
      </w:r>
      <w:r w:rsidRPr="00683CDC">
        <w:rPr>
          <w:rFonts w:ascii="Arial" w:hAnsi="Arial" w:cs="Arial"/>
          <w:color w:val="000000"/>
          <w:sz w:val="24"/>
          <w:szCs w:val="24"/>
          <w:lang w:eastAsia="es-ES"/>
        </w:rPr>
        <w:t xml:space="preserve">pago </w:t>
      </w:r>
      <w:r w:rsidR="00F9148E">
        <w:rPr>
          <w:rFonts w:ascii="Arial" w:hAnsi="Arial" w:cs="Arial"/>
          <w:sz w:val="24"/>
          <w:szCs w:val="24"/>
          <w:lang w:eastAsia="es-ES"/>
        </w:rPr>
        <w:t>del I</w:t>
      </w:r>
      <w:r w:rsidRPr="00683CDC">
        <w:rPr>
          <w:rFonts w:ascii="Arial" w:hAnsi="Arial" w:cs="Arial"/>
          <w:sz w:val="24"/>
          <w:szCs w:val="24"/>
          <w:lang w:eastAsia="es-ES"/>
        </w:rPr>
        <w:t xml:space="preserve">mpuesto de referencia, a cargo de los contribuyentes que se coloquen en el supuesto jurídico. </w:t>
      </w:r>
    </w:p>
    <w:p w:rsidR="00F9148E" w:rsidRPr="00683CDC" w:rsidRDefault="00F9148E" w:rsidP="004E6A5E">
      <w:pPr>
        <w:widowControl w:val="0"/>
        <w:spacing w:line="360" w:lineRule="auto"/>
        <w:jc w:val="both"/>
        <w:rPr>
          <w:rFonts w:ascii="Arial" w:hAnsi="Arial" w:cs="Arial"/>
          <w:sz w:val="24"/>
          <w:szCs w:val="24"/>
          <w:lang w:eastAsia="es-ES"/>
        </w:rPr>
      </w:pPr>
    </w:p>
    <w:p w:rsidR="00223AF2" w:rsidRPr="00683CDC" w:rsidRDefault="00223AF2" w:rsidP="00223AF2">
      <w:pPr>
        <w:widowControl w:val="0"/>
        <w:spacing w:line="360" w:lineRule="auto"/>
        <w:ind w:hanging="426"/>
        <w:jc w:val="both"/>
        <w:rPr>
          <w:rFonts w:ascii="Arial" w:hAnsi="Arial" w:cs="Arial"/>
          <w:sz w:val="24"/>
          <w:szCs w:val="24"/>
          <w:lang w:eastAsia="es-ES"/>
        </w:rPr>
      </w:pPr>
      <w:r w:rsidRPr="00683CDC">
        <w:rPr>
          <w:rFonts w:ascii="Arial" w:hAnsi="Arial" w:cs="Arial"/>
          <w:sz w:val="24"/>
          <w:szCs w:val="24"/>
          <w:lang w:eastAsia="es-ES"/>
        </w:rPr>
        <w:t xml:space="preserve">                 Así las cosas, se advierte que</w:t>
      </w:r>
      <w:r>
        <w:rPr>
          <w:rFonts w:ascii="Arial" w:hAnsi="Arial" w:cs="Arial"/>
          <w:sz w:val="24"/>
          <w:szCs w:val="24"/>
          <w:lang w:eastAsia="es-ES"/>
        </w:rPr>
        <w:t xml:space="preserve"> resultan fundados los conceptos de impugnación hechos valer por el actor y</w:t>
      </w:r>
      <w:r w:rsidR="00B8751E">
        <w:rPr>
          <w:rFonts w:ascii="Arial" w:hAnsi="Arial" w:cs="Arial"/>
          <w:sz w:val="24"/>
          <w:szCs w:val="24"/>
          <w:lang w:eastAsia="es-ES"/>
        </w:rPr>
        <w:t>a que</w:t>
      </w:r>
      <w:r w:rsidRPr="00683CDC">
        <w:rPr>
          <w:rFonts w:ascii="Arial" w:hAnsi="Arial" w:cs="Arial"/>
          <w:sz w:val="24"/>
          <w:szCs w:val="24"/>
          <w:lang w:eastAsia="es-ES"/>
        </w:rPr>
        <w:t xml:space="preserve"> la </w:t>
      </w:r>
      <w:r w:rsidRPr="004E6A5E">
        <w:rPr>
          <w:rFonts w:ascii="Arial" w:hAnsi="Arial" w:cs="Arial"/>
          <w:sz w:val="24"/>
          <w:szCs w:val="24"/>
          <w:lang w:eastAsia="es-ES"/>
        </w:rPr>
        <w:t>enjuiciada</w:t>
      </w:r>
      <w:r w:rsidRPr="00683CDC">
        <w:rPr>
          <w:rFonts w:ascii="Arial" w:hAnsi="Arial" w:cs="Arial"/>
          <w:sz w:val="24"/>
          <w:szCs w:val="24"/>
          <w:lang w:eastAsia="es-ES"/>
        </w:rPr>
        <w:t xml:space="preserve"> omitió señalar en la multa impugnada las razones particulares, causas inmediatas y circunstancias especiales, de qué form</w:t>
      </w:r>
      <w:r w:rsidR="006C552C">
        <w:rPr>
          <w:rFonts w:ascii="Arial" w:hAnsi="Arial" w:cs="Arial"/>
          <w:sz w:val="24"/>
          <w:szCs w:val="24"/>
          <w:lang w:eastAsia="es-ES"/>
        </w:rPr>
        <w:t xml:space="preserve">a confirmó que el accionante </w:t>
      </w:r>
      <w:r w:rsidR="004D76A2">
        <w:rPr>
          <w:rFonts w:ascii="Arial" w:hAnsi="Arial" w:cs="Arial"/>
          <w:sz w:val="24"/>
          <w:szCs w:val="24"/>
          <w:lang w:eastAsia="es-ES"/>
        </w:rPr>
        <w:t xml:space="preserve">era </w:t>
      </w:r>
      <w:r w:rsidRPr="00683CDC">
        <w:rPr>
          <w:rFonts w:ascii="Arial" w:hAnsi="Arial" w:cs="Arial"/>
          <w:sz w:val="24"/>
          <w:szCs w:val="24"/>
          <w:lang w:eastAsia="es-ES"/>
        </w:rPr>
        <w:t xml:space="preserve">sujeto obligado al pago del </w:t>
      </w:r>
      <w:r w:rsidR="00F9148E">
        <w:rPr>
          <w:rFonts w:ascii="Arial" w:hAnsi="Arial" w:cs="Arial"/>
          <w:b/>
          <w:sz w:val="24"/>
          <w:szCs w:val="24"/>
          <w:lang w:val="es-ES_tradnl" w:eastAsia="es-ES"/>
        </w:rPr>
        <w:t>Impuesto Cedular a los Ingresos por el Otorgamiento del Uso o Goce Temporal de Bienes Inmuebles</w:t>
      </w:r>
      <w:r w:rsidRPr="00683CDC">
        <w:rPr>
          <w:rFonts w:ascii="Arial" w:hAnsi="Arial" w:cs="Arial"/>
          <w:sz w:val="24"/>
          <w:szCs w:val="24"/>
          <w:lang w:eastAsia="es-ES"/>
        </w:rPr>
        <w:t xml:space="preserve">; es decir, no precisa cuales fueron los antecedentes por los </w:t>
      </w:r>
      <w:r w:rsidRPr="00683CDC">
        <w:rPr>
          <w:rFonts w:ascii="Arial" w:hAnsi="Arial" w:cs="Arial"/>
          <w:sz w:val="24"/>
          <w:szCs w:val="24"/>
          <w:lang w:eastAsia="es-ES"/>
        </w:rPr>
        <w:lastRenderedPageBreak/>
        <w:t>cuales consideró que el accionante se ubica en la circunstancia que la ley considera como hecho generador de la obligación fiscal; pues para tales efectos, no basta con el señalamiento de que se le ha identificado como sujeto obligado, sino que la autoridad debió pro</w:t>
      </w:r>
      <w:r>
        <w:rPr>
          <w:rFonts w:ascii="Arial" w:hAnsi="Arial" w:cs="Arial"/>
          <w:sz w:val="24"/>
          <w:szCs w:val="24"/>
          <w:lang w:eastAsia="es-ES"/>
        </w:rPr>
        <w:t xml:space="preserve">bar los hechos que la motivaron, y lo </w:t>
      </w:r>
      <w:r w:rsidRPr="00683CDC">
        <w:rPr>
          <w:rFonts w:ascii="Arial" w:hAnsi="Arial" w:cs="Arial"/>
          <w:sz w:val="24"/>
          <w:szCs w:val="24"/>
          <w:lang w:eastAsia="es-ES"/>
        </w:rPr>
        <w:t xml:space="preserve">ubicaron en la hipótesis normativa para ser considerada sujeta del multicitado impuesto. </w:t>
      </w:r>
    </w:p>
    <w:p w:rsidR="00223AF2" w:rsidRPr="00683CDC" w:rsidRDefault="00223AF2" w:rsidP="00223AF2">
      <w:pPr>
        <w:widowControl w:val="0"/>
        <w:spacing w:line="360" w:lineRule="auto"/>
        <w:ind w:hanging="426"/>
        <w:jc w:val="both"/>
        <w:rPr>
          <w:rFonts w:ascii="Arial" w:hAnsi="Arial" w:cs="Arial"/>
          <w:sz w:val="24"/>
          <w:szCs w:val="24"/>
          <w:lang w:eastAsia="es-ES"/>
        </w:rPr>
      </w:pPr>
    </w:p>
    <w:p w:rsidR="00903828" w:rsidRPr="00234BFD" w:rsidRDefault="00223AF2" w:rsidP="00234BFD">
      <w:pPr>
        <w:widowControl w:val="0"/>
        <w:spacing w:line="360" w:lineRule="auto"/>
        <w:jc w:val="both"/>
        <w:rPr>
          <w:rFonts w:ascii="Arial" w:hAnsi="Arial" w:cs="Arial"/>
          <w:sz w:val="24"/>
          <w:szCs w:val="24"/>
          <w:lang w:eastAsia="es-ES"/>
        </w:rPr>
      </w:pPr>
      <w:r w:rsidRPr="00683CDC">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w:t>
      </w:r>
      <w:r w:rsidR="00F158CF">
        <w:rPr>
          <w:rFonts w:ascii="Arial" w:hAnsi="Arial" w:cs="Arial"/>
          <w:sz w:val="24"/>
          <w:szCs w:val="24"/>
          <w:lang w:eastAsia="es-ES"/>
        </w:rPr>
        <w:t>a obligación sobre el referido I</w:t>
      </w:r>
      <w:r w:rsidRPr="00683CDC">
        <w:rPr>
          <w:rFonts w:ascii="Arial" w:hAnsi="Arial" w:cs="Arial"/>
          <w:sz w:val="24"/>
          <w:szCs w:val="24"/>
          <w:lang w:eastAsia="es-ES"/>
        </w:rPr>
        <w:t xml:space="preserve">mpuesto, ya que del estudio de la multicitada multa no establece </w:t>
      </w:r>
      <w:r>
        <w:rPr>
          <w:rFonts w:ascii="Arial" w:hAnsi="Arial" w:cs="Arial"/>
          <w:sz w:val="24"/>
          <w:szCs w:val="24"/>
          <w:lang w:eastAsia="es-ES"/>
        </w:rPr>
        <w:t>con exactitud la determinació</w:t>
      </w:r>
      <w:r w:rsidR="00834413">
        <w:rPr>
          <w:rFonts w:ascii="Arial" w:hAnsi="Arial" w:cs="Arial"/>
          <w:sz w:val="24"/>
          <w:szCs w:val="24"/>
          <w:lang w:eastAsia="es-ES"/>
        </w:rPr>
        <w:t xml:space="preserve">n </w:t>
      </w:r>
      <w:r>
        <w:rPr>
          <w:rFonts w:ascii="Arial" w:hAnsi="Arial" w:cs="Arial"/>
          <w:sz w:val="24"/>
          <w:szCs w:val="24"/>
          <w:lang w:eastAsia="es-ES"/>
        </w:rPr>
        <w:t>del incumplimiento de la obligación por parte del administrado</w:t>
      </w:r>
      <w:r w:rsidRPr="00683CDC">
        <w:rPr>
          <w:rFonts w:ascii="Arial" w:hAnsi="Arial" w:cs="Arial"/>
          <w:sz w:val="24"/>
          <w:szCs w:val="24"/>
          <w:lang w:eastAsia="es-ES"/>
        </w:rPr>
        <w:t xml:space="preserve">, así como no señala el expediente, documento o bases de datos que tuvo en su poder o a las que tuvo acceso, para considerar a </w:t>
      </w:r>
      <w:r w:rsidR="00834413">
        <w:rPr>
          <w:rFonts w:ascii="Arial" w:hAnsi="Arial" w:cs="Arial"/>
          <w:sz w:val="24"/>
          <w:szCs w:val="24"/>
          <w:lang w:eastAsia="es-ES"/>
        </w:rPr>
        <w:t>la aquí parte actora como sujeto</w:t>
      </w:r>
      <w:r w:rsidRPr="00683CDC">
        <w:rPr>
          <w:rFonts w:ascii="Arial" w:hAnsi="Arial" w:cs="Arial"/>
          <w:sz w:val="24"/>
          <w:szCs w:val="24"/>
          <w:lang w:eastAsia="es-ES"/>
        </w:rPr>
        <w:t xml:space="preserve"> a la aplicación del referido impuesto, solamente se limitó a hacer referencia al </w:t>
      </w:r>
      <w:r>
        <w:rPr>
          <w:rFonts w:ascii="Arial" w:hAnsi="Arial" w:cs="Arial"/>
          <w:sz w:val="24"/>
          <w:szCs w:val="24"/>
          <w:lang w:eastAsia="es-ES"/>
        </w:rPr>
        <w:t>de la revisión realizada en el Registro Estatal de Contribuyentes con que cuenta la</w:t>
      </w:r>
      <w:r w:rsidRPr="00683CDC">
        <w:rPr>
          <w:rFonts w:ascii="Arial" w:hAnsi="Arial" w:cs="Arial"/>
          <w:sz w:val="24"/>
          <w:szCs w:val="24"/>
          <w:lang w:eastAsia="es-ES"/>
        </w:rPr>
        <w:t xml:space="preserve"> Secretaría de Finanzas del Gobierno del Estado de Oaxaca</w:t>
      </w:r>
      <w:r w:rsidR="00E660B0">
        <w:rPr>
          <w:rFonts w:ascii="Arial" w:hAnsi="Arial" w:cs="Arial"/>
          <w:sz w:val="24"/>
          <w:szCs w:val="24"/>
          <w:lang w:eastAsia="es-ES"/>
        </w:rPr>
        <w:t xml:space="preserve">, sin apegarse </w:t>
      </w:r>
      <w:r w:rsidRPr="00683CDC">
        <w:rPr>
          <w:rFonts w:ascii="Arial" w:hAnsi="Arial" w:cs="Arial"/>
          <w:sz w:val="24"/>
          <w:szCs w:val="24"/>
          <w:lang w:eastAsia="es-ES"/>
        </w:rPr>
        <w:t xml:space="preserve">a lo dispuesto en el artículo 97 del Código Fiscal para el Estado de Oaxaca, vigente, para </w:t>
      </w:r>
      <w:r w:rsidR="00E660B0">
        <w:rPr>
          <w:rFonts w:ascii="Arial" w:hAnsi="Arial" w:cs="Arial"/>
          <w:sz w:val="24"/>
          <w:szCs w:val="24"/>
          <w:lang w:eastAsia="es-ES"/>
        </w:rPr>
        <w:t>mayor compresión se transcribe:</w:t>
      </w:r>
    </w:p>
    <w:p w:rsidR="00445A43" w:rsidRPr="00683CDC" w:rsidRDefault="00223AF2" w:rsidP="00445A43">
      <w:pPr>
        <w:widowControl w:val="0"/>
        <w:ind w:left="1134"/>
        <w:jc w:val="both"/>
        <w:rPr>
          <w:rFonts w:ascii="Arial" w:hAnsi="Arial" w:cs="Arial"/>
          <w:b/>
          <w:sz w:val="24"/>
          <w:szCs w:val="24"/>
          <w:lang w:eastAsia="es-ES"/>
        </w:rPr>
      </w:pPr>
      <w:r w:rsidRPr="00683CDC">
        <w:rPr>
          <w:rFonts w:ascii="Arial" w:hAnsi="Arial" w:cs="Arial"/>
          <w:b/>
          <w:sz w:val="24"/>
          <w:szCs w:val="24"/>
          <w:lang w:eastAsia="es-ES"/>
        </w:rPr>
        <w:t xml:space="preserve">        CÓDIGO FISCAL PARA EL ESTADO DE OAXACA.</w:t>
      </w:r>
    </w:p>
    <w:p w:rsidR="00223AF2" w:rsidRPr="00683CDC" w:rsidRDefault="00223AF2" w:rsidP="00223AF2">
      <w:pPr>
        <w:widowControl w:val="0"/>
        <w:ind w:left="1134"/>
        <w:jc w:val="both"/>
        <w:rPr>
          <w:rFonts w:ascii="Arial" w:hAnsi="Arial" w:cs="Arial"/>
          <w:b/>
          <w:sz w:val="24"/>
          <w:szCs w:val="24"/>
          <w:lang w:eastAsia="es-ES"/>
        </w:rPr>
      </w:pPr>
    </w:p>
    <w:p w:rsidR="00223AF2" w:rsidRPr="00834413" w:rsidRDefault="00223AF2" w:rsidP="00834413">
      <w:pPr>
        <w:widowControl w:val="0"/>
        <w:ind w:left="1134" w:right="902"/>
        <w:jc w:val="center"/>
        <w:rPr>
          <w:rFonts w:ascii="Arial" w:hAnsi="Arial" w:cs="Arial"/>
          <w:b/>
          <w:sz w:val="24"/>
          <w:szCs w:val="24"/>
          <w:lang w:eastAsia="es-ES"/>
        </w:rPr>
      </w:pPr>
      <w:r w:rsidRPr="00683CDC">
        <w:rPr>
          <w:rFonts w:ascii="Arial" w:hAnsi="Arial" w:cs="Arial"/>
          <w:b/>
          <w:sz w:val="24"/>
          <w:szCs w:val="24"/>
          <w:lang w:eastAsia="es-ES"/>
        </w:rPr>
        <w:t>LIBRO TERCERO DE LAS FACULTADES DE LAS AUT</w:t>
      </w:r>
      <w:r w:rsidR="00834413">
        <w:rPr>
          <w:rFonts w:ascii="Arial" w:hAnsi="Arial" w:cs="Arial"/>
          <w:b/>
          <w:sz w:val="24"/>
          <w:szCs w:val="24"/>
          <w:lang w:eastAsia="es-ES"/>
        </w:rPr>
        <w:t>ORIDADES FISCALES TÍTULO ÚNICO.</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223AF2" w:rsidRDefault="00223AF2" w:rsidP="00223AF2">
      <w:pPr>
        <w:widowControl w:val="0"/>
        <w:spacing w:line="360" w:lineRule="auto"/>
        <w:ind w:left="1701" w:right="1327"/>
        <w:jc w:val="both"/>
        <w:rPr>
          <w:rFonts w:ascii="Arial" w:hAnsi="Arial" w:cs="Arial"/>
          <w:sz w:val="24"/>
          <w:szCs w:val="24"/>
          <w:lang w:eastAsia="es-ES"/>
        </w:rPr>
      </w:pPr>
      <w:r w:rsidRPr="00683CDC">
        <w:rPr>
          <w:rFonts w:ascii="Arial" w:hAnsi="Arial" w:cs="Arial"/>
          <w:sz w:val="24"/>
          <w:szCs w:val="24"/>
          <w:lang w:eastAsia="es-ES"/>
        </w:rPr>
        <w:t xml:space="preserve">ARTÍCULO 97. </w:t>
      </w:r>
      <w:r w:rsidRPr="0063257F">
        <w:rPr>
          <w:rFonts w:ascii="Arial" w:hAnsi="Arial" w:cs="Arial"/>
          <w:sz w:val="24"/>
          <w:szCs w:val="24"/>
          <w:lang w:eastAsia="es-ES"/>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683CDC">
        <w:rPr>
          <w:rFonts w:ascii="Arial" w:hAnsi="Arial" w:cs="Arial"/>
          <w:sz w:val="24"/>
          <w:szCs w:val="24"/>
          <w:lang w:eastAsia="es-ES"/>
        </w:rPr>
        <w:t xml:space="preserve"> podrán utilizarse como sustento de la motivación de las resoluciones que emitan. </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223AF2" w:rsidRPr="00155553" w:rsidRDefault="00223AF2" w:rsidP="00155553">
      <w:pPr>
        <w:spacing w:line="360" w:lineRule="auto"/>
        <w:ind w:left="360"/>
        <w:jc w:val="both"/>
        <w:rPr>
          <w:rFonts w:ascii="Arial" w:hAnsi="Arial" w:cs="Arial"/>
          <w:sz w:val="24"/>
          <w:szCs w:val="24"/>
          <w:highlight w:val="yellow"/>
          <w:lang w:eastAsia="es-ES"/>
        </w:rPr>
      </w:pPr>
      <w:r w:rsidRPr="00683CDC">
        <w:rPr>
          <w:rFonts w:ascii="Arial" w:hAnsi="Arial" w:cs="Arial"/>
          <w:sz w:val="24"/>
          <w:szCs w:val="24"/>
          <w:lang w:eastAsia="es-ES"/>
        </w:rPr>
        <w:t xml:space="preserve">        </w:t>
      </w:r>
      <w:r>
        <w:rPr>
          <w:rFonts w:ascii="Arial" w:hAnsi="Arial" w:cs="Arial"/>
          <w:sz w:val="24"/>
          <w:szCs w:val="24"/>
          <w:lang w:eastAsia="es-ES"/>
        </w:rPr>
        <w:t>Ahora bien,  la actora  en su escrito de demanda de nulidad manifiesta  en su capítulo de hechos, haber</w:t>
      </w:r>
      <w:r w:rsidR="00983B6A">
        <w:rPr>
          <w:rFonts w:ascii="Arial" w:hAnsi="Arial" w:cs="Arial"/>
          <w:sz w:val="24"/>
          <w:szCs w:val="24"/>
          <w:lang w:eastAsia="es-ES"/>
        </w:rPr>
        <w:t>se inscrito en el sistema de administración tributaria, en fecha</w:t>
      </w:r>
      <w:r w:rsidR="00F158CF">
        <w:rPr>
          <w:rFonts w:ascii="Arial" w:hAnsi="Arial" w:cs="Arial"/>
          <w:sz w:val="24"/>
          <w:szCs w:val="24"/>
          <w:lang w:eastAsia="es-ES"/>
        </w:rPr>
        <w:t xml:space="preserve"> trece</w:t>
      </w:r>
      <w:r w:rsidR="00E660B0" w:rsidRPr="00155553">
        <w:rPr>
          <w:rFonts w:ascii="Arial" w:hAnsi="Arial" w:cs="Arial"/>
          <w:sz w:val="24"/>
          <w:szCs w:val="24"/>
          <w:lang w:eastAsia="es-ES"/>
        </w:rPr>
        <w:t xml:space="preserve"> de </w:t>
      </w:r>
      <w:r w:rsidR="00F158CF">
        <w:rPr>
          <w:rFonts w:ascii="Arial" w:hAnsi="Arial" w:cs="Arial"/>
          <w:sz w:val="24"/>
          <w:szCs w:val="24"/>
          <w:lang w:eastAsia="es-ES"/>
        </w:rPr>
        <w:t>agosto</w:t>
      </w:r>
      <w:r w:rsidR="00983B6A" w:rsidRPr="00155553">
        <w:rPr>
          <w:rFonts w:ascii="Arial" w:hAnsi="Arial" w:cs="Arial"/>
          <w:sz w:val="24"/>
          <w:szCs w:val="24"/>
          <w:lang w:eastAsia="es-ES"/>
        </w:rPr>
        <w:t xml:space="preserve"> de </w:t>
      </w:r>
      <w:r w:rsidR="00F158CF">
        <w:rPr>
          <w:rFonts w:ascii="Arial" w:hAnsi="Arial" w:cs="Arial"/>
          <w:sz w:val="24"/>
          <w:szCs w:val="24"/>
          <w:lang w:eastAsia="es-ES"/>
        </w:rPr>
        <w:t xml:space="preserve">dos mil </w:t>
      </w:r>
      <w:r w:rsidR="00F158CF">
        <w:rPr>
          <w:rFonts w:ascii="Arial" w:hAnsi="Arial" w:cs="Arial"/>
          <w:sz w:val="24"/>
          <w:szCs w:val="24"/>
          <w:lang w:eastAsia="es-ES"/>
        </w:rPr>
        <w:lastRenderedPageBreak/>
        <w:t>quince</w:t>
      </w:r>
      <w:r w:rsidR="00983B6A" w:rsidRPr="00155553">
        <w:rPr>
          <w:rFonts w:ascii="Arial" w:hAnsi="Arial" w:cs="Arial"/>
          <w:sz w:val="24"/>
          <w:szCs w:val="24"/>
          <w:lang w:eastAsia="es-ES"/>
        </w:rPr>
        <w:t xml:space="preserve"> </w:t>
      </w:r>
      <w:r w:rsidR="00F158CF">
        <w:rPr>
          <w:rFonts w:ascii="Arial" w:hAnsi="Arial" w:cs="Arial"/>
          <w:sz w:val="24"/>
          <w:szCs w:val="24"/>
          <w:lang w:eastAsia="es-ES"/>
        </w:rPr>
        <w:t>(13-08</w:t>
      </w:r>
      <w:r w:rsidRPr="00155553">
        <w:rPr>
          <w:rFonts w:ascii="Arial" w:hAnsi="Arial" w:cs="Arial"/>
          <w:sz w:val="24"/>
          <w:szCs w:val="24"/>
          <w:lang w:eastAsia="es-ES"/>
        </w:rPr>
        <w:t>-</w:t>
      </w:r>
      <w:r w:rsidR="00F158CF">
        <w:rPr>
          <w:rFonts w:ascii="Arial" w:hAnsi="Arial" w:cs="Arial"/>
          <w:sz w:val="24"/>
          <w:szCs w:val="24"/>
          <w:lang w:eastAsia="es-ES"/>
        </w:rPr>
        <w:t>2015</w:t>
      </w:r>
      <w:r w:rsidRPr="00155553">
        <w:rPr>
          <w:rFonts w:ascii="Arial" w:hAnsi="Arial" w:cs="Arial"/>
          <w:sz w:val="24"/>
          <w:szCs w:val="24"/>
          <w:lang w:eastAsia="es-ES"/>
        </w:rPr>
        <w:t>)</w:t>
      </w:r>
      <w:r w:rsidR="00F158CF">
        <w:rPr>
          <w:rFonts w:ascii="Arial" w:hAnsi="Arial" w:cs="Arial"/>
          <w:sz w:val="24"/>
          <w:szCs w:val="24"/>
          <w:lang w:eastAsia="es-ES"/>
        </w:rPr>
        <w:t xml:space="preserve"> en enero de 2015</w:t>
      </w:r>
      <w:r w:rsidRPr="00155553">
        <w:rPr>
          <w:rFonts w:ascii="Arial" w:hAnsi="Arial" w:cs="Arial"/>
          <w:sz w:val="24"/>
          <w:szCs w:val="24"/>
          <w:lang w:eastAsia="es-ES"/>
        </w:rPr>
        <w:t>,</w:t>
      </w:r>
      <w:r w:rsidR="00155553" w:rsidRPr="00155553">
        <w:rPr>
          <w:rFonts w:ascii="Arial" w:hAnsi="Arial" w:cs="Arial"/>
          <w:sz w:val="24"/>
          <w:szCs w:val="24"/>
          <w:lang w:eastAsia="es-ES"/>
        </w:rPr>
        <w:t xml:space="preserve"> aun cuando la autoridad conside</w:t>
      </w:r>
      <w:r w:rsidR="00F158CF">
        <w:rPr>
          <w:rFonts w:ascii="Arial" w:hAnsi="Arial" w:cs="Arial"/>
          <w:sz w:val="24"/>
          <w:szCs w:val="24"/>
          <w:lang w:eastAsia="es-ES"/>
        </w:rPr>
        <w:t>ró que con fecha 13</w:t>
      </w:r>
      <w:r w:rsidR="00155553" w:rsidRPr="00155553">
        <w:rPr>
          <w:rFonts w:ascii="Arial" w:hAnsi="Arial" w:cs="Arial"/>
          <w:sz w:val="24"/>
          <w:szCs w:val="24"/>
          <w:lang w:eastAsia="es-ES"/>
        </w:rPr>
        <w:t xml:space="preserve"> de </w:t>
      </w:r>
      <w:r w:rsidR="00F158CF">
        <w:rPr>
          <w:rFonts w:ascii="Arial" w:hAnsi="Arial" w:cs="Arial"/>
          <w:sz w:val="24"/>
          <w:szCs w:val="24"/>
          <w:lang w:eastAsia="es-ES"/>
        </w:rPr>
        <w:t>agosto de 2015, presentó</w:t>
      </w:r>
      <w:r w:rsidR="00155553" w:rsidRPr="00155553">
        <w:rPr>
          <w:rFonts w:ascii="Arial" w:hAnsi="Arial" w:cs="Arial"/>
          <w:sz w:val="24"/>
          <w:szCs w:val="24"/>
          <w:lang w:eastAsia="es-ES"/>
        </w:rPr>
        <w:t xml:space="preserve"> ante la Delegación o Subdelegación Fiscal, formulario múltiple de Registro Estatal de Contribuyente  a fin de quedar inscrito con la obligación al pago </w:t>
      </w:r>
      <w:r w:rsidRPr="00155553">
        <w:rPr>
          <w:rFonts w:ascii="Arial" w:hAnsi="Arial" w:cs="Arial"/>
          <w:sz w:val="24"/>
          <w:szCs w:val="24"/>
          <w:lang w:eastAsia="es-ES"/>
        </w:rPr>
        <w:t xml:space="preserve">del </w:t>
      </w:r>
      <w:r w:rsidR="00751231">
        <w:rPr>
          <w:rFonts w:ascii="Arial" w:hAnsi="Arial" w:cs="Arial"/>
          <w:sz w:val="24"/>
          <w:szCs w:val="24"/>
          <w:lang w:val="es-ES_tradnl" w:eastAsia="es-ES"/>
        </w:rPr>
        <w:t>I</w:t>
      </w:r>
      <w:r w:rsidR="00751231" w:rsidRPr="00751231">
        <w:rPr>
          <w:rFonts w:ascii="Arial" w:hAnsi="Arial" w:cs="Arial"/>
          <w:sz w:val="24"/>
          <w:szCs w:val="24"/>
          <w:lang w:val="es-ES_tradnl" w:eastAsia="es-ES"/>
        </w:rPr>
        <w:t>mpuesto Cedular a los Ingresos por el Otorgamiento del Uso o Goce Temporal de Bienes Inmuebles</w:t>
      </w:r>
      <w:r w:rsidRPr="00155553">
        <w:rPr>
          <w:rFonts w:ascii="Arial" w:hAnsi="Arial" w:cs="Arial"/>
          <w:sz w:val="24"/>
          <w:szCs w:val="24"/>
          <w:lang w:eastAsia="es-ES"/>
        </w:rPr>
        <w:t>,</w:t>
      </w:r>
      <w:r>
        <w:rPr>
          <w:rFonts w:ascii="Arial" w:hAnsi="Arial" w:cs="Arial"/>
          <w:sz w:val="24"/>
          <w:szCs w:val="24"/>
          <w:lang w:eastAsia="es-ES"/>
        </w:rPr>
        <w:t xml:space="preserve">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 </w:t>
      </w:r>
    </w:p>
    <w:p w:rsidR="00223AF2" w:rsidRDefault="00223AF2" w:rsidP="00223AF2">
      <w:pPr>
        <w:spacing w:line="360" w:lineRule="auto"/>
        <w:ind w:left="360"/>
        <w:jc w:val="both"/>
        <w:rPr>
          <w:rFonts w:ascii="Arial" w:hAnsi="Arial" w:cs="Arial"/>
          <w:sz w:val="24"/>
          <w:szCs w:val="24"/>
          <w:lang w:eastAsia="es-ES"/>
        </w:rPr>
      </w:pPr>
    </w:p>
    <w:p w:rsidR="004D76A2" w:rsidRPr="00234BFD" w:rsidRDefault="00223AF2" w:rsidP="00234BFD">
      <w:pPr>
        <w:spacing w:line="360" w:lineRule="auto"/>
        <w:ind w:left="360" w:firstLine="348"/>
        <w:jc w:val="both"/>
        <w:rPr>
          <w:rFonts w:ascii="Arial" w:hAnsi="Arial" w:cs="Arial"/>
          <w:sz w:val="24"/>
          <w:szCs w:val="24"/>
          <w:lang w:eastAsia="es-ES"/>
        </w:rPr>
      </w:pPr>
      <w:r>
        <w:rPr>
          <w:rFonts w:ascii="Arial" w:hAnsi="Arial" w:cs="Arial"/>
          <w:sz w:val="24"/>
          <w:szCs w:val="24"/>
          <w:lang w:eastAsia="es-ES"/>
        </w:rPr>
        <w:t xml:space="preserve">De lo anterior y del citado </w:t>
      </w:r>
      <w:r w:rsidRPr="00683CDC">
        <w:rPr>
          <w:rFonts w:ascii="Arial" w:hAnsi="Arial" w:cs="Arial"/>
          <w:sz w:val="24"/>
          <w:szCs w:val="24"/>
          <w:lang w:eastAsia="es-ES"/>
        </w:rPr>
        <w:t>precepto se puede apreciar que la multicitada autoridad paso por alto el derecho de audiencia y del debido proceso, consagrado en el segundo párrafo del artículo 14 de la Constitución Política de los Estados Unidos Mexicanos, entendido este, el</w:t>
      </w:r>
      <w:r w:rsidRPr="00683CDC">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w:t>
      </w:r>
      <w:r w:rsidR="006601F5">
        <w:rPr>
          <w:rFonts w:ascii="Arial" w:hAnsi="Arial" w:cs="Arial"/>
          <w:sz w:val="24"/>
          <w:szCs w:val="24"/>
          <w:shd w:val="clear" w:color="auto" w:fill="FFFFFF"/>
          <w:lang w:val="es-MX"/>
        </w:rPr>
        <w:t xml:space="preserve">ompetente previo </w:t>
      </w:r>
      <w:r w:rsidRPr="00683CDC">
        <w:rPr>
          <w:rFonts w:ascii="Arial" w:hAnsi="Arial" w:cs="Arial"/>
          <w:sz w:val="24"/>
          <w:szCs w:val="24"/>
          <w:shd w:val="clear" w:color="auto" w:fill="FFFFFF"/>
          <w:lang w:val="es-MX"/>
        </w:rPr>
        <w:t>al reconocimiento o restricción de sus derechos y obligaciones</w:t>
      </w:r>
      <w:r w:rsidRPr="00683CDC">
        <w:rPr>
          <w:rFonts w:ascii="Arial" w:hAnsi="Arial" w:cs="Arial"/>
          <w:sz w:val="24"/>
          <w:szCs w:val="24"/>
          <w:lang w:val="es-MX"/>
        </w:rPr>
        <w:t xml:space="preserve"> el cual deberá</w:t>
      </w:r>
      <w:r w:rsidRPr="00683CDC">
        <w:rPr>
          <w:rFonts w:ascii="Arial" w:hAnsi="Arial" w:cs="Arial"/>
          <w:sz w:val="24"/>
          <w:szCs w:val="24"/>
          <w:shd w:val="clear" w:color="auto" w:fill="FFFFFF"/>
          <w:lang w:val="es-MX"/>
        </w:rPr>
        <w:t xml:space="preserve"> contemplar las formalidades que garantizan una defensa adecuada, es decir: </w:t>
      </w:r>
      <w:r w:rsidRPr="00683CDC">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683CDC">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445A43" w:rsidRDefault="00445A43" w:rsidP="00234BFD">
      <w:pPr>
        <w:spacing w:line="360" w:lineRule="auto"/>
        <w:ind w:left="1701" w:right="1469"/>
        <w:jc w:val="both"/>
        <w:rPr>
          <w:rFonts w:ascii="Arial" w:hAnsi="Arial" w:cs="Arial"/>
          <w:b/>
          <w:sz w:val="24"/>
          <w:szCs w:val="24"/>
          <w:lang w:eastAsia="es-ES"/>
        </w:rPr>
      </w:pPr>
    </w:p>
    <w:p w:rsidR="004D76A2" w:rsidRDefault="00223AF2" w:rsidP="00234BFD">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FORMALIDADES ESENCIALES DEL PROCEDIMIENTO. SON LAS QUE GARANTIZAN UNA ADECUADA Y OPORTUNA DEFENSA PREVIA AL ACTO PRIVATIVO</w:t>
      </w:r>
      <w:r w:rsidRPr="00683CDC">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w:t>
      </w:r>
      <w:r w:rsidRPr="00683CDC">
        <w:rPr>
          <w:rFonts w:ascii="Arial" w:hAnsi="Arial" w:cs="Arial"/>
          <w:sz w:val="24"/>
          <w:szCs w:val="24"/>
          <w:lang w:eastAsia="es-ES"/>
        </w:rPr>
        <w:lastRenderedPageBreak/>
        <w:t xml:space="preserve">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83CDC">
        <w:rPr>
          <w:rFonts w:ascii="Arial" w:hAnsi="Arial" w:cs="Arial"/>
          <w:b/>
          <w:sz w:val="24"/>
          <w:szCs w:val="24"/>
          <w:lang w:eastAsia="es-ES"/>
        </w:rPr>
        <w:t>De no respetarse estos requisitos, se dejaría de cumplir con el fin de la garantía de audiencia, que es evitar la indefensión del afectado</w:t>
      </w:r>
      <w:r w:rsidR="00234BFD">
        <w:rPr>
          <w:rFonts w:ascii="Arial" w:hAnsi="Arial" w:cs="Arial"/>
          <w:sz w:val="24"/>
          <w:szCs w:val="24"/>
          <w:lang w:eastAsia="es-ES"/>
        </w:rPr>
        <w:t>.</w:t>
      </w:r>
    </w:p>
    <w:p w:rsidR="00445A43" w:rsidRPr="00C86FF7" w:rsidRDefault="00445A43" w:rsidP="00234BFD">
      <w:pPr>
        <w:spacing w:line="360" w:lineRule="auto"/>
        <w:ind w:left="1701" w:right="1469"/>
        <w:jc w:val="both"/>
        <w:rPr>
          <w:rFonts w:ascii="Arial" w:hAnsi="Arial" w:cs="Arial"/>
          <w:sz w:val="24"/>
          <w:szCs w:val="24"/>
          <w:lang w:eastAsia="es-ES"/>
        </w:rPr>
      </w:pPr>
    </w:p>
    <w:p w:rsidR="004D76A2" w:rsidRPr="00683CDC" w:rsidRDefault="004D76A2" w:rsidP="004D76A2">
      <w:pPr>
        <w:spacing w:line="360" w:lineRule="auto"/>
        <w:ind w:right="51"/>
        <w:jc w:val="both"/>
        <w:rPr>
          <w:rFonts w:ascii="Arial" w:hAnsi="Arial" w:cs="Arial"/>
          <w:sz w:val="24"/>
          <w:szCs w:val="24"/>
          <w:lang w:eastAsia="es-ES"/>
        </w:rPr>
      </w:pPr>
      <w:r w:rsidRPr="00C86FF7">
        <w:rPr>
          <w:rFonts w:ascii="Arial" w:hAnsi="Arial" w:cs="Arial"/>
          <w:b/>
          <w:sz w:val="24"/>
          <w:szCs w:val="24"/>
          <w:lang w:eastAsia="es-ES"/>
        </w:rPr>
        <w:t xml:space="preserve">          </w:t>
      </w:r>
      <w:r w:rsidRPr="00C86FF7">
        <w:rPr>
          <w:rFonts w:ascii="Arial" w:hAnsi="Arial" w:cs="Arial"/>
          <w:sz w:val="24"/>
          <w:szCs w:val="24"/>
          <w:lang w:eastAsia="es-ES"/>
        </w:rPr>
        <w:t xml:space="preserve"> En ese orden de ideas, la enjuiciada una vez que hubies</w:t>
      </w:r>
      <w:r w:rsidR="00751231">
        <w:rPr>
          <w:rFonts w:ascii="Arial" w:hAnsi="Arial" w:cs="Arial"/>
          <w:sz w:val="24"/>
          <w:szCs w:val="24"/>
          <w:lang w:eastAsia="es-ES"/>
        </w:rPr>
        <w:t>e identificado al actor en los registros c</w:t>
      </w:r>
      <w:r w:rsidRPr="00C86FF7">
        <w:rPr>
          <w:rFonts w:ascii="Arial" w:hAnsi="Arial" w:cs="Arial"/>
          <w:sz w:val="24"/>
          <w:szCs w:val="24"/>
          <w:lang w:eastAsia="es-ES"/>
        </w:rPr>
        <w:t>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w:t>
      </w:r>
      <w:r w:rsidR="00751231">
        <w:rPr>
          <w:rFonts w:ascii="Arial" w:hAnsi="Arial" w:cs="Arial"/>
          <w:sz w:val="24"/>
          <w:szCs w:val="24"/>
          <w:lang w:eastAsia="es-ES"/>
        </w:rPr>
        <w:t xml:space="preserve">, documentos o base de datos </w:t>
      </w:r>
      <w:r w:rsidRPr="00C86FF7">
        <w:rPr>
          <w:rFonts w:ascii="Arial" w:hAnsi="Arial" w:cs="Arial"/>
          <w:sz w:val="24"/>
          <w:szCs w:val="24"/>
          <w:lang w:eastAsia="es-ES"/>
        </w:rPr>
        <w:t xml:space="preserve">como lo marca el artículo 97 del Código Fiscal para el Estado de Oaxaca, pues al hacerlo le otorgaría al gobernado la oportunidad de aclarar, corroborar, desvirtuar, precisar el contenido y alcance de la información que obra en poder de la autoridad fiscalizadora, </w:t>
      </w:r>
      <w:r>
        <w:rPr>
          <w:rFonts w:ascii="Arial" w:hAnsi="Arial" w:cs="Arial"/>
          <w:sz w:val="24"/>
          <w:szCs w:val="24"/>
          <w:lang w:eastAsia="es-ES"/>
        </w:rPr>
        <w:t xml:space="preserve">y </w:t>
      </w:r>
      <w:r w:rsidRPr="00C86FF7">
        <w:rPr>
          <w:rFonts w:ascii="Arial" w:hAnsi="Arial" w:cs="Arial"/>
          <w:sz w:val="24"/>
          <w:szCs w:val="24"/>
          <w:lang w:eastAsia="es-ES"/>
        </w:rPr>
        <w:t>al no darle a conocer los expedientes</w:t>
      </w:r>
      <w:r>
        <w:rPr>
          <w:rFonts w:ascii="Arial" w:hAnsi="Arial" w:cs="Arial"/>
          <w:sz w:val="24"/>
          <w:szCs w:val="24"/>
          <w:lang w:eastAsia="es-ES"/>
        </w:rPr>
        <w:t>,</w:t>
      </w:r>
      <w:r w:rsidRPr="00C86FF7">
        <w:rPr>
          <w:rFonts w:ascii="Arial" w:hAnsi="Arial" w:cs="Arial"/>
          <w:sz w:val="24"/>
          <w:szCs w:val="24"/>
          <w:lang w:eastAsia="es-ES"/>
        </w:rPr>
        <w:t xml:space="preserve"> o la base datos y ubica</w:t>
      </w:r>
      <w:r>
        <w:rPr>
          <w:rFonts w:ascii="Arial" w:hAnsi="Arial" w:cs="Arial"/>
          <w:sz w:val="24"/>
          <w:szCs w:val="24"/>
          <w:lang w:eastAsia="es-ES"/>
        </w:rPr>
        <w:t xml:space="preserve">ción de la información recabada deja en estado de indefensión al actor, violándole la garantía de audiencia contenida en el artículo 14 de la Constitución Política de los Estados Unidos Mexicanos. </w:t>
      </w:r>
      <w:r w:rsidRPr="00C86FF7">
        <w:rPr>
          <w:rFonts w:ascii="Arial" w:hAnsi="Arial" w:cs="Arial"/>
          <w:sz w:val="24"/>
          <w:szCs w:val="24"/>
          <w:lang w:eastAsia="es-ES"/>
        </w:rPr>
        <w:t>Sirve de sustento la siguiente tesis aislada  Tribunales Colegiados de Circuito, Semanario Judicial de la Federación y su Gaceta, Época novena, materia administrativa, Tesi</w:t>
      </w:r>
      <w:r>
        <w:rPr>
          <w:rFonts w:ascii="Arial" w:hAnsi="Arial" w:cs="Arial"/>
          <w:sz w:val="24"/>
          <w:szCs w:val="24"/>
          <w:lang w:eastAsia="es-ES"/>
        </w:rPr>
        <w:t>s: IV.2º. A.69.A, página: 1535.</w:t>
      </w:r>
    </w:p>
    <w:p w:rsidR="00445A43" w:rsidRDefault="00445A43" w:rsidP="00223AF2">
      <w:pPr>
        <w:spacing w:line="360" w:lineRule="auto"/>
        <w:ind w:left="1701" w:right="1469"/>
        <w:jc w:val="both"/>
        <w:rPr>
          <w:rFonts w:ascii="Arial" w:hAnsi="Arial" w:cs="Arial"/>
          <w:b/>
          <w:sz w:val="24"/>
          <w:szCs w:val="24"/>
          <w:lang w:eastAsia="es-ES"/>
        </w:rPr>
      </w:pPr>
    </w:p>
    <w:p w:rsidR="00445A43" w:rsidRDefault="00445A43" w:rsidP="00223AF2">
      <w:pPr>
        <w:spacing w:line="360" w:lineRule="auto"/>
        <w:ind w:left="1701" w:right="1469"/>
        <w:jc w:val="both"/>
        <w:rPr>
          <w:rFonts w:ascii="Arial" w:hAnsi="Arial" w:cs="Arial"/>
          <w:b/>
          <w:sz w:val="24"/>
          <w:szCs w:val="24"/>
          <w:lang w:eastAsia="es-ES"/>
        </w:rPr>
      </w:pPr>
    </w:p>
    <w:p w:rsidR="00223AF2" w:rsidRPr="00683CDC" w:rsidRDefault="00223AF2" w:rsidP="00223AF2">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683CDC">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w:t>
      </w:r>
      <w:r w:rsidRPr="00B94D8F">
        <w:rPr>
          <w:rFonts w:ascii="Arial" w:hAnsi="Arial" w:cs="Arial"/>
          <w:sz w:val="24"/>
          <w:szCs w:val="24"/>
          <w:lang w:eastAsia="es-ES"/>
        </w:rPr>
        <w:t>63 precitado</w:t>
      </w:r>
      <w:r w:rsidRPr="00683CDC">
        <w:rPr>
          <w:rFonts w:ascii="Arial" w:hAnsi="Arial" w:cs="Arial"/>
          <w:sz w:val="24"/>
          <w:szCs w:val="24"/>
          <w:lang w:eastAsia="es-ES"/>
        </w:rPr>
        <w:t xml:space="preserve">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w:t>
      </w:r>
      <w:r w:rsidRPr="00683CDC">
        <w:rPr>
          <w:rFonts w:ascii="Arial" w:hAnsi="Arial" w:cs="Arial"/>
          <w:sz w:val="24"/>
          <w:szCs w:val="24"/>
          <w:lang w:eastAsia="es-ES"/>
        </w:rPr>
        <w:lastRenderedPageBreak/>
        <w:t>seguridad jurídica consagrada en el dispositivo constitucional antes invocado, ya que como consecuencia de tal omisión se le impide conocer la causa, la razón y los datos que tuvo en cuenta para emitir el acto de molestia, y la posibilidad de defenderse.</w:t>
      </w:r>
    </w:p>
    <w:p w:rsidR="00223AF2" w:rsidRPr="00683CDC" w:rsidRDefault="00223AF2" w:rsidP="00223AF2">
      <w:pPr>
        <w:widowControl w:val="0"/>
        <w:spacing w:line="360" w:lineRule="auto"/>
        <w:jc w:val="both"/>
        <w:rPr>
          <w:rFonts w:ascii="Arial" w:hAnsi="Arial" w:cs="Arial"/>
          <w:sz w:val="24"/>
          <w:szCs w:val="24"/>
          <w:lang w:eastAsia="es-ES"/>
        </w:rPr>
      </w:pPr>
    </w:p>
    <w:p w:rsidR="00A9288A" w:rsidRPr="000544DF" w:rsidRDefault="00F630C6" w:rsidP="00A9288A">
      <w:pPr>
        <w:widowControl w:val="0"/>
        <w:spacing w:line="360" w:lineRule="auto"/>
        <w:ind w:hanging="426"/>
        <w:jc w:val="both"/>
        <w:rPr>
          <w:rFonts w:ascii="Arial" w:hAnsi="Arial" w:cs="Arial"/>
          <w:sz w:val="24"/>
          <w:szCs w:val="24"/>
        </w:rPr>
      </w:pPr>
      <w:r>
        <w:rPr>
          <w:rFonts w:ascii="Arial" w:hAnsi="Arial" w:cs="Arial"/>
          <w:sz w:val="24"/>
          <w:szCs w:val="24"/>
          <w:lang w:eastAsia="es-ES"/>
        </w:rPr>
        <w:t xml:space="preserve">                     De</w:t>
      </w:r>
      <w:r w:rsidR="00223AF2" w:rsidRPr="00683CDC">
        <w:rPr>
          <w:rFonts w:ascii="Arial" w:hAnsi="Arial" w:cs="Arial"/>
          <w:sz w:val="24"/>
          <w:szCs w:val="24"/>
          <w:lang w:eastAsia="es-ES"/>
        </w:rPr>
        <w:t xml:space="preserve"> lo anterior</w:t>
      </w:r>
      <w:r w:rsidR="00223AF2">
        <w:rPr>
          <w:rFonts w:ascii="Arial" w:hAnsi="Arial" w:cs="Arial"/>
          <w:sz w:val="24"/>
          <w:szCs w:val="24"/>
          <w:lang w:eastAsia="es-ES"/>
        </w:rPr>
        <w:t xml:space="preserve">, se advierte que la demandada </w:t>
      </w:r>
      <w:r w:rsidR="00223AF2" w:rsidRPr="00683CDC">
        <w:rPr>
          <w:rFonts w:ascii="Arial" w:hAnsi="Arial" w:cs="Arial"/>
          <w:sz w:val="24"/>
          <w:szCs w:val="24"/>
          <w:lang w:eastAsia="es-ES"/>
        </w:rPr>
        <w:t>omitió</w:t>
      </w:r>
      <w:r w:rsidR="00223AF2">
        <w:rPr>
          <w:rFonts w:ascii="Arial" w:hAnsi="Arial" w:cs="Arial"/>
          <w:sz w:val="24"/>
          <w:szCs w:val="24"/>
          <w:lang w:eastAsia="es-ES"/>
        </w:rPr>
        <w:t xml:space="preserve"> señalar </w:t>
      </w:r>
      <w:r w:rsidR="00223AF2" w:rsidRPr="00683CDC">
        <w:rPr>
          <w:rFonts w:ascii="Arial" w:hAnsi="Arial" w:cs="Arial"/>
          <w:sz w:val="24"/>
          <w:szCs w:val="24"/>
          <w:lang w:eastAsia="es-ES"/>
        </w:rPr>
        <w:t xml:space="preserve"> en la multa impugnada las razones de qué forma confirmó fehacientemente que la admi</w:t>
      </w:r>
      <w:r w:rsidR="00223AF2">
        <w:rPr>
          <w:rFonts w:ascii="Arial" w:hAnsi="Arial" w:cs="Arial"/>
          <w:sz w:val="24"/>
          <w:szCs w:val="24"/>
          <w:lang w:eastAsia="es-ES"/>
        </w:rPr>
        <w:t xml:space="preserve">nistrada estaba obligada a  la Presentación de las Declaraciones Bimestrales </w:t>
      </w:r>
      <w:r w:rsidR="00223AF2" w:rsidRPr="00683CDC">
        <w:rPr>
          <w:rFonts w:ascii="Arial" w:hAnsi="Arial" w:cs="Arial"/>
          <w:sz w:val="24"/>
          <w:szCs w:val="24"/>
          <w:lang w:eastAsia="es-ES"/>
        </w:rPr>
        <w:t xml:space="preserve"> del</w:t>
      </w:r>
      <w:r w:rsidR="00223AF2">
        <w:rPr>
          <w:rFonts w:ascii="Arial" w:hAnsi="Arial" w:cs="Arial"/>
          <w:sz w:val="24"/>
          <w:szCs w:val="24"/>
          <w:lang w:eastAsia="es-ES"/>
        </w:rPr>
        <w:t xml:space="preserve"> </w:t>
      </w:r>
      <w:r w:rsidR="00186D46" w:rsidRPr="00186D46">
        <w:rPr>
          <w:rFonts w:ascii="Arial" w:hAnsi="Arial" w:cs="Arial"/>
          <w:sz w:val="24"/>
          <w:szCs w:val="24"/>
          <w:lang w:val="es-ES_tradnl" w:eastAsia="es-ES"/>
        </w:rPr>
        <w:t>Impuesto Cedular a los Ingresos por el Otorgamiento del Uso o Goce Temporal de Bienes Inmuebles</w:t>
      </w:r>
      <w:r w:rsidR="00223AF2" w:rsidRPr="00186D46">
        <w:rPr>
          <w:rFonts w:ascii="Arial" w:hAnsi="Arial" w:cs="Arial"/>
          <w:sz w:val="24"/>
          <w:szCs w:val="24"/>
          <w:lang w:eastAsia="es-ES"/>
        </w:rPr>
        <w:t>,</w:t>
      </w:r>
      <w:r w:rsidR="00223AF2">
        <w:rPr>
          <w:rFonts w:ascii="Arial" w:hAnsi="Arial" w:cs="Arial"/>
          <w:sz w:val="24"/>
          <w:szCs w:val="24"/>
          <w:lang w:eastAsia="es-ES"/>
        </w:rPr>
        <w:t xml:space="preserve"> así como</w:t>
      </w:r>
      <w:r w:rsidR="00223AF2" w:rsidRPr="00683CDC">
        <w:rPr>
          <w:rFonts w:ascii="Arial" w:hAnsi="Arial" w:cs="Arial"/>
          <w:sz w:val="24"/>
          <w:szCs w:val="24"/>
          <w:lang w:eastAsia="es-ES"/>
        </w:rPr>
        <w:t xml:space="preserve"> al no indicar los antecedentes específicos que se tenían para cons</w:t>
      </w:r>
      <w:r>
        <w:rPr>
          <w:rFonts w:ascii="Arial" w:hAnsi="Arial" w:cs="Arial"/>
          <w:sz w:val="24"/>
          <w:szCs w:val="24"/>
          <w:lang w:eastAsia="es-ES"/>
        </w:rPr>
        <w:t>iderarlo sujeto de ese impuesto</w:t>
      </w:r>
      <w:r w:rsidR="00223AF2" w:rsidRPr="00683CDC">
        <w:rPr>
          <w:rFonts w:ascii="Arial" w:hAnsi="Arial" w:cs="Arial"/>
          <w:sz w:val="24"/>
          <w:szCs w:val="24"/>
          <w:lang w:eastAsia="es-ES"/>
        </w:rPr>
        <w:t xml:space="preserve"> al no señalarlos en el cuerpo del acto de autoridad </w:t>
      </w:r>
      <w:r>
        <w:rPr>
          <w:rFonts w:ascii="Arial" w:hAnsi="Arial" w:cs="Arial"/>
          <w:sz w:val="24"/>
          <w:szCs w:val="24"/>
          <w:lang w:eastAsia="es-ES"/>
        </w:rPr>
        <w:t>y al no darle la oportunidad de intervenir en el procedimiento previo</w:t>
      </w:r>
      <w:r w:rsidRPr="00683CDC">
        <w:rPr>
          <w:rFonts w:ascii="Arial" w:hAnsi="Arial" w:cs="Arial"/>
          <w:sz w:val="24"/>
          <w:szCs w:val="24"/>
          <w:lang w:eastAsia="es-ES"/>
        </w:rPr>
        <w:t xml:space="preserve"> </w:t>
      </w:r>
      <w:r w:rsidR="00223AF2" w:rsidRPr="00683CDC">
        <w:rPr>
          <w:rFonts w:ascii="Arial" w:hAnsi="Arial" w:cs="Arial"/>
          <w:sz w:val="24"/>
          <w:szCs w:val="24"/>
          <w:lang w:eastAsia="es-ES"/>
        </w:rPr>
        <w:t xml:space="preserve">provoca la ilegalidad de la resolución, al confirmar un requerimiento realizado de manera incorrecta, al no acatarse a lo dispuesto por el artículo </w:t>
      </w:r>
      <w:r w:rsidR="00223AF2">
        <w:rPr>
          <w:rFonts w:ascii="Arial" w:hAnsi="Arial" w:cs="Arial"/>
          <w:sz w:val="24"/>
          <w:szCs w:val="24"/>
          <w:lang w:eastAsia="es-ES"/>
        </w:rPr>
        <w:t>1</w:t>
      </w:r>
      <w:r w:rsidR="00223AF2" w:rsidRPr="00683CDC">
        <w:rPr>
          <w:rFonts w:ascii="Arial" w:hAnsi="Arial" w:cs="Arial"/>
          <w:sz w:val="24"/>
          <w:szCs w:val="24"/>
          <w:lang w:eastAsia="es-ES"/>
        </w:rPr>
        <w:t xml:space="preserve">7 fracción V, de la Ley de </w:t>
      </w:r>
      <w:r w:rsidR="00223AF2">
        <w:rPr>
          <w:rFonts w:ascii="Arial" w:hAnsi="Arial" w:cs="Arial"/>
          <w:sz w:val="24"/>
          <w:szCs w:val="24"/>
          <w:lang w:eastAsia="es-ES"/>
        </w:rPr>
        <w:t xml:space="preserve">Procedimiento y </w:t>
      </w:r>
      <w:r w:rsidR="00223AF2" w:rsidRPr="00683CDC">
        <w:rPr>
          <w:rFonts w:ascii="Arial" w:hAnsi="Arial" w:cs="Arial"/>
          <w:sz w:val="24"/>
          <w:szCs w:val="24"/>
          <w:lang w:eastAsia="es-ES"/>
        </w:rPr>
        <w:t xml:space="preserve">Justicia Administrativa para el Estado de Oaxaca, por carecer de la debida fundamentación y motivación, de donde en términos del artículo </w:t>
      </w:r>
      <w:r w:rsidR="00223AF2" w:rsidRPr="000C0D5B">
        <w:rPr>
          <w:rFonts w:ascii="Arial" w:hAnsi="Arial" w:cs="Arial"/>
          <w:sz w:val="24"/>
          <w:szCs w:val="24"/>
        </w:rPr>
        <w:t>207, fracciones I,</w:t>
      </w:r>
      <w:r w:rsidR="00223AF2">
        <w:rPr>
          <w:rFonts w:ascii="Arial" w:hAnsi="Arial" w:cs="Arial"/>
          <w:sz w:val="24"/>
          <w:szCs w:val="24"/>
        </w:rPr>
        <w:t xml:space="preserve"> II y III, 208 fracción II, VI,</w:t>
      </w:r>
      <w:r w:rsidR="00223AF2" w:rsidRPr="00683CDC">
        <w:rPr>
          <w:rFonts w:ascii="Arial" w:hAnsi="Arial" w:cs="Arial"/>
          <w:sz w:val="24"/>
          <w:szCs w:val="24"/>
          <w:lang w:eastAsia="es-ES"/>
        </w:rPr>
        <w:t xml:space="preserve"> de la Ley de la materia procede </w:t>
      </w:r>
      <w:r w:rsidR="00223AF2" w:rsidRPr="00683CDC">
        <w:rPr>
          <w:rFonts w:ascii="Arial" w:hAnsi="Arial" w:cs="Arial"/>
          <w:b/>
          <w:sz w:val="24"/>
          <w:szCs w:val="24"/>
          <w:lang w:eastAsia="es-ES"/>
        </w:rPr>
        <w:t xml:space="preserve">DECLARAR SU NULIDAD LISA Y LLANA </w:t>
      </w:r>
      <w:r w:rsidR="00223AF2" w:rsidRPr="00683CDC">
        <w:rPr>
          <w:rFonts w:ascii="Arial" w:hAnsi="Arial" w:cs="Arial"/>
          <w:sz w:val="24"/>
          <w:szCs w:val="24"/>
          <w:lang w:eastAsia="es-ES"/>
        </w:rPr>
        <w:t xml:space="preserve">de la multa </w:t>
      </w:r>
      <w:r w:rsidR="00223AF2">
        <w:rPr>
          <w:rFonts w:ascii="Arial" w:hAnsi="Arial" w:cs="Arial"/>
          <w:sz w:val="24"/>
          <w:szCs w:val="24"/>
          <w:lang w:eastAsia="es-ES"/>
        </w:rPr>
        <w:t xml:space="preserve">emitida  por la no presentación de las Declaraciones Bimestrales </w:t>
      </w:r>
      <w:r w:rsidR="00223AF2" w:rsidRPr="00683CDC">
        <w:rPr>
          <w:rFonts w:ascii="Arial" w:hAnsi="Arial" w:cs="Arial"/>
          <w:sz w:val="24"/>
          <w:szCs w:val="24"/>
          <w:lang w:eastAsia="es-ES"/>
        </w:rPr>
        <w:t xml:space="preserve"> del</w:t>
      </w:r>
      <w:r w:rsidR="00223AF2">
        <w:rPr>
          <w:rFonts w:ascii="Arial" w:hAnsi="Arial" w:cs="Arial"/>
          <w:sz w:val="24"/>
          <w:szCs w:val="24"/>
          <w:lang w:eastAsia="es-ES"/>
        </w:rPr>
        <w:t xml:space="preserve"> </w:t>
      </w:r>
      <w:r w:rsidR="00984940" w:rsidRPr="00984940">
        <w:rPr>
          <w:rFonts w:ascii="Arial" w:hAnsi="Arial" w:cs="Arial"/>
          <w:sz w:val="24"/>
          <w:szCs w:val="24"/>
          <w:lang w:val="es-ES_tradnl" w:eastAsia="es-ES"/>
        </w:rPr>
        <w:t>Impuesto Cedular a los Ingresos por el Otorgamiento del Uso o Goce Temporal de Bienes Inmuebles</w:t>
      </w:r>
      <w:r w:rsidR="00223AF2">
        <w:rPr>
          <w:rFonts w:ascii="Arial" w:hAnsi="Arial" w:cs="Arial"/>
          <w:sz w:val="24"/>
          <w:szCs w:val="24"/>
          <w:lang w:eastAsia="es-ES"/>
        </w:rPr>
        <w:t xml:space="preserve"> contenida en el </w:t>
      </w:r>
      <w:r w:rsidR="00C55C8B">
        <w:rPr>
          <w:rFonts w:ascii="Arial" w:hAnsi="Arial" w:cs="Arial"/>
          <w:sz w:val="24"/>
          <w:szCs w:val="24"/>
          <w:lang w:eastAsia="es-ES"/>
        </w:rPr>
        <w:t xml:space="preserve">oficio </w:t>
      </w:r>
      <w:r w:rsidR="00C55C8B" w:rsidRPr="0010069A">
        <w:rPr>
          <w:rFonts w:ascii="Arial" w:hAnsi="Arial" w:cs="Arial"/>
          <w:sz w:val="24"/>
          <w:szCs w:val="24"/>
        </w:rPr>
        <w:t>con número de</w:t>
      </w:r>
      <w:r w:rsidR="00A9288A" w:rsidRPr="000544DF">
        <w:rPr>
          <w:rFonts w:ascii="Arial" w:hAnsi="Arial" w:cs="Arial"/>
          <w:sz w:val="24"/>
          <w:szCs w:val="24"/>
        </w:rPr>
        <w:t xml:space="preserve"> control </w:t>
      </w:r>
      <w:r w:rsidR="00884B24">
        <w:rPr>
          <w:rFonts w:cs="Arial"/>
          <w:b/>
          <w:sz w:val="24"/>
          <w:szCs w:val="24"/>
        </w:rPr>
        <w:t>**********</w:t>
      </w:r>
      <w:r w:rsidR="00A9288A" w:rsidRPr="000544DF">
        <w:rPr>
          <w:rFonts w:ascii="Arial" w:hAnsi="Arial" w:cs="Arial"/>
          <w:sz w:val="24"/>
          <w:szCs w:val="24"/>
        </w:rPr>
        <w:t xml:space="preserve"> de fecha </w:t>
      </w:r>
      <w:r w:rsidR="00884B24">
        <w:rPr>
          <w:rFonts w:cs="Arial"/>
          <w:b/>
          <w:sz w:val="24"/>
          <w:szCs w:val="24"/>
        </w:rPr>
        <w:t xml:space="preserve">********** </w:t>
      </w:r>
      <w:r w:rsidR="00A9288A" w:rsidRPr="000544DF">
        <w:rPr>
          <w:rFonts w:ascii="Arial" w:hAnsi="Arial" w:cs="Arial"/>
          <w:sz w:val="24"/>
          <w:szCs w:val="24"/>
        </w:rPr>
        <w:t xml:space="preserve">signada por la </w:t>
      </w:r>
      <w:r w:rsidR="00A9288A" w:rsidRPr="000544DF">
        <w:rPr>
          <w:rFonts w:ascii="Arial" w:hAnsi="Arial" w:cs="Arial"/>
          <w:b/>
          <w:sz w:val="24"/>
          <w:szCs w:val="24"/>
        </w:rPr>
        <w:t xml:space="preserve">DIRECTORA DE INGRESOS Y RECAUDACIÓN DE LA SECRETARÍA DE FINANZAS </w:t>
      </w:r>
      <w:r w:rsidR="000544DF" w:rsidRPr="000544DF">
        <w:rPr>
          <w:rFonts w:ascii="Arial" w:hAnsi="Arial" w:cs="Arial"/>
          <w:sz w:val="24"/>
          <w:szCs w:val="24"/>
        </w:rPr>
        <w:t>DEL PODER EJECUTIVO DEL ESTADO DE OAXACA</w:t>
      </w:r>
      <w:r w:rsidR="000544DF">
        <w:rPr>
          <w:rFonts w:ascii="Arial" w:hAnsi="Arial" w:cs="Arial"/>
          <w:sz w:val="24"/>
          <w:szCs w:val="24"/>
        </w:rPr>
        <w:t>.</w:t>
      </w:r>
    </w:p>
    <w:p w:rsidR="00A9288A" w:rsidRPr="00010BEC" w:rsidRDefault="00A9288A" w:rsidP="00C55C8B">
      <w:pPr>
        <w:widowControl w:val="0"/>
        <w:spacing w:line="360" w:lineRule="auto"/>
        <w:ind w:hanging="426"/>
        <w:jc w:val="both"/>
        <w:rPr>
          <w:rFonts w:ascii="Arial" w:hAnsi="Arial" w:cs="Arial"/>
          <w:sz w:val="24"/>
          <w:szCs w:val="24"/>
        </w:rPr>
      </w:pPr>
    </w:p>
    <w:p w:rsidR="00B94D8F" w:rsidRPr="00010BEC" w:rsidRDefault="00223AF2" w:rsidP="00223AF2">
      <w:pPr>
        <w:widowControl w:val="0"/>
        <w:spacing w:line="360" w:lineRule="auto"/>
        <w:ind w:right="49"/>
        <w:jc w:val="both"/>
        <w:rPr>
          <w:rFonts w:ascii="Arial" w:hAnsi="Arial" w:cs="Arial"/>
          <w:sz w:val="24"/>
          <w:szCs w:val="24"/>
          <w:lang w:eastAsia="es-ES"/>
        </w:rPr>
      </w:pPr>
      <w:r w:rsidRPr="00010BEC">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445A43" w:rsidRDefault="00445A43" w:rsidP="000544DF">
      <w:pPr>
        <w:widowControl w:val="0"/>
        <w:spacing w:line="360" w:lineRule="auto"/>
        <w:ind w:left="1701" w:right="1469"/>
        <w:jc w:val="both"/>
        <w:rPr>
          <w:rFonts w:ascii="Arial" w:hAnsi="Arial" w:cs="Arial"/>
          <w:b/>
          <w:sz w:val="24"/>
          <w:szCs w:val="24"/>
          <w:lang w:eastAsia="es-ES"/>
        </w:rPr>
      </w:pPr>
    </w:p>
    <w:p w:rsidR="000544DF" w:rsidRPr="00010BEC" w:rsidRDefault="00223AF2" w:rsidP="000544DF">
      <w:pPr>
        <w:widowControl w:val="0"/>
        <w:spacing w:line="360" w:lineRule="auto"/>
        <w:ind w:left="1701" w:right="1469"/>
        <w:jc w:val="both"/>
        <w:rPr>
          <w:rFonts w:ascii="Arial" w:hAnsi="Arial" w:cs="Arial"/>
          <w:sz w:val="24"/>
          <w:szCs w:val="24"/>
          <w:lang w:eastAsia="es-ES"/>
        </w:rPr>
      </w:pPr>
      <w:r w:rsidRPr="00010BEC">
        <w:rPr>
          <w:rFonts w:ascii="Arial" w:hAnsi="Arial" w:cs="Arial"/>
          <w:b/>
          <w:sz w:val="24"/>
          <w:szCs w:val="24"/>
          <w:lang w:eastAsia="es-ES"/>
        </w:rPr>
        <w:t xml:space="preserve">MULTAS DERIVADAS DE LA VERIFICACIÓN DEL CUMPLIMIENTO DE OBLIGACIONES FISCALES DE LOS </w:t>
      </w:r>
      <w:r w:rsidRPr="00010BEC">
        <w:rPr>
          <w:rFonts w:ascii="Arial" w:hAnsi="Arial" w:cs="Arial"/>
          <w:b/>
          <w:sz w:val="24"/>
          <w:szCs w:val="24"/>
          <w:lang w:eastAsia="es-ES"/>
        </w:rPr>
        <w:lastRenderedPageBreak/>
        <w:t>CONTRIBUYENTES. SU NULIDAD POR VICIOS FORMALES DEBE SER LISA Y LLANA, AL HABERSE ORIGINADO CON MOTIVO DEL EJERCICIO DE FACULTADES DISCRECIONALES DE LA AUTORIDAD</w:t>
      </w:r>
      <w:r w:rsidRPr="00010BEC">
        <w:rPr>
          <w:rFonts w:ascii="Arial" w:hAnsi="Arial" w:cs="Arial"/>
          <w:sz w:val="24"/>
          <w:szCs w:val="24"/>
          <w:lang w:eastAsia="es-ES"/>
        </w:rPr>
        <w:t xml:space="preserve">. </w:t>
      </w:r>
    </w:p>
    <w:p w:rsidR="00223AF2" w:rsidRPr="00010BEC" w:rsidRDefault="00223AF2" w:rsidP="00223AF2">
      <w:pPr>
        <w:widowControl w:val="0"/>
        <w:spacing w:line="360" w:lineRule="auto"/>
        <w:ind w:left="1701" w:right="1469"/>
        <w:jc w:val="both"/>
        <w:rPr>
          <w:rFonts w:ascii="Arial" w:hAnsi="Arial" w:cs="Arial"/>
          <w:sz w:val="24"/>
          <w:szCs w:val="24"/>
          <w:lang w:eastAsia="es-ES"/>
        </w:rPr>
      </w:pPr>
    </w:p>
    <w:p w:rsidR="000544DF" w:rsidRDefault="0048694B" w:rsidP="00010BEC">
      <w:pPr>
        <w:pStyle w:val="corte4fondo"/>
        <w:ind w:firstLine="567"/>
        <w:rPr>
          <w:rFonts w:cs="Arial"/>
          <w:sz w:val="24"/>
          <w:szCs w:val="24"/>
        </w:rPr>
      </w:pPr>
      <w:r w:rsidRPr="00010BEC">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sidRPr="00010BEC">
        <w:rPr>
          <w:rFonts w:cs="Arial"/>
          <w:sz w:val="24"/>
          <w:szCs w:val="24"/>
        </w:rPr>
        <w:t xml:space="preserve">resulta innecesario </w:t>
      </w:r>
      <w:r w:rsidRPr="00010BEC">
        <w:rPr>
          <w:rFonts w:cs="Arial"/>
          <w:bCs/>
          <w:color w:val="000000"/>
          <w:sz w:val="24"/>
          <w:szCs w:val="24"/>
          <w:lang w:val="es-ES"/>
        </w:rPr>
        <w:t>el análisis de los demás planteamientos formulados por el actor,</w:t>
      </w:r>
      <w:r w:rsidRPr="00010BEC">
        <w:rPr>
          <w:rFonts w:cs="Arial"/>
          <w:sz w:val="24"/>
          <w:szCs w:val="24"/>
        </w:rPr>
        <w:t xml:space="preserve"> virtud a que a nada práctico conduciría, toda vez que </w:t>
      </w:r>
      <w:r w:rsidRPr="00010BEC">
        <w:rPr>
          <w:rFonts w:cs="Arial"/>
          <w:bCs/>
          <w:color w:val="000000"/>
          <w:sz w:val="24"/>
          <w:szCs w:val="24"/>
          <w:lang w:val="es-ES"/>
        </w:rPr>
        <w:t>lo analizado fue suficiente para declarar la nulidad lisa y llana del mismo, pretensión principal de la accionante</w:t>
      </w:r>
      <w:r w:rsidR="00010BEC" w:rsidRPr="00010BEC">
        <w:rPr>
          <w:rFonts w:cs="Arial"/>
          <w:sz w:val="24"/>
          <w:szCs w:val="24"/>
        </w:rPr>
        <w:t xml:space="preserve">. </w:t>
      </w:r>
    </w:p>
    <w:p w:rsidR="0048694B" w:rsidRPr="00010BEC" w:rsidRDefault="00010BEC" w:rsidP="00010BEC">
      <w:pPr>
        <w:pStyle w:val="corte4fondo"/>
        <w:ind w:firstLine="567"/>
        <w:rPr>
          <w:rFonts w:cs="Arial"/>
          <w:sz w:val="24"/>
          <w:szCs w:val="24"/>
        </w:rPr>
      </w:pPr>
      <w:r w:rsidRPr="00010BEC">
        <w:rPr>
          <w:rFonts w:cs="Arial"/>
          <w:sz w:val="24"/>
          <w:szCs w:val="24"/>
        </w:rPr>
        <w:t xml:space="preserve"> </w:t>
      </w:r>
    </w:p>
    <w:p w:rsidR="000544DF" w:rsidRPr="00C86FF7" w:rsidRDefault="0048694B" w:rsidP="000544DF">
      <w:pPr>
        <w:spacing w:line="360" w:lineRule="auto"/>
        <w:ind w:right="51" w:firstLine="567"/>
        <w:jc w:val="both"/>
        <w:rPr>
          <w:rFonts w:ascii="Arial" w:hAnsi="Arial" w:cs="Arial"/>
          <w:bCs/>
          <w:i/>
          <w:sz w:val="24"/>
          <w:szCs w:val="24"/>
        </w:rPr>
      </w:pPr>
      <w:r w:rsidRPr="00010BEC">
        <w:rPr>
          <w:rFonts w:ascii="Arial" w:hAnsi="Arial" w:cs="Arial"/>
          <w:bCs/>
          <w:sz w:val="24"/>
          <w:szCs w:val="24"/>
        </w:rPr>
        <w:t xml:space="preserve">Resulta aplicable la Jurisprudencia de la Novena Época, sustentada por el Cuarto Tribunal Colegiado en materia Administrativa del Primer Circuito, publicada en el Semanario Judicial de la Federación y su Gaceta, Tomo XXIII, Mayo de 2006, visible en la página 646, </w:t>
      </w:r>
      <w:r w:rsidR="000544DF">
        <w:rPr>
          <w:rFonts w:ascii="Arial" w:hAnsi="Arial" w:cs="Arial"/>
          <w:bCs/>
          <w:sz w:val="24"/>
          <w:szCs w:val="24"/>
        </w:rPr>
        <w:t>bajo el siguiente rubro</w:t>
      </w:r>
      <w:r w:rsidR="000544DF" w:rsidRPr="00C86FF7">
        <w:rPr>
          <w:rFonts w:ascii="Arial" w:hAnsi="Arial" w:cs="Arial"/>
          <w:bCs/>
          <w:i/>
          <w:sz w:val="24"/>
          <w:szCs w:val="24"/>
        </w:rPr>
        <w:t>:</w:t>
      </w:r>
    </w:p>
    <w:p w:rsidR="000544DF" w:rsidRPr="00C86FF7" w:rsidRDefault="000544DF" w:rsidP="000544DF">
      <w:pPr>
        <w:spacing w:line="360" w:lineRule="auto"/>
        <w:ind w:right="51"/>
        <w:jc w:val="both"/>
        <w:rPr>
          <w:rFonts w:ascii="Arial" w:hAnsi="Arial" w:cs="Arial"/>
          <w:bCs/>
          <w:i/>
          <w:sz w:val="24"/>
          <w:szCs w:val="24"/>
        </w:rPr>
      </w:pPr>
    </w:p>
    <w:p w:rsidR="00445A43" w:rsidRDefault="00445A43" w:rsidP="0048694B">
      <w:pPr>
        <w:tabs>
          <w:tab w:val="left" w:pos="7371"/>
        </w:tabs>
        <w:spacing w:line="360" w:lineRule="auto"/>
        <w:ind w:left="1701" w:right="1469"/>
        <w:jc w:val="both"/>
        <w:rPr>
          <w:rFonts w:ascii="Arial" w:hAnsi="Arial" w:cs="Arial"/>
          <w:b/>
          <w:bCs/>
          <w:sz w:val="24"/>
          <w:szCs w:val="24"/>
        </w:rPr>
      </w:pPr>
    </w:p>
    <w:p w:rsidR="0048694B" w:rsidRPr="00010BEC" w:rsidRDefault="0048694B" w:rsidP="0048694B">
      <w:pPr>
        <w:tabs>
          <w:tab w:val="left" w:pos="7371"/>
        </w:tabs>
        <w:spacing w:line="360" w:lineRule="auto"/>
        <w:ind w:left="1701" w:right="1469"/>
        <w:jc w:val="both"/>
        <w:rPr>
          <w:rFonts w:ascii="Arial" w:hAnsi="Arial" w:cs="Arial"/>
          <w:bCs/>
          <w:sz w:val="24"/>
          <w:szCs w:val="24"/>
        </w:rPr>
      </w:pPr>
      <w:r w:rsidRPr="00010BEC">
        <w:rPr>
          <w:rFonts w:ascii="Arial" w:hAnsi="Arial" w:cs="Arial"/>
          <w:b/>
          <w:bCs/>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48694B" w:rsidRDefault="0048694B" w:rsidP="00223AF2">
      <w:pPr>
        <w:spacing w:line="360" w:lineRule="auto"/>
        <w:ind w:right="51"/>
        <w:jc w:val="both"/>
        <w:rPr>
          <w:rFonts w:ascii="Arial" w:hAnsi="Arial" w:cs="Arial"/>
          <w:b/>
          <w:color w:val="444444"/>
          <w:sz w:val="24"/>
          <w:szCs w:val="24"/>
        </w:rPr>
      </w:pPr>
    </w:p>
    <w:p w:rsidR="00445A43" w:rsidRPr="00010BEC" w:rsidRDefault="00445A43" w:rsidP="00223AF2">
      <w:pPr>
        <w:spacing w:line="360" w:lineRule="auto"/>
        <w:ind w:right="51"/>
        <w:jc w:val="both"/>
        <w:rPr>
          <w:rFonts w:ascii="Arial" w:hAnsi="Arial" w:cs="Arial"/>
          <w:b/>
          <w:color w:val="444444"/>
          <w:sz w:val="24"/>
          <w:szCs w:val="24"/>
        </w:rPr>
      </w:pPr>
    </w:p>
    <w:p w:rsidR="00223AF2" w:rsidRPr="00010BEC" w:rsidRDefault="00223AF2" w:rsidP="0048694B">
      <w:pPr>
        <w:spacing w:line="360" w:lineRule="auto"/>
        <w:ind w:right="51" w:firstLine="708"/>
        <w:jc w:val="both"/>
        <w:rPr>
          <w:rFonts w:ascii="Arial" w:hAnsi="Arial" w:cs="Arial"/>
          <w:color w:val="444444"/>
          <w:sz w:val="24"/>
          <w:szCs w:val="24"/>
        </w:rPr>
      </w:pPr>
      <w:r w:rsidRPr="00010BEC">
        <w:rPr>
          <w:rFonts w:ascii="Arial" w:hAnsi="Arial" w:cs="Arial"/>
          <w:b/>
          <w:color w:val="444444"/>
          <w:sz w:val="24"/>
          <w:szCs w:val="24"/>
        </w:rPr>
        <w:t>QUINTO.-</w:t>
      </w:r>
      <w:r w:rsidRPr="00010BEC">
        <w:rPr>
          <w:rFonts w:ascii="Arial" w:hAnsi="Arial" w:cs="Arial"/>
          <w:color w:val="444444"/>
          <w:sz w:val="24"/>
          <w:szCs w:val="24"/>
        </w:rPr>
        <w:t xml:space="preserve"> Como la parte actora en el presente juicio, no</w:t>
      </w:r>
      <w:r w:rsidRPr="00010BEC">
        <w:rPr>
          <w:rFonts w:ascii="Arial" w:hAnsi="Arial" w:cs="Arial"/>
          <w:b/>
          <w:color w:val="444444"/>
          <w:sz w:val="24"/>
          <w:szCs w:val="24"/>
        </w:rPr>
        <w:t xml:space="preserve"> se opuso a la publicación de sus datos personales, </w:t>
      </w:r>
      <w:r w:rsidRPr="00010BEC">
        <w:rPr>
          <w:rFonts w:ascii="Arial" w:hAnsi="Arial" w:cs="Arial"/>
          <w:color w:val="444444"/>
          <w:sz w:val="24"/>
          <w:szCs w:val="24"/>
        </w:rPr>
        <w:t>aun cuando no haya ejercido ese derecho y al encontrarse obligado este juzgador a proteger dicha información</w:t>
      </w:r>
      <w:r w:rsidRPr="00010BEC">
        <w:rPr>
          <w:rFonts w:ascii="Arial" w:hAnsi="Arial" w:cs="Arial"/>
          <w:b/>
          <w:color w:val="444444"/>
          <w:sz w:val="24"/>
          <w:szCs w:val="24"/>
        </w:rPr>
        <w:t xml:space="preserve"> </w:t>
      </w:r>
      <w:r w:rsidRPr="00010BEC">
        <w:rPr>
          <w:rFonts w:ascii="Arial" w:hAnsi="Arial" w:cs="Arial"/>
          <w:color w:val="444444"/>
          <w:sz w:val="24"/>
          <w:szCs w:val="24"/>
        </w:rPr>
        <w:t xml:space="preserve">de conformidad a lo dispuesto por los artículos 114, aparatado C, de la Constitución Política del Estado Libre </w:t>
      </w:r>
      <w:r w:rsidRPr="00010BEC">
        <w:rPr>
          <w:rFonts w:ascii="Arial" w:hAnsi="Arial" w:cs="Arial"/>
          <w:color w:val="444444"/>
          <w:sz w:val="24"/>
          <w:szCs w:val="24"/>
        </w:rPr>
        <w:lastRenderedPageBreak/>
        <w:t xml:space="preserve">y Soberano de Oaxaca; 1, 2, 3, 5 fracciones II, III, IV, V y VI, 6 fracción VII, 7 fracción V, 12, 57 y 58 de la Ley de Transparencia y Acceso a la Información Pública para el Estado de Oaxaca, </w:t>
      </w:r>
      <w:r w:rsidRPr="00010BEC">
        <w:rPr>
          <w:rFonts w:ascii="Arial" w:hAnsi="Arial" w:cs="Arial"/>
          <w:b/>
          <w:color w:val="444444"/>
          <w:sz w:val="24"/>
          <w:szCs w:val="24"/>
        </w:rPr>
        <w:t xml:space="preserve">se ordena la publicación de la sentencia, </w:t>
      </w:r>
      <w:r w:rsidRPr="00010BEC">
        <w:rPr>
          <w:rFonts w:ascii="Arial" w:hAnsi="Arial" w:cs="Arial"/>
          <w:color w:val="444444"/>
          <w:sz w:val="24"/>
          <w:szCs w:val="24"/>
        </w:rPr>
        <w:t>con  la supresión de datos personales identificables, procurándose que no se impida conocer el criterio sostenido por este órgano jurisdiccional.</w:t>
      </w:r>
    </w:p>
    <w:p w:rsidR="00223AF2" w:rsidRPr="00010BEC" w:rsidRDefault="00223AF2" w:rsidP="00223AF2">
      <w:pPr>
        <w:pStyle w:val="corte4fondo"/>
        <w:ind w:right="-516" w:firstLine="0"/>
        <w:rPr>
          <w:rFonts w:cs="Arial"/>
          <w:i/>
          <w:sz w:val="24"/>
          <w:szCs w:val="24"/>
          <w:lang w:val="es-ES"/>
        </w:rPr>
      </w:pPr>
    </w:p>
    <w:p w:rsidR="00223AF2" w:rsidRPr="00010BEC" w:rsidRDefault="00223AF2" w:rsidP="00223AF2">
      <w:pPr>
        <w:spacing w:line="360" w:lineRule="auto"/>
        <w:ind w:right="51"/>
        <w:jc w:val="both"/>
        <w:rPr>
          <w:rFonts w:ascii="Arial" w:hAnsi="Arial" w:cs="Arial"/>
          <w:sz w:val="24"/>
          <w:szCs w:val="24"/>
        </w:rPr>
      </w:pPr>
      <w:r w:rsidRPr="00010BEC">
        <w:rPr>
          <w:rFonts w:ascii="Arial" w:hAnsi="Arial" w:cs="Arial"/>
          <w:sz w:val="24"/>
          <w:szCs w:val="24"/>
        </w:rPr>
        <w:t xml:space="preserve">              Por lo expuesto, fundado y motivado,</w:t>
      </w:r>
      <w:r w:rsidR="00B94D8F">
        <w:rPr>
          <w:rFonts w:ascii="Arial" w:hAnsi="Arial" w:cs="Arial"/>
          <w:sz w:val="24"/>
          <w:szCs w:val="24"/>
        </w:rPr>
        <w:t xml:space="preserve"> en términos de los artículos 177, fracciones I, II, III, 17</w:t>
      </w:r>
      <w:r w:rsidRPr="00010BEC">
        <w:rPr>
          <w:rFonts w:ascii="Arial" w:hAnsi="Arial" w:cs="Arial"/>
          <w:sz w:val="24"/>
          <w:szCs w:val="24"/>
        </w:rPr>
        <w:t xml:space="preserve">8 fracción II, VI, de la Ley de Justicia Administrativa  para el Estado de Oaxaca, se; - - - - - - - - - - - - - - - - -  - </w:t>
      </w:r>
    </w:p>
    <w:p w:rsidR="00223AF2" w:rsidRPr="00010BEC" w:rsidRDefault="00223AF2" w:rsidP="00223AF2">
      <w:pPr>
        <w:spacing w:line="360" w:lineRule="auto"/>
        <w:ind w:right="51"/>
        <w:jc w:val="both"/>
        <w:rPr>
          <w:rFonts w:ascii="Arial" w:hAnsi="Arial" w:cs="Arial"/>
          <w:sz w:val="24"/>
          <w:szCs w:val="24"/>
        </w:rPr>
      </w:pPr>
    </w:p>
    <w:p w:rsidR="00223AF2" w:rsidRDefault="00010BEC" w:rsidP="00010BEC">
      <w:pPr>
        <w:spacing w:line="360" w:lineRule="auto"/>
        <w:jc w:val="center"/>
        <w:rPr>
          <w:rFonts w:ascii="Arial" w:hAnsi="Arial" w:cs="Arial"/>
          <w:b/>
          <w:sz w:val="24"/>
          <w:szCs w:val="24"/>
        </w:rPr>
      </w:pPr>
      <w:r>
        <w:rPr>
          <w:rFonts w:ascii="Arial" w:hAnsi="Arial" w:cs="Arial"/>
          <w:b/>
          <w:sz w:val="24"/>
          <w:szCs w:val="24"/>
        </w:rPr>
        <w:t>R E S U E L V E:</w:t>
      </w:r>
    </w:p>
    <w:p w:rsidR="00010BEC" w:rsidRPr="00010BEC" w:rsidRDefault="00010BEC" w:rsidP="00010BEC">
      <w:pPr>
        <w:spacing w:line="360" w:lineRule="auto"/>
        <w:jc w:val="center"/>
        <w:rPr>
          <w:rFonts w:ascii="Arial" w:hAnsi="Arial" w:cs="Arial"/>
          <w:b/>
          <w:sz w:val="24"/>
          <w:szCs w:val="24"/>
        </w:rPr>
      </w:pPr>
    </w:p>
    <w:p w:rsidR="00903828" w:rsidRPr="00234BFD" w:rsidRDefault="00223AF2" w:rsidP="00234BFD">
      <w:pPr>
        <w:spacing w:line="360" w:lineRule="auto"/>
        <w:ind w:firstLine="708"/>
        <w:jc w:val="both"/>
        <w:rPr>
          <w:rFonts w:ascii="Arial" w:hAnsi="Arial" w:cs="Arial"/>
          <w:sz w:val="24"/>
          <w:szCs w:val="24"/>
        </w:rPr>
      </w:pPr>
      <w:r w:rsidRPr="00010BEC">
        <w:rPr>
          <w:rFonts w:ascii="Arial" w:hAnsi="Arial" w:cs="Arial"/>
          <w:b/>
          <w:sz w:val="24"/>
          <w:szCs w:val="24"/>
        </w:rPr>
        <w:t>PRIMERO</w:t>
      </w:r>
      <w:r w:rsidRPr="00010BEC">
        <w:rPr>
          <w:rFonts w:ascii="Arial" w:hAnsi="Arial" w:cs="Arial"/>
          <w:sz w:val="24"/>
          <w:szCs w:val="24"/>
        </w:rPr>
        <w:t>.- Esta Quinta Sala Unitaria del Tribunal de Justicia Administrativa del Estado de Oaxaca, es competente para conocer y r</w:t>
      </w:r>
      <w:r w:rsidR="00234BFD">
        <w:rPr>
          <w:rFonts w:ascii="Arial" w:hAnsi="Arial" w:cs="Arial"/>
          <w:sz w:val="24"/>
          <w:szCs w:val="24"/>
        </w:rPr>
        <w:t xml:space="preserve">esolver el presente juicio. -  </w:t>
      </w:r>
    </w:p>
    <w:p w:rsidR="00445A43" w:rsidRDefault="00445A43" w:rsidP="00234BFD">
      <w:pPr>
        <w:spacing w:line="360" w:lineRule="auto"/>
        <w:ind w:firstLine="708"/>
        <w:jc w:val="both"/>
        <w:rPr>
          <w:rFonts w:ascii="Arial" w:hAnsi="Arial" w:cs="Arial"/>
          <w:b/>
          <w:sz w:val="24"/>
          <w:szCs w:val="24"/>
        </w:rPr>
      </w:pPr>
    </w:p>
    <w:p w:rsidR="00903828" w:rsidRPr="00234BFD" w:rsidRDefault="00223AF2" w:rsidP="00234BFD">
      <w:pPr>
        <w:spacing w:line="360" w:lineRule="auto"/>
        <w:ind w:firstLine="708"/>
        <w:jc w:val="both"/>
        <w:rPr>
          <w:rFonts w:ascii="Arial" w:hAnsi="Arial" w:cs="Arial"/>
          <w:sz w:val="24"/>
          <w:szCs w:val="24"/>
        </w:rPr>
      </w:pPr>
      <w:r w:rsidRPr="00010BEC">
        <w:rPr>
          <w:rFonts w:ascii="Arial" w:hAnsi="Arial" w:cs="Arial"/>
          <w:b/>
          <w:sz w:val="24"/>
          <w:szCs w:val="24"/>
        </w:rPr>
        <w:t>SEGUNDO</w:t>
      </w:r>
      <w:r w:rsidRPr="00010BEC">
        <w:rPr>
          <w:rFonts w:ascii="Arial" w:hAnsi="Arial" w:cs="Arial"/>
          <w:sz w:val="24"/>
          <w:szCs w:val="24"/>
        </w:rPr>
        <w:t xml:space="preserve">.- La personalidad de las partes quedó asentada en autos. - - </w:t>
      </w:r>
      <w:r w:rsidR="00234BFD">
        <w:rPr>
          <w:rFonts w:ascii="Arial" w:hAnsi="Arial" w:cs="Arial"/>
          <w:sz w:val="24"/>
          <w:szCs w:val="24"/>
        </w:rPr>
        <w:t xml:space="preserve">- - </w:t>
      </w:r>
      <w:r w:rsidR="00884B24">
        <w:rPr>
          <w:rFonts w:ascii="Arial" w:hAnsi="Arial" w:cs="Arial"/>
          <w:sz w:val="24"/>
          <w:szCs w:val="24"/>
        </w:rPr>
        <w:t xml:space="preserve"> - - - - - - - - - - - - - - - - - - - - - - - - - - - - - - - - - - - - - - - -  - - - </w:t>
      </w:r>
    </w:p>
    <w:p w:rsidR="00445A43" w:rsidRDefault="00445A43" w:rsidP="00234BFD">
      <w:pPr>
        <w:spacing w:line="360" w:lineRule="auto"/>
        <w:ind w:firstLine="708"/>
        <w:jc w:val="both"/>
        <w:rPr>
          <w:rFonts w:ascii="Arial" w:hAnsi="Arial" w:cs="Arial"/>
          <w:b/>
          <w:sz w:val="24"/>
          <w:szCs w:val="24"/>
        </w:rPr>
      </w:pPr>
    </w:p>
    <w:p w:rsidR="00903828" w:rsidRPr="00010BEC" w:rsidRDefault="00223AF2" w:rsidP="00234BFD">
      <w:pPr>
        <w:spacing w:line="360" w:lineRule="auto"/>
        <w:ind w:firstLine="708"/>
        <w:jc w:val="both"/>
        <w:rPr>
          <w:rFonts w:ascii="Arial" w:hAnsi="Arial" w:cs="Arial"/>
          <w:sz w:val="24"/>
          <w:szCs w:val="24"/>
          <w:lang w:val="es-MX"/>
        </w:rPr>
      </w:pPr>
      <w:r w:rsidRPr="00010BEC">
        <w:rPr>
          <w:rFonts w:ascii="Arial" w:hAnsi="Arial" w:cs="Arial"/>
          <w:b/>
          <w:sz w:val="24"/>
          <w:szCs w:val="24"/>
        </w:rPr>
        <w:t>TERCERO.</w:t>
      </w:r>
      <w:r w:rsidRPr="00010BEC">
        <w:rPr>
          <w:rFonts w:ascii="Arial" w:hAnsi="Arial" w:cs="Arial"/>
          <w:sz w:val="24"/>
          <w:szCs w:val="24"/>
        </w:rPr>
        <w:t>-</w:t>
      </w:r>
      <w:r w:rsidRPr="00010BEC">
        <w:rPr>
          <w:rFonts w:ascii="Arial" w:hAnsi="Arial" w:cs="Arial"/>
          <w:sz w:val="24"/>
          <w:szCs w:val="24"/>
          <w:lang w:val="es-MX"/>
        </w:rPr>
        <w:t xml:space="preserve"> Este Juzgador advierte que, en el presente juicio no se configura alguna causal de improcedencia o sobreseimiento, por tanto, </w:t>
      </w:r>
      <w:r w:rsidRPr="00010BEC">
        <w:rPr>
          <w:rFonts w:ascii="Arial" w:hAnsi="Arial" w:cs="Arial"/>
          <w:b/>
          <w:sz w:val="24"/>
          <w:szCs w:val="24"/>
          <w:lang w:val="es-MX"/>
        </w:rPr>
        <w:t>NO SE SOBRESEE</w:t>
      </w:r>
      <w:r w:rsidRPr="00010BEC">
        <w:rPr>
          <w:rFonts w:ascii="Arial" w:hAnsi="Arial" w:cs="Arial"/>
          <w:sz w:val="24"/>
          <w:szCs w:val="24"/>
          <w:lang w:val="es-MX"/>
        </w:rPr>
        <w:t xml:space="preserve">. </w:t>
      </w:r>
      <w:r w:rsidRPr="00010BEC">
        <w:rPr>
          <w:rFonts w:ascii="Arial" w:hAnsi="Arial" w:cs="Arial"/>
          <w:b/>
          <w:sz w:val="24"/>
          <w:szCs w:val="24"/>
          <w:lang w:val="es-MX"/>
        </w:rPr>
        <w:t xml:space="preserve"> </w:t>
      </w:r>
      <w:r w:rsidRPr="00010BEC">
        <w:rPr>
          <w:rFonts w:ascii="Arial" w:hAnsi="Arial" w:cs="Arial"/>
          <w:sz w:val="24"/>
          <w:szCs w:val="24"/>
          <w:lang w:val="es-MX"/>
        </w:rPr>
        <w:t xml:space="preserve">- - - - - -  - - - - - - - - - - - - - - - - - - - - - - - - - - </w:t>
      </w:r>
    </w:p>
    <w:p w:rsidR="00445A43" w:rsidRDefault="00223AF2" w:rsidP="00234BFD">
      <w:pPr>
        <w:widowControl w:val="0"/>
        <w:spacing w:line="360" w:lineRule="auto"/>
        <w:ind w:firstLine="708"/>
        <w:jc w:val="both"/>
        <w:rPr>
          <w:rFonts w:ascii="Arial" w:hAnsi="Arial" w:cs="Arial"/>
          <w:b/>
          <w:bCs/>
          <w:sz w:val="24"/>
          <w:szCs w:val="24"/>
          <w:lang w:val="es-MX"/>
        </w:rPr>
      </w:pPr>
      <w:r w:rsidRPr="00010BEC">
        <w:rPr>
          <w:rFonts w:ascii="Arial" w:hAnsi="Arial" w:cs="Arial"/>
          <w:b/>
          <w:bCs/>
          <w:sz w:val="24"/>
          <w:szCs w:val="24"/>
          <w:lang w:val="es-MX"/>
        </w:rPr>
        <w:t xml:space="preserve"> </w:t>
      </w:r>
    </w:p>
    <w:p w:rsidR="00903828" w:rsidRPr="00234BFD" w:rsidRDefault="00223AF2" w:rsidP="00234BFD">
      <w:pPr>
        <w:widowControl w:val="0"/>
        <w:spacing w:line="360" w:lineRule="auto"/>
        <w:ind w:firstLine="708"/>
        <w:jc w:val="both"/>
        <w:rPr>
          <w:rFonts w:ascii="Arial" w:hAnsi="Arial" w:cs="Arial"/>
          <w:sz w:val="24"/>
          <w:szCs w:val="24"/>
        </w:rPr>
      </w:pPr>
      <w:r w:rsidRPr="00010BEC">
        <w:rPr>
          <w:rFonts w:ascii="Arial" w:hAnsi="Arial" w:cs="Arial"/>
          <w:b/>
          <w:bCs/>
          <w:sz w:val="24"/>
          <w:szCs w:val="24"/>
          <w:lang w:val="es-MX"/>
        </w:rPr>
        <w:t>CUARTO</w:t>
      </w:r>
      <w:r w:rsidRPr="00010BEC">
        <w:rPr>
          <w:rFonts w:ascii="Arial" w:hAnsi="Arial" w:cs="Arial"/>
          <w:bCs/>
          <w:sz w:val="24"/>
          <w:szCs w:val="24"/>
          <w:lang w:val="es-MX"/>
        </w:rPr>
        <w:t xml:space="preserve">.- </w:t>
      </w:r>
      <w:r w:rsidRPr="00010BEC">
        <w:rPr>
          <w:rFonts w:ascii="Arial" w:hAnsi="Arial" w:cs="Arial"/>
          <w:sz w:val="24"/>
          <w:szCs w:val="24"/>
          <w:lang w:eastAsia="es-ES"/>
        </w:rPr>
        <w:t xml:space="preserve">Se </w:t>
      </w:r>
      <w:r w:rsidR="00063BC4" w:rsidRPr="00010BEC">
        <w:rPr>
          <w:rFonts w:ascii="Arial" w:hAnsi="Arial" w:cs="Arial"/>
          <w:b/>
          <w:sz w:val="24"/>
          <w:szCs w:val="24"/>
          <w:lang w:eastAsia="es-ES"/>
        </w:rPr>
        <w:t>DECLARA LA</w:t>
      </w:r>
      <w:r w:rsidRPr="00010BEC">
        <w:rPr>
          <w:rFonts w:ascii="Arial" w:hAnsi="Arial" w:cs="Arial"/>
          <w:b/>
          <w:sz w:val="24"/>
          <w:szCs w:val="24"/>
          <w:lang w:eastAsia="es-ES"/>
        </w:rPr>
        <w:t xml:space="preserve"> NULIDAD LISA Y LLANA </w:t>
      </w:r>
      <w:r w:rsidRPr="00010BEC">
        <w:rPr>
          <w:rFonts w:ascii="Arial" w:hAnsi="Arial" w:cs="Arial"/>
          <w:sz w:val="24"/>
          <w:szCs w:val="24"/>
          <w:lang w:eastAsia="es-ES"/>
        </w:rPr>
        <w:t xml:space="preserve">de la multa emitida por la no presentación de las </w:t>
      </w:r>
      <w:r w:rsidRPr="000544DF">
        <w:rPr>
          <w:rFonts w:ascii="Arial" w:hAnsi="Arial" w:cs="Arial"/>
          <w:b/>
          <w:sz w:val="24"/>
          <w:szCs w:val="24"/>
          <w:lang w:eastAsia="es-ES"/>
        </w:rPr>
        <w:t xml:space="preserve">Declaraciones Bimestrales del </w:t>
      </w:r>
      <w:r w:rsidR="006A702A">
        <w:rPr>
          <w:rFonts w:ascii="Arial" w:hAnsi="Arial" w:cs="Arial"/>
          <w:b/>
          <w:sz w:val="24"/>
          <w:szCs w:val="24"/>
          <w:lang w:val="es-ES_tradnl" w:eastAsia="es-ES"/>
        </w:rPr>
        <w:t>Impuesto Cedular a los Ingresos por el Otorgamiento del Uso o Goce Temporal de Bienes Inmuebles</w:t>
      </w:r>
      <w:r w:rsidRPr="000544DF">
        <w:rPr>
          <w:rFonts w:ascii="Arial" w:hAnsi="Arial" w:cs="Arial"/>
          <w:b/>
          <w:sz w:val="24"/>
          <w:szCs w:val="24"/>
          <w:lang w:eastAsia="es-ES"/>
        </w:rPr>
        <w:t xml:space="preserve"> contenida en el </w:t>
      </w:r>
      <w:r w:rsidR="00C55C8B" w:rsidRPr="000544DF">
        <w:rPr>
          <w:rFonts w:ascii="Arial" w:hAnsi="Arial" w:cs="Arial"/>
          <w:b/>
          <w:sz w:val="24"/>
          <w:szCs w:val="24"/>
          <w:lang w:eastAsia="es-ES"/>
        </w:rPr>
        <w:t xml:space="preserve">oficio </w:t>
      </w:r>
      <w:r w:rsidR="00C55C8B" w:rsidRPr="000544DF">
        <w:rPr>
          <w:rFonts w:ascii="Arial" w:hAnsi="Arial" w:cs="Arial"/>
          <w:b/>
          <w:sz w:val="24"/>
          <w:szCs w:val="24"/>
        </w:rPr>
        <w:t>con número de control</w:t>
      </w:r>
      <w:r w:rsidR="00A9288A" w:rsidRPr="000544DF">
        <w:rPr>
          <w:rFonts w:ascii="Arial" w:hAnsi="Arial" w:cs="Arial"/>
          <w:b/>
          <w:sz w:val="24"/>
          <w:szCs w:val="24"/>
        </w:rPr>
        <w:t xml:space="preserve"> </w:t>
      </w:r>
      <w:r w:rsidR="00884B24">
        <w:rPr>
          <w:rFonts w:cs="Arial"/>
          <w:b/>
          <w:sz w:val="24"/>
          <w:szCs w:val="24"/>
        </w:rPr>
        <w:t>**********</w:t>
      </w:r>
      <w:r w:rsidR="00A9288A" w:rsidRPr="000544DF">
        <w:rPr>
          <w:rFonts w:ascii="Arial" w:hAnsi="Arial" w:cs="Arial"/>
          <w:b/>
          <w:sz w:val="24"/>
          <w:szCs w:val="24"/>
        </w:rPr>
        <w:t xml:space="preserve"> de fecha </w:t>
      </w:r>
      <w:r w:rsidR="00884B24">
        <w:rPr>
          <w:rFonts w:cs="Arial"/>
          <w:b/>
          <w:sz w:val="24"/>
          <w:szCs w:val="24"/>
        </w:rPr>
        <w:t xml:space="preserve">********** </w:t>
      </w:r>
      <w:r w:rsidR="00A9288A" w:rsidRPr="000544DF">
        <w:rPr>
          <w:rFonts w:ascii="Arial" w:hAnsi="Arial" w:cs="Arial"/>
          <w:b/>
          <w:sz w:val="24"/>
          <w:szCs w:val="24"/>
        </w:rPr>
        <w:t xml:space="preserve">signada por la </w:t>
      </w:r>
      <w:r w:rsidR="000544DF" w:rsidRPr="000544DF">
        <w:rPr>
          <w:rFonts w:ascii="Arial" w:hAnsi="Arial" w:cs="Arial"/>
          <w:b/>
          <w:sz w:val="24"/>
          <w:szCs w:val="24"/>
        </w:rPr>
        <w:t xml:space="preserve">Directora </w:t>
      </w:r>
      <w:r w:rsidR="000544DF">
        <w:rPr>
          <w:rFonts w:ascii="Arial" w:hAnsi="Arial" w:cs="Arial"/>
          <w:b/>
          <w:sz w:val="24"/>
          <w:szCs w:val="24"/>
        </w:rPr>
        <w:t>de Ingresos y Recaudación de la Secretaría d</w:t>
      </w:r>
      <w:r w:rsidR="000544DF" w:rsidRPr="000544DF">
        <w:rPr>
          <w:rFonts w:ascii="Arial" w:hAnsi="Arial" w:cs="Arial"/>
          <w:b/>
          <w:sz w:val="24"/>
          <w:szCs w:val="24"/>
        </w:rPr>
        <w:t>e Finanzas</w:t>
      </w:r>
      <w:r w:rsidR="00A9288A" w:rsidRPr="000544DF">
        <w:rPr>
          <w:rFonts w:ascii="Arial" w:hAnsi="Arial" w:cs="Arial"/>
          <w:b/>
          <w:sz w:val="24"/>
          <w:szCs w:val="24"/>
        </w:rPr>
        <w:t xml:space="preserve"> del Poder Ejecutivo del Estado de Oaxaca</w:t>
      </w:r>
      <w:r w:rsidR="00063BC4" w:rsidRPr="00010BEC">
        <w:rPr>
          <w:rFonts w:ascii="Arial" w:hAnsi="Arial" w:cs="Arial"/>
          <w:sz w:val="24"/>
          <w:szCs w:val="24"/>
        </w:rPr>
        <w:t xml:space="preserve">, </w:t>
      </w:r>
      <w:r w:rsidRPr="00010BEC">
        <w:rPr>
          <w:rFonts w:ascii="Arial" w:hAnsi="Arial" w:cs="Arial"/>
          <w:sz w:val="24"/>
          <w:szCs w:val="24"/>
          <w:lang w:eastAsia="es-ES"/>
        </w:rPr>
        <w:t xml:space="preserve">por las razones ya expuestas en el considerando CUARTO de esta sentencia. - - - - - - - - </w:t>
      </w:r>
      <w:r w:rsidR="000544DF">
        <w:rPr>
          <w:rFonts w:ascii="Arial" w:hAnsi="Arial" w:cs="Arial"/>
          <w:sz w:val="24"/>
          <w:szCs w:val="24"/>
          <w:lang w:eastAsia="es-ES"/>
        </w:rPr>
        <w:t xml:space="preserve">- </w:t>
      </w:r>
    </w:p>
    <w:p w:rsidR="00445A43" w:rsidRDefault="00445A43" w:rsidP="00903828">
      <w:pPr>
        <w:spacing w:line="360" w:lineRule="auto"/>
        <w:ind w:right="51" w:firstLine="567"/>
        <w:jc w:val="both"/>
        <w:rPr>
          <w:rFonts w:ascii="Arial" w:hAnsi="Arial" w:cs="Arial"/>
          <w:b/>
          <w:sz w:val="24"/>
          <w:szCs w:val="24"/>
        </w:rPr>
      </w:pPr>
    </w:p>
    <w:p w:rsidR="00223AF2" w:rsidRPr="00010BEC" w:rsidRDefault="00223AF2" w:rsidP="00903828">
      <w:pPr>
        <w:spacing w:line="360" w:lineRule="auto"/>
        <w:ind w:right="51" w:firstLine="567"/>
        <w:jc w:val="both"/>
        <w:rPr>
          <w:rFonts w:ascii="Arial" w:hAnsi="Arial" w:cs="Arial"/>
          <w:sz w:val="24"/>
          <w:szCs w:val="24"/>
        </w:rPr>
      </w:pPr>
      <w:r w:rsidRPr="00010BEC">
        <w:rPr>
          <w:rFonts w:ascii="Arial" w:hAnsi="Arial" w:cs="Arial"/>
          <w:b/>
          <w:sz w:val="24"/>
          <w:szCs w:val="24"/>
        </w:rPr>
        <w:t>QUINTO</w:t>
      </w:r>
      <w:r w:rsidRPr="00010BEC">
        <w:rPr>
          <w:rFonts w:ascii="Arial" w:hAnsi="Arial" w:cs="Arial"/>
          <w:sz w:val="24"/>
          <w:szCs w:val="24"/>
        </w:rPr>
        <w:t xml:space="preserve">.- </w:t>
      </w:r>
      <w:r w:rsidRPr="00010BEC">
        <w:rPr>
          <w:rFonts w:ascii="Arial" w:hAnsi="Arial" w:cs="Arial"/>
          <w:sz w:val="24"/>
          <w:szCs w:val="24"/>
          <w:lang w:val="es-MX"/>
        </w:rPr>
        <w:t>Conforme a lo dispuesto en los artículos 1</w:t>
      </w:r>
      <w:r w:rsidR="00234BFD">
        <w:rPr>
          <w:rFonts w:ascii="Arial" w:hAnsi="Arial" w:cs="Arial"/>
          <w:sz w:val="24"/>
          <w:szCs w:val="24"/>
          <w:lang w:val="es-MX"/>
        </w:rPr>
        <w:t>4</w:t>
      </w:r>
      <w:r w:rsidRPr="00010BEC">
        <w:rPr>
          <w:rFonts w:ascii="Arial" w:hAnsi="Arial" w:cs="Arial"/>
          <w:sz w:val="24"/>
          <w:szCs w:val="24"/>
          <w:lang w:val="es-MX"/>
        </w:rPr>
        <w:t>2 y 1</w:t>
      </w:r>
      <w:r w:rsidR="00234BFD">
        <w:rPr>
          <w:rFonts w:ascii="Arial" w:hAnsi="Arial" w:cs="Arial"/>
          <w:sz w:val="24"/>
          <w:szCs w:val="24"/>
          <w:lang w:val="es-MX"/>
        </w:rPr>
        <w:t>4</w:t>
      </w:r>
      <w:r w:rsidRPr="00010BEC">
        <w:rPr>
          <w:rFonts w:ascii="Arial" w:hAnsi="Arial" w:cs="Arial"/>
          <w:sz w:val="24"/>
          <w:szCs w:val="24"/>
          <w:lang w:val="es-MX"/>
        </w:rPr>
        <w:t xml:space="preserve">3 </w:t>
      </w:r>
      <w:r w:rsidR="00234BFD">
        <w:rPr>
          <w:rFonts w:ascii="Arial" w:hAnsi="Arial" w:cs="Arial"/>
          <w:sz w:val="24"/>
          <w:szCs w:val="24"/>
        </w:rPr>
        <w:t xml:space="preserve">de la Ley de </w:t>
      </w:r>
      <w:r w:rsidRPr="00010BEC">
        <w:rPr>
          <w:rFonts w:ascii="Arial" w:hAnsi="Arial" w:cs="Arial"/>
          <w:sz w:val="24"/>
          <w:szCs w:val="24"/>
        </w:rPr>
        <w:t>Justicia Administrativa para el Estado de Oaxaca</w:t>
      </w:r>
      <w:r w:rsidRPr="00010BEC">
        <w:rPr>
          <w:rFonts w:ascii="Arial" w:hAnsi="Arial" w:cs="Arial"/>
          <w:b/>
          <w:sz w:val="24"/>
          <w:szCs w:val="24"/>
        </w:rPr>
        <w:t xml:space="preserve">, NOTIFÍQUESE </w:t>
      </w:r>
      <w:r w:rsidR="002E4382" w:rsidRPr="00010BEC">
        <w:rPr>
          <w:rFonts w:ascii="Arial" w:hAnsi="Arial" w:cs="Arial"/>
          <w:sz w:val="24"/>
          <w:szCs w:val="24"/>
        </w:rPr>
        <w:t>personalmente a la parte actora</w:t>
      </w:r>
      <w:r w:rsidRPr="00010BEC">
        <w:rPr>
          <w:rFonts w:ascii="Arial" w:hAnsi="Arial" w:cs="Arial"/>
          <w:sz w:val="24"/>
          <w:szCs w:val="24"/>
        </w:rPr>
        <w:t xml:space="preserve"> por oficio a la autoridad demandada y </w:t>
      </w:r>
      <w:r w:rsidRPr="00010BEC">
        <w:rPr>
          <w:rFonts w:ascii="Arial" w:hAnsi="Arial" w:cs="Arial"/>
          <w:b/>
          <w:sz w:val="24"/>
          <w:szCs w:val="24"/>
        </w:rPr>
        <w:t>CÚMPLASE</w:t>
      </w:r>
      <w:r w:rsidRPr="00010BEC">
        <w:rPr>
          <w:rFonts w:ascii="Arial" w:hAnsi="Arial" w:cs="Arial"/>
          <w:sz w:val="24"/>
          <w:szCs w:val="24"/>
        </w:rPr>
        <w:t>.- - -</w:t>
      </w:r>
      <w:r w:rsidR="00234BFD">
        <w:rPr>
          <w:rFonts w:ascii="Arial" w:hAnsi="Arial" w:cs="Arial"/>
          <w:sz w:val="24"/>
          <w:szCs w:val="24"/>
        </w:rPr>
        <w:t xml:space="preserve"> - - - - - - - </w:t>
      </w:r>
      <w:r w:rsidR="00884B24">
        <w:rPr>
          <w:rFonts w:ascii="Arial" w:hAnsi="Arial" w:cs="Arial"/>
          <w:sz w:val="24"/>
          <w:szCs w:val="24"/>
        </w:rPr>
        <w:t xml:space="preserve"> - - - - - - - - - - - - - - - - - - - - - - </w:t>
      </w:r>
    </w:p>
    <w:p w:rsidR="00223AF2" w:rsidRPr="00010BEC" w:rsidRDefault="00223AF2" w:rsidP="00223AF2">
      <w:pPr>
        <w:spacing w:line="360" w:lineRule="auto"/>
        <w:ind w:right="51"/>
        <w:jc w:val="both"/>
        <w:rPr>
          <w:rFonts w:ascii="Arial" w:hAnsi="Arial" w:cs="Arial"/>
          <w:sz w:val="24"/>
          <w:szCs w:val="24"/>
        </w:rPr>
      </w:pPr>
    </w:p>
    <w:p w:rsidR="00223AF2" w:rsidRPr="00895FB6" w:rsidRDefault="00223AF2" w:rsidP="00223AF2">
      <w:pPr>
        <w:spacing w:line="360" w:lineRule="auto"/>
        <w:ind w:right="49" w:firstLine="567"/>
        <w:jc w:val="both"/>
        <w:rPr>
          <w:rFonts w:ascii="Arial" w:hAnsi="Arial" w:cs="Arial"/>
          <w:color w:val="000000"/>
          <w:sz w:val="24"/>
          <w:szCs w:val="24"/>
        </w:rPr>
      </w:pPr>
      <w:r w:rsidRPr="00010BEC">
        <w:rPr>
          <w:rFonts w:ascii="Arial" w:hAnsi="Arial" w:cs="Arial"/>
          <w:sz w:val="24"/>
          <w:szCs w:val="24"/>
        </w:rPr>
        <w:lastRenderedPageBreak/>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r w:rsidRPr="00895FB6">
        <w:rPr>
          <w:rFonts w:ascii="Arial" w:hAnsi="Arial" w:cs="Arial"/>
          <w:sz w:val="24"/>
          <w:szCs w:val="24"/>
        </w:rPr>
        <w:t xml:space="preserve"> </w:t>
      </w:r>
      <w:r w:rsidR="00884B24">
        <w:rPr>
          <w:rFonts w:ascii="Arial" w:hAnsi="Arial" w:cs="Arial"/>
          <w:sz w:val="24"/>
          <w:szCs w:val="24"/>
        </w:rPr>
        <w:t xml:space="preserve"> - - - - - - - - - - - - - </w:t>
      </w:r>
    </w:p>
    <w:p w:rsidR="00223AF2" w:rsidRDefault="00223AF2" w:rsidP="00A074F6">
      <w:pPr>
        <w:pStyle w:val="Textoindependienteprimerasangra21"/>
        <w:tabs>
          <w:tab w:val="left" w:pos="7938"/>
        </w:tabs>
        <w:spacing w:line="360" w:lineRule="auto"/>
        <w:ind w:left="0" w:right="51" w:firstLine="0"/>
        <w:jc w:val="both"/>
        <w:rPr>
          <w:rFonts w:ascii="Arial" w:hAnsi="Arial" w:cs="Arial"/>
          <w:b/>
          <w:sz w:val="24"/>
          <w:szCs w:val="24"/>
          <w:lang w:eastAsia="es-MX"/>
        </w:rPr>
      </w:pPr>
      <w:r>
        <w:rPr>
          <w:rFonts w:cs="Arial"/>
          <w:i/>
          <w:sz w:val="24"/>
          <w:szCs w:val="24"/>
        </w:rPr>
        <w:tab/>
      </w:r>
    </w:p>
    <w:sectPr w:rsidR="00223AF2" w:rsidSect="00884B24">
      <w:headerReference w:type="default" r:id="rId9"/>
      <w:foot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84" w:rsidRDefault="00D96884" w:rsidP="00F420D4">
      <w:r>
        <w:separator/>
      </w:r>
    </w:p>
  </w:endnote>
  <w:endnote w:type="continuationSeparator" w:id="0">
    <w:p w:rsidR="00D96884" w:rsidRDefault="00D9688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24" w:rsidRDefault="005C6469">
    <w:pPr>
      <w:pStyle w:val="Piedepgina"/>
    </w:pPr>
    <w:r>
      <w:rPr>
        <w:noProof/>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-4312285</wp:posOffset>
              </wp:positionV>
              <wp:extent cx="1130935" cy="1541780"/>
              <wp:effectExtent l="0" t="0" r="1206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541780"/>
                      </a:xfrm>
                      <a:prstGeom prst="rect">
                        <a:avLst/>
                      </a:prstGeom>
                      <a:solidFill>
                        <a:srgbClr val="FFFFFF"/>
                      </a:solidFill>
                      <a:ln w="9525">
                        <a:solidFill>
                          <a:srgbClr val="000000"/>
                        </a:solidFill>
                        <a:miter lim="800000"/>
                        <a:headEnd/>
                        <a:tailEnd/>
                      </a:ln>
                    </wps:spPr>
                    <wps:txbx>
                      <w:txbxContent>
                        <w:p w:rsidR="00884B24" w:rsidRPr="00DF79F8" w:rsidRDefault="00884B24" w:rsidP="00884B2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339.55pt;width:89.05pt;height:121.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">
              <v:textbox>
                <w:txbxContent>
                  <w:p w:rsidR="00884B24" w:rsidRPr="00DF79F8" w:rsidRDefault="00884B24" w:rsidP="00884B24">
                    <w:pPr>
                      <w:jc w:val="center"/>
                    </w:pPr>
                    <w: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84" w:rsidRDefault="00D96884" w:rsidP="00F420D4">
      <w:r>
        <w:separator/>
      </w:r>
    </w:p>
  </w:footnote>
  <w:footnote w:type="continuationSeparator" w:id="0">
    <w:p w:rsidR="00D96884" w:rsidRDefault="00D9688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2F" w:rsidRDefault="00386A00" w:rsidP="00F8332F">
    <w:pPr>
      <w:jc w:val="center"/>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C6469">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DF16D7">
      <w:rPr>
        <w:rFonts w:ascii="Arial" w:hAnsi="Arial" w:cs="Arial"/>
        <w:b/>
        <w:sz w:val="28"/>
        <w:lang w:val="en-US"/>
      </w:rPr>
      <w:t xml:space="preserve">                          </w:t>
    </w:r>
    <w:r w:rsidR="00F8332F">
      <w:rPr>
        <w:rFonts w:ascii="Arial" w:hAnsi="Arial" w:cs="Arial"/>
        <w:b/>
        <w:sz w:val="28"/>
        <w:lang w:val="en-US"/>
      </w:rPr>
      <w:t xml:space="preserve">        </w:t>
    </w:r>
  </w:p>
  <w:p w:rsidR="00386A00" w:rsidRPr="00CC4788" w:rsidRDefault="00F8332F" w:rsidP="00F8332F">
    <w:pPr>
      <w:jc w:val="center"/>
      <w:rPr>
        <w:rFonts w:ascii="Arial" w:hAnsi="Arial" w:cs="Arial"/>
        <w:sz w:val="28"/>
        <w:lang w:val="es-ES_tradnl"/>
      </w:rPr>
    </w:pPr>
    <w:r>
      <w:rPr>
        <w:rFonts w:ascii="Arial" w:hAnsi="Arial" w:cs="Arial"/>
        <w:b/>
        <w:sz w:val="28"/>
        <w:lang w:val="en-US"/>
      </w:rPr>
      <w:t xml:space="preserve">                                                                     </w:t>
    </w:r>
    <w:r w:rsidR="00DF16D7">
      <w:rPr>
        <w:rFonts w:ascii="Arial" w:hAnsi="Arial" w:cs="Arial"/>
        <w:b/>
        <w:sz w:val="28"/>
        <w:lang w:val="en-US"/>
      </w:rPr>
      <w:t xml:space="preserve"> </w:t>
    </w:r>
    <w:r w:rsidR="00B94D8F">
      <w:rPr>
        <w:rFonts w:ascii="Arial" w:hAnsi="Arial" w:cs="Arial"/>
        <w:b/>
        <w:sz w:val="28"/>
        <w:lang w:val="en-US"/>
      </w:rPr>
      <w:t>EXP/0090/201</w:t>
    </w:r>
    <w:r w:rsidR="004F15C0">
      <w:rPr>
        <w:rFonts w:ascii="Arial" w:hAnsi="Arial" w:cs="Arial"/>
        <w:b/>
        <w:sz w:val="28"/>
        <w:lang w:val="en-US"/>
      </w:rPr>
      <w:t>7</w:t>
    </w:r>
  </w:p>
  <w:p w:rsidR="00386A00" w:rsidRPr="00CC4788" w:rsidRDefault="005C6469">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189230</wp:posOffset>
              </wp:positionH>
              <wp:positionV relativeFrom="paragraph">
                <wp:posOffset>5014595</wp:posOffset>
              </wp:positionV>
              <wp:extent cx="1123950" cy="1289050"/>
              <wp:effectExtent l="0" t="0" r="19050" b="2540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89050"/>
                      </a:xfrm>
                      <a:prstGeom prst="rect">
                        <a:avLst/>
                      </a:prstGeom>
                      <a:solidFill>
                        <a:srgbClr val="FFFFFF"/>
                      </a:solidFill>
                      <a:ln w="9525">
                        <a:solidFill>
                          <a:srgbClr val="000000"/>
                        </a:solidFill>
                        <a:miter lim="800000"/>
                        <a:headEnd/>
                        <a:tailEnd/>
                      </a:ln>
                    </wps:spPr>
                    <wps:txbx>
                      <w:txbxContent>
                        <w:p w:rsidR="00884B24" w:rsidRPr="00DF79F8" w:rsidRDefault="00884B24" w:rsidP="00884B2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9pt;margin-top:394.85pt;width:88.5pt;height:101.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">
              <v:textbox>
                <w:txbxContent>
                  <w:p w:rsidR="00884B24" w:rsidRPr="00DF79F8" w:rsidRDefault="00884B24" w:rsidP="00884B24">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62C7"/>
    <w:rsid w:val="00006EBC"/>
    <w:rsid w:val="0000749C"/>
    <w:rsid w:val="00010BEC"/>
    <w:rsid w:val="000118CC"/>
    <w:rsid w:val="00012AF7"/>
    <w:rsid w:val="00013173"/>
    <w:rsid w:val="00014783"/>
    <w:rsid w:val="00014A5D"/>
    <w:rsid w:val="0001647B"/>
    <w:rsid w:val="00016741"/>
    <w:rsid w:val="00016747"/>
    <w:rsid w:val="00020C7F"/>
    <w:rsid w:val="00021CBE"/>
    <w:rsid w:val="0002221B"/>
    <w:rsid w:val="00022B15"/>
    <w:rsid w:val="00023E46"/>
    <w:rsid w:val="000245C9"/>
    <w:rsid w:val="00024D09"/>
    <w:rsid w:val="00025DE5"/>
    <w:rsid w:val="00025FAC"/>
    <w:rsid w:val="0002671F"/>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0AF8"/>
    <w:rsid w:val="0005190C"/>
    <w:rsid w:val="00053680"/>
    <w:rsid w:val="000538FE"/>
    <w:rsid w:val="000544DF"/>
    <w:rsid w:val="000545E1"/>
    <w:rsid w:val="000549A1"/>
    <w:rsid w:val="000558C2"/>
    <w:rsid w:val="00055FB3"/>
    <w:rsid w:val="00056A5A"/>
    <w:rsid w:val="00056AC0"/>
    <w:rsid w:val="00056AF9"/>
    <w:rsid w:val="00056BFA"/>
    <w:rsid w:val="0005768B"/>
    <w:rsid w:val="00062F80"/>
    <w:rsid w:val="0006347A"/>
    <w:rsid w:val="00063BC4"/>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24C7"/>
    <w:rsid w:val="000B4839"/>
    <w:rsid w:val="000B4EF2"/>
    <w:rsid w:val="000B4F70"/>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BD6"/>
    <w:rsid w:val="000F4DF7"/>
    <w:rsid w:val="000F698B"/>
    <w:rsid w:val="000F787F"/>
    <w:rsid w:val="000F7C83"/>
    <w:rsid w:val="000F7CDD"/>
    <w:rsid w:val="000F7DFD"/>
    <w:rsid w:val="0010069A"/>
    <w:rsid w:val="0010413C"/>
    <w:rsid w:val="00105CEA"/>
    <w:rsid w:val="00106ABF"/>
    <w:rsid w:val="00106FCF"/>
    <w:rsid w:val="001075B5"/>
    <w:rsid w:val="00107AAC"/>
    <w:rsid w:val="00107FB6"/>
    <w:rsid w:val="0011170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53"/>
    <w:rsid w:val="001555BB"/>
    <w:rsid w:val="00156809"/>
    <w:rsid w:val="00160744"/>
    <w:rsid w:val="00161AA7"/>
    <w:rsid w:val="00165602"/>
    <w:rsid w:val="00165B0A"/>
    <w:rsid w:val="00165EC5"/>
    <w:rsid w:val="001661CB"/>
    <w:rsid w:val="0017017A"/>
    <w:rsid w:val="00170591"/>
    <w:rsid w:val="0017119D"/>
    <w:rsid w:val="001728AE"/>
    <w:rsid w:val="00174171"/>
    <w:rsid w:val="001742B9"/>
    <w:rsid w:val="0017466C"/>
    <w:rsid w:val="001749B6"/>
    <w:rsid w:val="00175628"/>
    <w:rsid w:val="00182097"/>
    <w:rsid w:val="00182D6E"/>
    <w:rsid w:val="00182DD7"/>
    <w:rsid w:val="00183229"/>
    <w:rsid w:val="001839F5"/>
    <w:rsid w:val="0018528F"/>
    <w:rsid w:val="00186A01"/>
    <w:rsid w:val="00186D46"/>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66C"/>
    <w:rsid w:val="001B2A0C"/>
    <w:rsid w:val="001B2B46"/>
    <w:rsid w:val="001B2C9B"/>
    <w:rsid w:val="001B4B43"/>
    <w:rsid w:val="001B5975"/>
    <w:rsid w:val="001B5D21"/>
    <w:rsid w:val="001B67CB"/>
    <w:rsid w:val="001B6A7B"/>
    <w:rsid w:val="001B7203"/>
    <w:rsid w:val="001C0A21"/>
    <w:rsid w:val="001C0BE4"/>
    <w:rsid w:val="001C1F9A"/>
    <w:rsid w:val="001C4533"/>
    <w:rsid w:val="001C5D0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72CD"/>
    <w:rsid w:val="001F014F"/>
    <w:rsid w:val="001F0AD3"/>
    <w:rsid w:val="001F0DF7"/>
    <w:rsid w:val="001F0EBB"/>
    <w:rsid w:val="001F2CDF"/>
    <w:rsid w:val="001F2F05"/>
    <w:rsid w:val="001F6D14"/>
    <w:rsid w:val="00200672"/>
    <w:rsid w:val="00201759"/>
    <w:rsid w:val="00201DB4"/>
    <w:rsid w:val="002029D9"/>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4464"/>
    <w:rsid w:val="00217528"/>
    <w:rsid w:val="0022085C"/>
    <w:rsid w:val="00221080"/>
    <w:rsid w:val="00221BAB"/>
    <w:rsid w:val="00223AF2"/>
    <w:rsid w:val="0022439C"/>
    <w:rsid w:val="00224E35"/>
    <w:rsid w:val="002255C6"/>
    <w:rsid w:val="00225AC2"/>
    <w:rsid w:val="002329D9"/>
    <w:rsid w:val="00233DDE"/>
    <w:rsid w:val="0023407F"/>
    <w:rsid w:val="00234BFD"/>
    <w:rsid w:val="00237DAD"/>
    <w:rsid w:val="00240F03"/>
    <w:rsid w:val="0024126C"/>
    <w:rsid w:val="002414F6"/>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758"/>
    <w:rsid w:val="00263D08"/>
    <w:rsid w:val="002647A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002"/>
    <w:rsid w:val="00283EA9"/>
    <w:rsid w:val="002842EC"/>
    <w:rsid w:val="002858DC"/>
    <w:rsid w:val="00286483"/>
    <w:rsid w:val="0028659A"/>
    <w:rsid w:val="00287433"/>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298B"/>
    <w:rsid w:val="002B3A63"/>
    <w:rsid w:val="002B48D7"/>
    <w:rsid w:val="002B4C8D"/>
    <w:rsid w:val="002B5B2A"/>
    <w:rsid w:val="002C02A2"/>
    <w:rsid w:val="002C1189"/>
    <w:rsid w:val="002C1889"/>
    <w:rsid w:val="002C224B"/>
    <w:rsid w:val="002C2B64"/>
    <w:rsid w:val="002C4078"/>
    <w:rsid w:val="002C443E"/>
    <w:rsid w:val="002C53EC"/>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4382"/>
    <w:rsid w:val="002E530A"/>
    <w:rsid w:val="002E77B4"/>
    <w:rsid w:val="002F15B5"/>
    <w:rsid w:val="002F32B4"/>
    <w:rsid w:val="002F62B7"/>
    <w:rsid w:val="002F77A0"/>
    <w:rsid w:val="0030015A"/>
    <w:rsid w:val="00300678"/>
    <w:rsid w:val="00300904"/>
    <w:rsid w:val="00300D2B"/>
    <w:rsid w:val="00300FD4"/>
    <w:rsid w:val="00304939"/>
    <w:rsid w:val="00304AD8"/>
    <w:rsid w:val="003059A2"/>
    <w:rsid w:val="00306CC8"/>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1B3D"/>
    <w:rsid w:val="00352A6A"/>
    <w:rsid w:val="00352B8D"/>
    <w:rsid w:val="003541F9"/>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90D09"/>
    <w:rsid w:val="00390DC4"/>
    <w:rsid w:val="00390F20"/>
    <w:rsid w:val="00392141"/>
    <w:rsid w:val="00392A2F"/>
    <w:rsid w:val="00392B82"/>
    <w:rsid w:val="003932AE"/>
    <w:rsid w:val="00393962"/>
    <w:rsid w:val="003948AD"/>
    <w:rsid w:val="00394C09"/>
    <w:rsid w:val="00394C37"/>
    <w:rsid w:val="00395314"/>
    <w:rsid w:val="00396650"/>
    <w:rsid w:val="003A0915"/>
    <w:rsid w:val="003A21EC"/>
    <w:rsid w:val="003A2453"/>
    <w:rsid w:val="003A36F9"/>
    <w:rsid w:val="003A46E8"/>
    <w:rsid w:val="003A47DE"/>
    <w:rsid w:val="003A56F4"/>
    <w:rsid w:val="003A5963"/>
    <w:rsid w:val="003A5AC1"/>
    <w:rsid w:val="003A6BBC"/>
    <w:rsid w:val="003A70E1"/>
    <w:rsid w:val="003A76C8"/>
    <w:rsid w:val="003B00A0"/>
    <w:rsid w:val="003B1FE0"/>
    <w:rsid w:val="003B3195"/>
    <w:rsid w:val="003B6903"/>
    <w:rsid w:val="003B7573"/>
    <w:rsid w:val="003C0374"/>
    <w:rsid w:val="003C09CD"/>
    <w:rsid w:val="003C0D11"/>
    <w:rsid w:val="003C1439"/>
    <w:rsid w:val="003C14C7"/>
    <w:rsid w:val="003C1EA1"/>
    <w:rsid w:val="003C2A43"/>
    <w:rsid w:val="003C379F"/>
    <w:rsid w:val="003C3FE9"/>
    <w:rsid w:val="003C5875"/>
    <w:rsid w:val="003C587B"/>
    <w:rsid w:val="003C6379"/>
    <w:rsid w:val="003C6CD2"/>
    <w:rsid w:val="003D058A"/>
    <w:rsid w:val="003D24A0"/>
    <w:rsid w:val="003D28C2"/>
    <w:rsid w:val="003D2922"/>
    <w:rsid w:val="003D2DC5"/>
    <w:rsid w:val="003D405B"/>
    <w:rsid w:val="003D58D4"/>
    <w:rsid w:val="003D600E"/>
    <w:rsid w:val="003D79F2"/>
    <w:rsid w:val="003D7CEF"/>
    <w:rsid w:val="003E0EA1"/>
    <w:rsid w:val="003E196B"/>
    <w:rsid w:val="003E2930"/>
    <w:rsid w:val="003E3602"/>
    <w:rsid w:val="003E4018"/>
    <w:rsid w:val="003E40D5"/>
    <w:rsid w:val="003E5E33"/>
    <w:rsid w:val="003E6AE7"/>
    <w:rsid w:val="003F0151"/>
    <w:rsid w:val="003F07EA"/>
    <w:rsid w:val="003F1454"/>
    <w:rsid w:val="003F1781"/>
    <w:rsid w:val="003F1EF0"/>
    <w:rsid w:val="003F244C"/>
    <w:rsid w:val="003F3003"/>
    <w:rsid w:val="003F33CC"/>
    <w:rsid w:val="003F3B45"/>
    <w:rsid w:val="003F3E00"/>
    <w:rsid w:val="003F465F"/>
    <w:rsid w:val="003F52B3"/>
    <w:rsid w:val="003F71DD"/>
    <w:rsid w:val="003F7AA1"/>
    <w:rsid w:val="00400570"/>
    <w:rsid w:val="00401408"/>
    <w:rsid w:val="00402013"/>
    <w:rsid w:val="0040287A"/>
    <w:rsid w:val="00402B5F"/>
    <w:rsid w:val="004040F6"/>
    <w:rsid w:val="004050E7"/>
    <w:rsid w:val="00406509"/>
    <w:rsid w:val="00407311"/>
    <w:rsid w:val="0040794D"/>
    <w:rsid w:val="00407F1F"/>
    <w:rsid w:val="00411557"/>
    <w:rsid w:val="00412BDE"/>
    <w:rsid w:val="00414DF7"/>
    <w:rsid w:val="00416798"/>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5A43"/>
    <w:rsid w:val="00446692"/>
    <w:rsid w:val="00446927"/>
    <w:rsid w:val="004476A3"/>
    <w:rsid w:val="00452313"/>
    <w:rsid w:val="00452FF9"/>
    <w:rsid w:val="0045338B"/>
    <w:rsid w:val="00453CEE"/>
    <w:rsid w:val="004549DB"/>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375"/>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B4F90"/>
    <w:rsid w:val="004C20B6"/>
    <w:rsid w:val="004C402E"/>
    <w:rsid w:val="004C5BC5"/>
    <w:rsid w:val="004C6FA4"/>
    <w:rsid w:val="004D0C5D"/>
    <w:rsid w:val="004D1BEE"/>
    <w:rsid w:val="004D1EDB"/>
    <w:rsid w:val="004D2EC6"/>
    <w:rsid w:val="004D3142"/>
    <w:rsid w:val="004D32E5"/>
    <w:rsid w:val="004D3D54"/>
    <w:rsid w:val="004D76A2"/>
    <w:rsid w:val="004D7C34"/>
    <w:rsid w:val="004E147A"/>
    <w:rsid w:val="004E17C7"/>
    <w:rsid w:val="004E1907"/>
    <w:rsid w:val="004E1D41"/>
    <w:rsid w:val="004E2501"/>
    <w:rsid w:val="004E4F56"/>
    <w:rsid w:val="004E6A5E"/>
    <w:rsid w:val="004F15C0"/>
    <w:rsid w:val="004F20D7"/>
    <w:rsid w:val="004F22A0"/>
    <w:rsid w:val="004F335B"/>
    <w:rsid w:val="004F4585"/>
    <w:rsid w:val="004F4D6B"/>
    <w:rsid w:val="0050026E"/>
    <w:rsid w:val="00500713"/>
    <w:rsid w:val="0050260C"/>
    <w:rsid w:val="00502939"/>
    <w:rsid w:val="00503149"/>
    <w:rsid w:val="00505266"/>
    <w:rsid w:val="00506BD3"/>
    <w:rsid w:val="005108B6"/>
    <w:rsid w:val="00512324"/>
    <w:rsid w:val="00513132"/>
    <w:rsid w:val="005136C7"/>
    <w:rsid w:val="005139CD"/>
    <w:rsid w:val="00516E85"/>
    <w:rsid w:val="00516F23"/>
    <w:rsid w:val="00520954"/>
    <w:rsid w:val="00521D76"/>
    <w:rsid w:val="00522E65"/>
    <w:rsid w:val="0052490B"/>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69"/>
    <w:rsid w:val="005C6489"/>
    <w:rsid w:val="005C6641"/>
    <w:rsid w:val="005C76D2"/>
    <w:rsid w:val="005C78FC"/>
    <w:rsid w:val="005C7CE7"/>
    <w:rsid w:val="005D1AC6"/>
    <w:rsid w:val="005D1D05"/>
    <w:rsid w:val="005D4AC6"/>
    <w:rsid w:val="005D4F8A"/>
    <w:rsid w:val="005D68F7"/>
    <w:rsid w:val="005D705F"/>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76E3"/>
    <w:rsid w:val="00640682"/>
    <w:rsid w:val="00641377"/>
    <w:rsid w:val="006413BE"/>
    <w:rsid w:val="00643230"/>
    <w:rsid w:val="00644579"/>
    <w:rsid w:val="00646935"/>
    <w:rsid w:val="00647BD9"/>
    <w:rsid w:val="00647D3F"/>
    <w:rsid w:val="006512D4"/>
    <w:rsid w:val="00651F4D"/>
    <w:rsid w:val="006521AE"/>
    <w:rsid w:val="00652850"/>
    <w:rsid w:val="00653310"/>
    <w:rsid w:val="006534DE"/>
    <w:rsid w:val="006538BC"/>
    <w:rsid w:val="00653DCE"/>
    <w:rsid w:val="00654118"/>
    <w:rsid w:val="006544F2"/>
    <w:rsid w:val="00655C9B"/>
    <w:rsid w:val="006564EC"/>
    <w:rsid w:val="00656E30"/>
    <w:rsid w:val="006601F5"/>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3C0"/>
    <w:rsid w:val="00685960"/>
    <w:rsid w:val="00685A21"/>
    <w:rsid w:val="00685CD7"/>
    <w:rsid w:val="006869BB"/>
    <w:rsid w:val="006905D5"/>
    <w:rsid w:val="00690A43"/>
    <w:rsid w:val="00690ACB"/>
    <w:rsid w:val="0069111E"/>
    <w:rsid w:val="00691338"/>
    <w:rsid w:val="006935D3"/>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7D"/>
    <w:rsid w:val="006A6775"/>
    <w:rsid w:val="006A702A"/>
    <w:rsid w:val="006A7CFE"/>
    <w:rsid w:val="006B0D21"/>
    <w:rsid w:val="006B1186"/>
    <w:rsid w:val="006B2526"/>
    <w:rsid w:val="006B6FB5"/>
    <w:rsid w:val="006B6FD3"/>
    <w:rsid w:val="006B74BE"/>
    <w:rsid w:val="006B7712"/>
    <w:rsid w:val="006C08B8"/>
    <w:rsid w:val="006C1AA2"/>
    <w:rsid w:val="006C1AFE"/>
    <w:rsid w:val="006C2098"/>
    <w:rsid w:val="006C3005"/>
    <w:rsid w:val="006C3E3C"/>
    <w:rsid w:val="006C473F"/>
    <w:rsid w:val="006C4C9E"/>
    <w:rsid w:val="006C5037"/>
    <w:rsid w:val="006C552C"/>
    <w:rsid w:val="006C5816"/>
    <w:rsid w:val="006C64DD"/>
    <w:rsid w:val="006C66C5"/>
    <w:rsid w:val="006D0644"/>
    <w:rsid w:val="006D0DBB"/>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07A55"/>
    <w:rsid w:val="00711368"/>
    <w:rsid w:val="007115C9"/>
    <w:rsid w:val="00711F9D"/>
    <w:rsid w:val="00712042"/>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231"/>
    <w:rsid w:val="00751867"/>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5CE2"/>
    <w:rsid w:val="0077658E"/>
    <w:rsid w:val="00776C47"/>
    <w:rsid w:val="00777982"/>
    <w:rsid w:val="00780CEE"/>
    <w:rsid w:val="00781270"/>
    <w:rsid w:val="0078200B"/>
    <w:rsid w:val="007833F6"/>
    <w:rsid w:val="00783E02"/>
    <w:rsid w:val="007901DA"/>
    <w:rsid w:val="00792BD2"/>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27B7"/>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255"/>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4B24"/>
    <w:rsid w:val="00885D85"/>
    <w:rsid w:val="00890A33"/>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A3B"/>
    <w:rsid w:val="008B0ACF"/>
    <w:rsid w:val="008B0D08"/>
    <w:rsid w:val="008B0ED0"/>
    <w:rsid w:val="008B1843"/>
    <w:rsid w:val="008B1EE7"/>
    <w:rsid w:val="008B23E5"/>
    <w:rsid w:val="008B244E"/>
    <w:rsid w:val="008B325A"/>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E8B"/>
    <w:rsid w:val="008F541F"/>
    <w:rsid w:val="008F5E5C"/>
    <w:rsid w:val="008F6555"/>
    <w:rsid w:val="008F6CC7"/>
    <w:rsid w:val="0090022B"/>
    <w:rsid w:val="00900434"/>
    <w:rsid w:val="009008C1"/>
    <w:rsid w:val="00900F54"/>
    <w:rsid w:val="009014A5"/>
    <w:rsid w:val="00901CBF"/>
    <w:rsid w:val="009025C9"/>
    <w:rsid w:val="00902A45"/>
    <w:rsid w:val="00903089"/>
    <w:rsid w:val="00903828"/>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27D78"/>
    <w:rsid w:val="00930418"/>
    <w:rsid w:val="00930BF9"/>
    <w:rsid w:val="00931B80"/>
    <w:rsid w:val="00933ECD"/>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B6A"/>
    <w:rsid w:val="00983DA4"/>
    <w:rsid w:val="00984940"/>
    <w:rsid w:val="0098669A"/>
    <w:rsid w:val="00986B30"/>
    <w:rsid w:val="00987271"/>
    <w:rsid w:val="00990878"/>
    <w:rsid w:val="00990E6B"/>
    <w:rsid w:val="00991D25"/>
    <w:rsid w:val="00992B8A"/>
    <w:rsid w:val="00993F45"/>
    <w:rsid w:val="00994221"/>
    <w:rsid w:val="00994798"/>
    <w:rsid w:val="00994A4F"/>
    <w:rsid w:val="00995C0F"/>
    <w:rsid w:val="00996216"/>
    <w:rsid w:val="009A212A"/>
    <w:rsid w:val="009A2DED"/>
    <w:rsid w:val="009A5F61"/>
    <w:rsid w:val="009A6195"/>
    <w:rsid w:val="009B031C"/>
    <w:rsid w:val="009B0A7C"/>
    <w:rsid w:val="009B14F2"/>
    <w:rsid w:val="009B236C"/>
    <w:rsid w:val="009B2C85"/>
    <w:rsid w:val="009B4E93"/>
    <w:rsid w:val="009B5178"/>
    <w:rsid w:val="009B53ED"/>
    <w:rsid w:val="009C019E"/>
    <w:rsid w:val="009C1EA4"/>
    <w:rsid w:val="009C1F1B"/>
    <w:rsid w:val="009C30A3"/>
    <w:rsid w:val="009C324B"/>
    <w:rsid w:val="009C3CFF"/>
    <w:rsid w:val="009C3DBC"/>
    <w:rsid w:val="009C475B"/>
    <w:rsid w:val="009C5B2A"/>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275A"/>
    <w:rsid w:val="00A0313E"/>
    <w:rsid w:val="00A06C75"/>
    <w:rsid w:val="00A06EB4"/>
    <w:rsid w:val="00A070D3"/>
    <w:rsid w:val="00A07112"/>
    <w:rsid w:val="00A074B1"/>
    <w:rsid w:val="00A074F6"/>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E17"/>
    <w:rsid w:val="00A44F25"/>
    <w:rsid w:val="00A4566C"/>
    <w:rsid w:val="00A46A83"/>
    <w:rsid w:val="00A4701D"/>
    <w:rsid w:val="00A47676"/>
    <w:rsid w:val="00A47DB9"/>
    <w:rsid w:val="00A50589"/>
    <w:rsid w:val="00A5237A"/>
    <w:rsid w:val="00A528C7"/>
    <w:rsid w:val="00A52CBF"/>
    <w:rsid w:val="00A53778"/>
    <w:rsid w:val="00A54C68"/>
    <w:rsid w:val="00A5539C"/>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6B47"/>
    <w:rsid w:val="00A77AD0"/>
    <w:rsid w:val="00A81983"/>
    <w:rsid w:val="00A82517"/>
    <w:rsid w:val="00A82541"/>
    <w:rsid w:val="00A83526"/>
    <w:rsid w:val="00A83DC5"/>
    <w:rsid w:val="00A8509B"/>
    <w:rsid w:val="00A8590C"/>
    <w:rsid w:val="00A86A84"/>
    <w:rsid w:val="00A86B59"/>
    <w:rsid w:val="00A87F63"/>
    <w:rsid w:val="00A900D5"/>
    <w:rsid w:val="00A908B2"/>
    <w:rsid w:val="00A90D18"/>
    <w:rsid w:val="00A90EC6"/>
    <w:rsid w:val="00A9190E"/>
    <w:rsid w:val="00A9288A"/>
    <w:rsid w:val="00A96E62"/>
    <w:rsid w:val="00A9791E"/>
    <w:rsid w:val="00AA055E"/>
    <w:rsid w:val="00AA0D97"/>
    <w:rsid w:val="00AA23FA"/>
    <w:rsid w:val="00AA26DB"/>
    <w:rsid w:val="00AA2ED6"/>
    <w:rsid w:val="00AA32DF"/>
    <w:rsid w:val="00AA500F"/>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2A05"/>
    <w:rsid w:val="00AC3580"/>
    <w:rsid w:val="00AC4A26"/>
    <w:rsid w:val="00AC503D"/>
    <w:rsid w:val="00AC5809"/>
    <w:rsid w:val="00AC731A"/>
    <w:rsid w:val="00AD106D"/>
    <w:rsid w:val="00AD1584"/>
    <w:rsid w:val="00AD1EF2"/>
    <w:rsid w:val="00AD31C3"/>
    <w:rsid w:val="00AD37D4"/>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28B0"/>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276A"/>
    <w:rsid w:val="00B45FFE"/>
    <w:rsid w:val="00B46019"/>
    <w:rsid w:val="00B46062"/>
    <w:rsid w:val="00B4697B"/>
    <w:rsid w:val="00B47E49"/>
    <w:rsid w:val="00B50083"/>
    <w:rsid w:val="00B51187"/>
    <w:rsid w:val="00B52D6F"/>
    <w:rsid w:val="00B5310E"/>
    <w:rsid w:val="00B54025"/>
    <w:rsid w:val="00B554C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751E"/>
    <w:rsid w:val="00B90FA1"/>
    <w:rsid w:val="00B933C7"/>
    <w:rsid w:val="00B936F6"/>
    <w:rsid w:val="00B93AF1"/>
    <w:rsid w:val="00B94032"/>
    <w:rsid w:val="00B94D8F"/>
    <w:rsid w:val="00B94E89"/>
    <w:rsid w:val="00B95FFA"/>
    <w:rsid w:val="00B973B0"/>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1AC4"/>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4FB"/>
    <w:rsid w:val="00C03C51"/>
    <w:rsid w:val="00C05425"/>
    <w:rsid w:val="00C101AF"/>
    <w:rsid w:val="00C1034F"/>
    <w:rsid w:val="00C11ADC"/>
    <w:rsid w:val="00C12465"/>
    <w:rsid w:val="00C1277A"/>
    <w:rsid w:val="00C12DE9"/>
    <w:rsid w:val="00C13CF8"/>
    <w:rsid w:val="00C1429D"/>
    <w:rsid w:val="00C14839"/>
    <w:rsid w:val="00C149A8"/>
    <w:rsid w:val="00C167A4"/>
    <w:rsid w:val="00C16B98"/>
    <w:rsid w:val="00C16C1A"/>
    <w:rsid w:val="00C16C41"/>
    <w:rsid w:val="00C20A13"/>
    <w:rsid w:val="00C20B47"/>
    <w:rsid w:val="00C20EAD"/>
    <w:rsid w:val="00C21294"/>
    <w:rsid w:val="00C2179D"/>
    <w:rsid w:val="00C21A8E"/>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2C6B"/>
    <w:rsid w:val="00C44F50"/>
    <w:rsid w:val="00C44F8D"/>
    <w:rsid w:val="00C46650"/>
    <w:rsid w:val="00C47610"/>
    <w:rsid w:val="00C4765D"/>
    <w:rsid w:val="00C4799B"/>
    <w:rsid w:val="00C55077"/>
    <w:rsid w:val="00C55C8B"/>
    <w:rsid w:val="00C570F9"/>
    <w:rsid w:val="00C57DBC"/>
    <w:rsid w:val="00C6031E"/>
    <w:rsid w:val="00C60499"/>
    <w:rsid w:val="00C6164E"/>
    <w:rsid w:val="00C61EDB"/>
    <w:rsid w:val="00C63157"/>
    <w:rsid w:val="00C635C4"/>
    <w:rsid w:val="00C638FD"/>
    <w:rsid w:val="00C63A62"/>
    <w:rsid w:val="00C63CD0"/>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715F"/>
    <w:rsid w:val="00C87E49"/>
    <w:rsid w:val="00C90B12"/>
    <w:rsid w:val="00C90CD5"/>
    <w:rsid w:val="00C90D1B"/>
    <w:rsid w:val="00C90FCB"/>
    <w:rsid w:val="00C91FA4"/>
    <w:rsid w:val="00C92941"/>
    <w:rsid w:val="00C94C8E"/>
    <w:rsid w:val="00C94DBC"/>
    <w:rsid w:val="00C9500C"/>
    <w:rsid w:val="00C962D2"/>
    <w:rsid w:val="00CA0E10"/>
    <w:rsid w:val="00CA0FF6"/>
    <w:rsid w:val="00CA142B"/>
    <w:rsid w:val="00CA2761"/>
    <w:rsid w:val="00CA2A67"/>
    <w:rsid w:val="00CA30F0"/>
    <w:rsid w:val="00CA6768"/>
    <w:rsid w:val="00CA7121"/>
    <w:rsid w:val="00CA7F35"/>
    <w:rsid w:val="00CB0A89"/>
    <w:rsid w:val="00CB18E2"/>
    <w:rsid w:val="00CB1AC5"/>
    <w:rsid w:val="00CB1AF3"/>
    <w:rsid w:val="00CB29C7"/>
    <w:rsid w:val="00CB35A6"/>
    <w:rsid w:val="00CB47A4"/>
    <w:rsid w:val="00CB497A"/>
    <w:rsid w:val="00CB758A"/>
    <w:rsid w:val="00CC0F4C"/>
    <w:rsid w:val="00CC1955"/>
    <w:rsid w:val="00CC2523"/>
    <w:rsid w:val="00CC2932"/>
    <w:rsid w:val="00CC4426"/>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BE4"/>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3BC2"/>
    <w:rsid w:val="00D64D8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6884"/>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B6DE0"/>
    <w:rsid w:val="00DC01A8"/>
    <w:rsid w:val="00DC5F02"/>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16D7"/>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8B0"/>
    <w:rsid w:val="00E12C78"/>
    <w:rsid w:val="00E13C9D"/>
    <w:rsid w:val="00E14051"/>
    <w:rsid w:val="00E15D74"/>
    <w:rsid w:val="00E15EE3"/>
    <w:rsid w:val="00E16240"/>
    <w:rsid w:val="00E17135"/>
    <w:rsid w:val="00E20529"/>
    <w:rsid w:val="00E20E55"/>
    <w:rsid w:val="00E2119E"/>
    <w:rsid w:val="00E214DB"/>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1D06"/>
    <w:rsid w:val="00E623AB"/>
    <w:rsid w:val="00E6319E"/>
    <w:rsid w:val="00E64849"/>
    <w:rsid w:val="00E64C62"/>
    <w:rsid w:val="00E660B0"/>
    <w:rsid w:val="00E67187"/>
    <w:rsid w:val="00E671E1"/>
    <w:rsid w:val="00E70852"/>
    <w:rsid w:val="00E714D5"/>
    <w:rsid w:val="00E71EAF"/>
    <w:rsid w:val="00E72813"/>
    <w:rsid w:val="00E72BBD"/>
    <w:rsid w:val="00E73FA3"/>
    <w:rsid w:val="00E7476E"/>
    <w:rsid w:val="00E747FA"/>
    <w:rsid w:val="00E74D48"/>
    <w:rsid w:val="00E7746D"/>
    <w:rsid w:val="00E8000B"/>
    <w:rsid w:val="00E80599"/>
    <w:rsid w:val="00E816FE"/>
    <w:rsid w:val="00E83C48"/>
    <w:rsid w:val="00E8584F"/>
    <w:rsid w:val="00E8685F"/>
    <w:rsid w:val="00E86DB2"/>
    <w:rsid w:val="00E90161"/>
    <w:rsid w:val="00E91A26"/>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3BD5"/>
    <w:rsid w:val="00EC4BE5"/>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37A5"/>
    <w:rsid w:val="00EE3E60"/>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1E29"/>
    <w:rsid w:val="00F1374A"/>
    <w:rsid w:val="00F149CE"/>
    <w:rsid w:val="00F158CF"/>
    <w:rsid w:val="00F165F9"/>
    <w:rsid w:val="00F17A31"/>
    <w:rsid w:val="00F17F48"/>
    <w:rsid w:val="00F2127C"/>
    <w:rsid w:val="00F213ED"/>
    <w:rsid w:val="00F2192E"/>
    <w:rsid w:val="00F22698"/>
    <w:rsid w:val="00F22887"/>
    <w:rsid w:val="00F23F24"/>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BAC"/>
    <w:rsid w:val="00F61067"/>
    <w:rsid w:val="00F615B6"/>
    <w:rsid w:val="00F630C6"/>
    <w:rsid w:val="00F66527"/>
    <w:rsid w:val="00F66D24"/>
    <w:rsid w:val="00F67395"/>
    <w:rsid w:val="00F67BDA"/>
    <w:rsid w:val="00F70ED4"/>
    <w:rsid w:val="00F742D6"/>
    <w:rsid w:val="00F74475"/>
    <w:rsid w:val="00F744BA"/>
    <w:rsid w:val="00F7456A"/>
    <w:rsid w:val="00F776F6"/>
    <w:rsid w:val="00F777A8"/>
    <w:rsid w:val="00F817ED"/>
    <w:rsid w:val="00F82437"/>
    <w:rsid w:val="00F8246D"/>
    <w:rsid w:val="00F82A18"/>
    <w:rsid w:val="00F82B24"/>
    <w:rsid w:val="00F82EFF"/>
    <w:rsid w:val="00F831F2"/>
    <w:rsid w:val="00F8332F"/>
    <w:rsid w:val="00F8692D"/>
    <w:rsid w:val="00F86C82"/>
    <w:rsid w:val="00F86FF7"/>
    <w:rsid w:val="00F87412"/>
    <w:rsid w:val="00F875C7"/>
    <w:rsid w:val="00F87B7C"/>
    <w:rsid w:val="00F906F4"/>
    <w:rsid w:val="00F90AB0"/>
    <w:rsid w:val="00F9148E"/>
    <w:rsid w:val="00F922BA"/>
    <w:rsid w:val="00F94942"/>
    <w:rsid w:val="00F968FE"/>
    <w:rsid w:val="00F96EC1"/>
    <w:rsid w:val="00F9726A"/>
    <w:rsid w:val="00FA0560"/>
    <w:rsid w:val="00FA1913"/>
    <w:rsid w:val="00FA463E"/>
    <w:rsid w:val="00FA49D4"/>
    <w:rsid w:val="00FA4B0F"/>
    <w:rsid w:val="00FA4DE3"/>
    <w:rsid w:val="00FA5DB7"/>
    <w:rsid w:val="00FA5DBE"/>
    <w:rsid w:val="00FA6D67"/>
    <w:rsid w:val="00FA7ACA"/>
    <w:rsid w:val="00FA7C57"/>
    <w:rsid w:val="00FA7E94"/>
    <w:rsid w:val="00FB0DF1"/>
    <w:rsid w:val="00FB19DD"/>
    <w:rsid w:val="00FB2D91"/>
    <w:rsid w:val="00FB43AD"/>
    <w:rsid w:val="00FB43AE"/>
    <w:rsid w:val="00FB605F"/>
    <w:rsid w:val="00FB65E1"/>
    <w:rsid w:val="00FC0D22"/>
    <w:rsid w:val="00FC146D"/>
    <w:rsid w:val="00FC1C32"/>
    <w:rsid w:val="00FC4547"/>
    <w:rsid w:val="00FC5613"/>
    <w:rsid w:val="00FC5787"/>
    <w:rsid w:val="00FC5E07"/>
    <w:rsid w:val="00FC6E28"/>
    <w:rsid w:val="00FC6FFA"/>
    <w:rsid w:val="00FD05A5"/>
    <w:rsid w:val="00FD1806"/>
    <w:rsid w:val="00FD1DFE"/>
    <w:rsid w:val="00FD4919"/>
    <w:rsid w:val="00FD57D4"/>
    <w:rsid w:val="00FD64D7"/>
    <w:rsid w:val="00FD68AE"/>
    <w:rsid w:val="00FD6D2F"/>
    <w:rsid w:val="00FE0FD3"/>
    <w:rsid w:val="00FE224E"/>
    <w:rsid w:val="00FE355E"/>
    <w:rsid w:val="00FE3DC5"/>
    <w:rsid w:val="00FE4C93"/>
    <w:rsid w:val="00FE5033"/>
    <w:rsid w:val="00FE53A7"/>
    <w:rsid w:val="00FE6426"/>
    <w:rsid w:val="00FE698F"/>
    <w:rsid w:val="00FE7A32"/>
    <w:rsid w:val="00FF0CD5"/>
    <w:rsid w:val="00FF0FA4"/>
    <w:rsid w:val="00FF1D2A"/>
    <w:rsid w:val="00FF38DF"/>
    <w:rsid w:val="00FF4B34"/>
    <w:rsid w:val="00FF53CD"/>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57DB-897F-47FF-84E2-05D63F5B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4077</Words>
  <Characters>22428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2019-03-12T17:22:00Z</cp:lastPrinted>
  <dcterms:created xsi:type="dcterms:W3CDTF">2019-07-12T03:04:00Z</dcterms:created>
  <dcterms:modified xsi:type="dcterms:W3CDTF">2019-07-12T03:04:00Z</dcterms:modified>
</cp:coreProperties>
</file>