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B9" w:rsidRDefault="00FD4DB9"/>
    <w:tbl>
      <w:tblPr>
        <w:tblW w:w="17204" w:type="dxa"/>
        <w:tblInd w:w="-781" w:type="dxa"/>
        <w:tblLayout w:type="fixed"/>
        <w:tblCellMar>
          <w:left w:w="70" w:type="dxa"/>
          <w:right w:w="70" w:type="dxa"/>
        </w:tblCellMar>
        <w:tblLook w:val="04A0" w:firstRow="1" w:lastRow="0" w:firstColumn="1" w:lastColumn="0" w:noHBand="0" w:noVBand="1"/>
      </w:tblPr>
      <w:tblGrid>
        <w:gridCol w:w="2356"/>
        <w:gridCol w:w="7424"/>
        <w:gridCol w:w="7424"/>
      </w:tblGrid>
      <w:tr w:rsidR="006F57BE" w:rsidTr="006F57BE">
        <w:tc>
          <w:tcPr>
            <w:tcW w:w="2356" w:type="dxa"/>
          </w:tcPr>
          <w:p w:rsidR="006F57BE" w:rsidRDefault="006F57BE">
            <w:pPr>
              <w:pStyle w:val="Sinespaciado"/>
              <w:spacing w:line="276" w:lineRule="auto"/>
            </w:pPr>
            <w:r>
              <w:t xml:space="preserve">  </w:t>
            </w:r>
          </w:p>
        </w:tc>
        <w:tc>
          <w:tcPr>
            <w:tcW w:w="7424" w:type="dxa"/>
          </w:tcPr>
          <w:p w:rsidR="006F57BE" w:rsidRDefault="006F57BE">
            <w:pPr>
              <w:tabs>
                <w:tab w:val="left" w:pos="3103"/>
              </w:tabs>
              <w:ind w:left="1119" w:right="497" w:hanging="1119"/>
              <w:jc w:val="both"/>
              <w:rPr>
                <w:rFonts w:ascii="Arial" w:hAnsi="Arial" w:cs="Arial"/>
                <w:b/>
                <w:i/>
                <w:iCs/>
                <w:caps/>
                <w:sz w:val="26"/>
                <w:szCs w:val="26"/>
              </w:rPr>
            </w:pPr>
          </w:p>
        </w:tc>
        <w:tc>
          <w:tcPr>
            <w:tcW w:w="7424" w:type="dxa"/>
          </w:tcPr>
          <w:p w:rsidR="006F57BE" w:rsidRDefault="006F57BE">
            <w:pPr>
              <w:tabs>
                <w:tab w:val="left" w:pos="3103"/>
              </w:tabs>
              <w:ind w:left="1119" w:right="497" w:hanging="1119"/>
              <w:jc w:val="both"/>
              <w:rPr>
                <w:rFonts w:ascii="Arial" w:hAnsi="Arial" w:cs="Arial"/>
                <w:b/>
                <w:i/>
                <w:iCs/>
                <w:caps/>
                <w:sz w:val="26"/>
                <w:szCs w:val="26"/>
              </w:rPr>
            </w:pPr>
            <w:r>
              <w:rPr>
                <w:rFonts w:ascii="Arial" w:hAnsi="Arial" w:cs="Arial"/>
                <w:b/>
                <w:i/>
                <w:iCs/>
                <w:caps/>
                <w:sz w:val="26"/>
                <w:szCs w:val="26"/>
              </w:rPr>
              <w:t xml:space="preserve">              </w:t>
            </w:r>
          </w:p>
          <w:p w:rsidR="006F57BE" w:rsidRDefault="006F57BE">
            <w:pPr>
              <w:tabs>
                <w:tab w:val="left" w:pos="3103"/>
              </w:tabs>
              <w:ind w:left="1119" w:right="497"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SALA SUPERIOR DEL TRIBUNAL DE JUSTICIA ADMINISTRATIVA DEL ESTADO de oaxaca.</w:t>
            </w:r>
          </w:p>
          <w:p w:rsidR="006F57BE" w:rsidRDefault="006F57BE">
            <w:pPr>
              <w:pStyle w:val="Encabezado"/>
              <w:spacing w:line="276" w:lineRule="auto"/>
              <w:ind w:right="51"/>
              <w:jc w:val="both"/>
              <w:rPr>
                <w:rFonts w:ascii="Arial" w:hAnsi="Arial" w:cs="Arial"/>
                <w:b/>
                <w:iCs/>
                <w:caps/>
                <w:sz w:val="26"/>
                <w:szCs w:val="26"/>
                <w:lang w:val="es-PE"/>
              </w:rPr>
            </w:pPr>
            <w:r>
              <w:rPr>
                <w:rFonts w:ascii="Arial" w:hAnsi="Arial" w:cs="Arial"/>
                <w:b/>
                <w:iCs/>
                <w:caps/>
                <w:sz w:val="26"/>
                <w:szCs w:val="26"/>
                <w:lang w:val="es-PE"/>
              </w:rPr>
              <w:t xml:space="preserve">               </w:t>
            </w:r>
          </w:p>
          <w:p w:rsidR="006F57BE" w:rsidRDefault="006F57BE">
            <w:pPr>
              <w:pStyle w:val="Encabezado"/>
              <w:spacing w:line="276" w:lineRule="auto"/>
              <w:ind w:right="51"/>
              <w:jc w:val="both"/>
              <w:rPr>
                <w:rFonts w:ascii="Arial" w:hAnsi="Arial" w:cs="Arial"/>
                <w:b/>
                <w:iCs/>
                <w:caps/>
                <w:sz w:val="26"/>
                <w:szCs w:val="26"/>
                <w:lang w:val="es-PE"/>
              </w:rPr>
            </w:pPr>
            <w:r>
              <w:rPr>
                <w:rFonts w:ascii="Arial" w:hAnsi="Arial" w:cs="Arial"/>
                <w:b/>
                <w:iCs/>
                <w:caps/>
                <w:sz w:val="26"/>
                <w:szCs w:val="26"/>
                <w:lang w:val="es-PE"/>
              </w:rPr>
              <w:t xml:space="preserve">               RECURSO DE REVISIÓN:   0082/2019.</w:t>
            </w:r>
          </w:p>
          <w:p w:rsidR="006F57BE" w:rsidRDefault="006F57BE">
            <w:pPr>
              <w:pStyle w:val="Encabezado"/>
              <w:spacing w:line="276" w:lineRule="auto"/>
              <w:ind w:right="51"/>
              <w:jc w:val="both"/>
              <w:rPr>
                <w:rFonts w:ascii="Arial" w:hAnsi="Arial" w:cs="Arial"/>
                <w:b/>
                <w:iCs/>
                <w:caps/>
                <w:sz w:val="26"/>
                <w:szCs w:val="26"/>
                <w:lang w:val="es-PE"/>
              </w:rPr>
            </w:pPr>
          </w:p>
          <w:p w:rsidR="006F57BE" w:rsidRDefault="006F57BE">
            <w:pPr>
              <w:pStyle w:val="Encabezado"/>
              <w:spacing w:line="276" w:lineRule="aut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EXPEDIENTE: 0082/2018 de la SEXTA sala unitaria DE PRIMERA INSTANCIA.</w:t>
            </w:r>
          </w:p>
          <w:p w:rsidR="006F57BE" w:rsidRDefault="006F57BE">
            <w:pPr>
              <w:pStyle w:val="Encabezado"/>
              <w:spacing w:line="276" w:lineRule="auto"/>
              <w:ind w:left="1119" w:right="51" w:hanging="1119"/>
              <w:jc w:val="both"/>
              <w:rPr>
                <w:rFonts w:ascii="Arial" w:hAnsi="Arial" w:cs="Arial"/>
                <w:b/>
                <w:iCs/>
                <w:caps/>
                <w:sz w:val="26"/>
                <w:szCs w:val="26"/>
                <w:lang w:val="es-PE"/>
              </w:rPr>
            </w:pPr>
          </w:p>
          <w:p w:rsidR="006F57BE" w:rsidRDefault="006F57BE">
            <w:pPr>
              <w:pStyle w:val="Encabezado"/>
              <w:spacing w:line="276" w:lineRule="auto"/>
              <w:ind w:left="1119" w:right="497" w:hanging="1134"/>
              <w:jc w:val="both"/>
              <w:rPr>
                <w:rFonts w:ascii="Arial" w:hAnsi="Arial" w:cs="Arial"/>
                <w:b/>
                <w:iCs/>
                <w:caps/>
                <w:sz w:val="26"/>
                <w:szCs w:val="26"/>
                <w:lang w:val="es-PE"/>
              </w:rPr>
            </w:pPr>
            <w:r>
              <w:rPr>
                <w:rFonts w:ascii="Arial" w:hAnsi="Arial" w:cs="Arial"/>
                <w:b/>
                <w:iCs/>
                <w:caps/>
                <w:sz w:val="26"/>
                <w:szCs w:val="26"/>
                <w:lang w:val="es-PE"/>
              </w:rPr>
              <w:t xml:space="preserve">                ponente: magISTRADo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F57BE" w:rsidTr="006F57BE">
        <w:tc>
          <w:tcPr>
            <w:tcW w:w="2356" w:type="dxa"/>
          </w:tcPr>
          <w:p w:rsidR="006F57BE" w:rsidRDefault="006F57BE">
            <w:pPr>
              <w:rPr>
                <w:rFonts w:ascii="Arial" w:hAnsi="Arial" w:cs="Arial"/>
                <w:b/>
                <w:sz w:val="26"/>
                <w:szCs w:val="26"/>
                <w:lang w:val="es-ES"/>
              </w:rPr>
            </w:pPr>
          </w:p>
        </w:tc>
        <w:tc>
          <w:tcPr>
            <w:tcW w:w="7424" w:type="dxa"/>
          </w:tcPr>
          <w:p w:rsidR="006F57BE" w:rsidRDefault="006F57BE">
            <w:pPr>
              <w:tabs>
                <w:tab w:val="left" w:pos="3103"/>
              </w:tabs>
              <w:ind w:left="2961" w:hanging="2961"/>
              <w:jc w:val="both"/>
              <w:rPr>
                <w:rFonts w:ascii="Arial" w:hAnsi="Arial" w:cs="Arial"/>
                <w:b/>
                <w:i/>
                <w:iCs/>
                <w:caps/>
                <w:sz w:val="26"/>
                <w:szCs w:val="26"/>
              </w:rPr>
            </w:pPr>
          </w:p>
        </w:tc>
        <w:tc>
          <w:tcPr>
            <w:tcW w:w="7424" w:type="dxa"/>
            <w:hideMark/>
          </w:tcPr>
          <w:p w:rsidR="006F57BE" w:rsidRDefault="006F57BE">
            <w:pPr>
              <w:tabs>
                <w:tab w:val="left" w:pos="3103"/>
              </w:tabs>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6F57BE" w:rsidTr="006F57BE">
        <w:tc>
          <w:tcPr>
            <w:tcW w:w="2356" w:type="dxa"/>
          </w:tcPr>
          <w:p w:rsidR="006F57BE" w:rsidRDefault="006F57BE">
            <w:pPr>
              <w:rPr>
                <w:rFonts w:ascii="Arial" w:hAnsi="Arial" w:cs="Arial"/>
                <w:b/>
                <w:sz w:val="26"/>
                <w:szCs w:val="26"/>
              </w:rPr>
            </w:pPr>
          </w:p>
        </w:tc>
        <w:tc>
          <w:tcPr>
            <w:tcW w:w="7424" w:type="dxa"/>
          </w:tcPr>
          <w:p w:rsidR="006F57BE" w:rsidRDefault="006F57BE">
            <w:pPr>
              <w:tabs>
                <w:tab w:val="left" w:pos="3103"/>
              </w:tabs>
              <w:ind w:left="2961" w:hanging="2961"/>
              <w:jc w:val="both"/>
              <w:rPr>
                <w:rFonts w:ascii="Arial" w:hAnsi="Arial" w:cs="Arial"/>
                <w:b/>
                <w:i/>
                <w:iCs/>
                <w:caps/>
                <w:sz w:val="26"/>
                <w:szCs w:val="26"/>
              </w:rPr>
            </w:pPr>
          </w:p>
        </w:tc>
        <w:tc>
          <w:tcPr>
            <w:tcW w:w="7424" w:type="dxa"/>
          </w:tcPr>
          <w:p w:rsidR="006F57BE" w:rsidRDefault="006F57BE">
            <w:pPr>
              <w:tabs>
                <w:tab w:val="left" w:pos="3103"/>
              </w:tabs>
              <w:ind w:left="2961" w:hanging="2961"/>
              <w:jc w:val="both"/>
              <w:rPr>
                <w:rFonts w:ascii="Arial" w:hAnsi="Arial" w:cs="Arial"/>
                <w:b/>
                <w:i/>
                <w:iCs/>
                <w:caps/>
                <w:sz w:val="26"/>
                <w:szCs w:val="26"/>
              </w:rPr>
            </w:pPr>
          </w:p>
        </w:tc>
      </w:tr>
    </w:tbl>
    <w:p w:rsidR="00357DFB" w:rsidRDefault="00411EDC" w:rsidP="00357DFB">
      <w:pPr>
        <w:spacing w:line="360" w:lineRule="auto"/>
        <w:jc w:val="both"/>
        <w:rPr>
          <w:rFonts w:ascii="Arial" w:hAnsi="Arial" w:cs="Arial"/>
          <w:b/>
          <w:sz w:val="26"/>
          <w:szCs w:val="26"/>
          <w:lang w:val="es-ES"/>
        </w:rPr>
      </w:pPr>
      <w:r>
        <w:rPr>
          <w:rFonts w:ascii="Arial" w:hAnsi="Arial" w:cs="Arial"/>
          <w:b/>
          <w:sz w:val="26"/>
          <w:szCs w:val="26"/>
        </w:rPr>
        <w:t xml:space="preserve">OAXACA DE JUÁREZ, OAXACA, VEINTE </w:t>
      </w:r>
      <w:r w:rsidR="00357DFB">
        <w:rPr>
          <w:rFonts w:ascii="Arial" w:hAnsi="Arial" w:cs="Arial"/>
          <w:b/>
          <w:sz w:val="26"/>
          <w:szCs w:val="26"/>
        </w:rPr>
        <w:t xml:space="preserve">DE </w:t>
      </w:r>
      <w:r w:rsidR="00FE78E1">
        <w:rPr>
          <w:rFonts w:ascii="Arial" w:hAnsi="Arial" w:cs="Arial"/>
          <w:b/>
          <w:sz w:val="26"/>
          <w:szCs w:val="26"/>
        </w:rPr>
        <w:t>JUNIO</w:t>
      </w:r>
      <w:r w:rsidR="00357DFB">
        <w:rPr>
          <w:rFonts w:ascii="Arial" w:hAnsi="Arial" w:cs="Arial"/>
          <w:b/>
          <w:sz w:val="26"/>
          <w:szCs w:val="26"/>
        </w:rPr>
        <w:t xml:space="preserve"> DE DOS MIL DIECI</w:t>
      </w:r>
      <w:r w:rsidR="007662B4">
        <w:rPr>
          <w:rFonts w:ascii="Arial" w:hAnsi="Arial" w:cs="Arial"/>
          <w:b/>
          <w:sz w:val="26"/>
          <w:szCs w:val="26"/>
        </w:rPr>
        <w:t>NUEVE</w:t>
      </w:r>
      <w:r w:rsidR="00357DFB">
        <w:rPr>
          <w:rFonts w:ascii="Arial" w:hAnsi="Arial" w:cs="Arial"/>
          <w:b/>
          <w:sz w:val="26"/>
          <w:szCs w:val="26"/>
        </w:rPr>
        <w:t>.</w:t>
      </w:r>
    </w:p>
    <w:p w:rsidR="00411EDC" w:rsidRDefault="00357DFB" w:rsidP="00131CAB">
      <w:pPr>
        <w:spacing w:line="360" w:lineRule="auto"/>
        <w:ind w:firstLine="708"/>
        <w:jc w:val="both"/>
        <w:rPr>
          <w:rFonts w:ascii="Arial" w:hAnsi="Arial" w:cs="Arial"/>
          <w:sz w:val="26"/>
          <w:szCs w:val="26"/>
        </w:rPr>
      </w:pPr>
      <w:r>
        <w:rPr>
          <w:rFonts w:ascii="Arial" w:hAnsi="Arial" w:cs="Arial"/>
          <w:sz w:val="26"/>
          <w:szCs w:val="26"/>
        </w:rPr>
        <w:t xml:space="preserve">Por recibido el Recurso de Revisión </w:t>
      </w:r>
      <w:r w:rsidR="007662B4">
        <w:rPr>
          <w:rFonts w:ascii="Arial" w:hAnsi="Arial" w:cs="Arial"/>
          <w:b/>
          <w:sz w:val="26"/>
          <w:szCs w:val="26"/>
        </w:rPr>
        <w:t>00</w:t>
      </w:r>
      <w:r w:rsidR="00FE78E1">
        <w:rPr>
          <w:rFonts w:ascii="Arial" w:hAnsi="Arial" w:cs="Arial"/>
          <w:b/>
          <w:sz w:val="26"/>
          <w:szCs w:val="26"/>
        </w:rPr>
        <w:t>82</w:t>
      </w:r>
      <w:r w:rsidR="007662B4">
        <w:rPr>
          <w:rFonts w:ascii="Arial" w:hAnsi="Arial" w:cs="Arial"/>
          <w:b/>
          <w:sz w:val="26"/>
          <w:szCs w:val="26"/>
        </w:rPr>
        <w:t>/2019</w:t>
      </w:r>
      <w:r>
        <w:rPr>
          <w:rFonts w:ascii="Arial" w:hAnsi="Arial" w:cs="Arial"/>
          <w:b/>
          <w:sz w:val="26"/>
          <w:szCs w:val="26"/>
        </w:rPr>
        <w:t xml:space="preserve"> </w:t>
      </w:r>
      <w:r>
        <w:rPr>
          <w:rFonts w:ascii="Arial" w:hAnsi="Arial" w:cs="Arial"/>
          <w:sz w:val="26"/>
          <w:szCs w:val="26"/>
        </w:rPr>
        <w:t xml:space="preserve">que remite la Secretaría General de Acuerdos, con motivo del recurso de revisión interpuesto por </w:t>
      </w:r>
      <w:r w:rsidR="007307E2">
        <w:rPr>
          <w:rFonts w:ascii="Arial" w:hAnsi="Arial" w:cs="Arial"/>
          <w:b/>
          <w:sz w:val="26"/>
          <w:szCs w:val="26"/>
        </w:rPr>
        <w:t>**********</w:t>
      </w:r>
      <w:r w:rsidR="000447E8">
        <w:rPr>
          <w:rFonts w:ascii="Arial" w:hAnsi="Arial" w:cs="Arial"/>
          <w:b/>
          <w:sz w:val="26"/>
          <w:szCs w:val="26"/>
        </w:rPr>
        <w:t>,</w:t>
      </w:r>
      <w:r>
        <w:rPr>
          <w:rFonts w:ascii="Arial" w:hAnsi="Arial" w:cs="Arial"/>
          <w:sz w:val="26"/>
          <w:szCs w:val="26"/>
        </w:rPr>
        <w:t xml:space="preserve"> </w:t>
      </w:r>
      <w:r w:rsidR="00FE78E1">
        <w:rPr>
          <w:rFonts w:ascii="Arial" w:hAnsi="Arial" w:cs="Arial"/>
          <w:sz w:val="26"/>
          <w:szCs w:val="26"/>
        </w:rPr>
        <w:t xml:space="preserve">en su carácter de Apoderado Legal </w:t>
      </w:r>
      <w:r w:rsidR="004030DA">
        <w:rPr>
          <w:rFonts w:ascii="Arial" w:hAnsi="Arial" w:cs="Arial"/>
          <w:sz w:val="26"/>
          <w:szCs w:val="26"/>
        </w:rPr>
        <w:t xml:space="preserve">de la persona moral denominada </w:t>
      </w:r>
      <w:r w:rsidR="004030DA" w:rsidRPr="004030DA">
        <w:rPr>
          <w:rFonts w:ascii="Arial" w:hAnsi="Arial" w:cs="Arial"/>
          <w:b/>
          <w:sz w:val="26"/>
          <w:szCs w:val="26"/>
        </w:rPr>
        <w:t>“</w:t>
      </w:r>
      <w:r w:rsidR="00FE78E1">
        <w:rPr>
          <w:rFonts w:ascii="Arial" w:hAnsi="Arial" w:cs="Arial"/>
          <w:b/>
          <w:sz w:val="26"/>
          <w:szCs w:val="26"/>
        </w:rPr>
        <w:t>CAZANDO EL SOL, S.A. DE C.V</w:t>
      </w:r>
      <w:r w:rsidR="004030DA">
        <w:rPr>
          <w:rFonts w:ascii="Arial" w:hAnsi="Arial" w:cs="Arial"/>
          <w:b/>
          <w:sz w:val="26"/>
          <w:szCs w:val="26"/>
        </w:rPr>
        <w:t>”</w:t>
      </w:r>
      <w:r w:rsidR="00FE78E1">
        <w:rPr>
          <w:rFonts w:ascii="Arial" w:hAnsi="Arial" w:cs="Arial"/>
          <w:b/>
          <w:sz w:val="26"/>
          <w:szCs w:val="26"/>
        </w:rPr>
        <w:t xml:space="preserve">., </w:t>
      </w:r>
      <w:r>
        <w:rPr>
          <w:rFonts w:ascii="Arial" w:hAnsi="Arial" w:cs="Arial"/>
          <w:sz w:val="26"/>
          <w:szCs w:val="26"/>
        </w:rPr>
        <w:t xml:space="preserve">en contra </w:t>
      </w:r>
      <w:r w:rsidR="0068420B">
        <w:rPr>
          <w:rFonts w:ascii="Arial" w:hAnsi="Arial" w:cs="Arial"/>
          <w:sz w:val="26"/>
          <w:szCs w:val="26"/>
        </w:rPr>
        <w:t>de</w:t>
      </w:r>
      <w:r w:rsidR="00FE78E1">
        <w:rPr>
          <w:rFonts w:ascii="Arial" w:hAnsi="Arial" w:cs="Arial"/>
          <w:sz w:val="26"/>
          <w:szCs w:val="26"/>
        </w:rPr>
        <w:t xml:space="preserve"> la sentencia de 31 treinta y uno de enero </w:t>
      </w:r>
      <w:r w:rsidR="007662B4">
        <w:rPr>
          <w:rFonts w:ascii="Arial" w:hAnsi="Arial" w:cs="Arial"/>
          <w:sz w:val="26"/>
          <w:szCs w:val="26"/>
        </w:rPr>
        <w:t>de 201</w:t>
      </w:r>
      <w:r w:rsidR="00FE78E1">
        <w:rPr>
          <w:rFonts w:ascii="Arial" w:hAnsi="Arial" w:cs="Arial"/>
          <w:sz w:val="26"/>
          <w:szCs w:val="26"/>
        </w:rPr>
        <w:t>9</w:t>
      </w:r>
      <w:r w:rsidR="007662B4">
        <w:rPr>
          <w:rFonts w:ascii="Arial" w:hAnsi="Arial" w:cs="Arial"/>
          <w:sz w:val="26"/>
          <w:szCs w:val="26"/>
        </w:rPr>
        <w:t xml:space="preserve"> dos mil dieci</w:t>
      </w:r>
      <w:r w:rsidR="00FE78E1">
        <w:rPr>
          <w:rFonts w:ascii="Arial" w:hAnsi="Arial" w:cs="Arial"/>
          <w:sz w:val="26"/>
          <w:szCs w:val="26"/>
        </w:rPr>
        <w:t>nueve</w:t>
      </w:r>
      <w:r w:rsidR="007662B4">
        <w:rPr>
          <w:rFonts w:ascii="Arial" w:hAnsi="Arial" w:cs="Arial"/>
          <w:sz w:val="26"/>
          <w:szCs w:val="26"/>
        </w:rPr>
        <w:t>,</w:t>
      </w:r>
      <w:r>
        <w:rPr>
          <w:rFonts w:ascii="Arial" w:hAnsi="Arial" w:cs="Arial"/>
          <w:sz w:val="26"/>
          <w:szCs w:val="26"/>
        </w:rPr>
        <w:t xml:space="preserve"> dictad</w:t>
      </w:r>
      <w:r w:rsidR="00FE78E1">
        <w:rPr>
          <w:rFonts w:ascii="Arial" w:hAnsi="Arial" w:cs="Arial"/>
          <w:sz w:val="26"/>
          <w:szCs w:val="26"/>
        </w:rPr>
        <w:t>a</w:t>
      </w:r>
      <w:r>
        <w:rPr>
          <w:rFonts w:ascii="Arial" w:hAnsi="Arial" w:cs="Arial"/>
          <w:sz w:val="26"/>
          <w:szCs w:val="26"/>
        </w:rPr>
        <w:t xml:space="preserve"> en el expediente </w:t>
      </w:r>
      <w:r w:rsidR="00FE78E1">
        <w:rPr>
          <w:rFonts w:ascii="Arial" w:hAnsi="Arial" w:cs="Arial"/>
          <w:b/>
          <w:sz w:val="26"/>
          <w:szCs w:val="26"/>
        </w:rPr>
        <w:t>0082/2018</w:t>
      </w:r>
      <w:r>
        <w:rPr>
          <w:rFonts w:ascii="Arial" w:hAnsi="Arial" w:cs="Arial"/>
          <w:b/>
          <w:sz w:val="26"/>
          <w:szCs w:val="26"/>
        </w:rPr>
        <w:t xml:space="preserve"> </w:t>
      </w:r>
      <w:r>
        <w:rPr>
          <w:rFonts w:ascii="Arial" w:hAnsi="Arial" w:cs="Arial"/>
          <w:sz w:val="26"/>
          <w:szCs w:val="26"/>
        </w:rPr>
        <w:t xml:space="preserve">del índice de la </w:t>
      </w:r>
      <w:r w:rsidR="00FE78E1">
        <w:rPr>
          <w:rFonts w:ascii="Arial" w:hAnsi="Arial" w:cs="Arial"/>
          <w:sz w:val="26"/>
          <w:szCs w:val="26"/>
        </w:rPr>
        <w:t>Sexta</w:t>
      </w:r>
      <w:r w:rsidR="007662B4">
        <w:rPr>
          <w:rFonts w:ascii="Arial" w:hAnsi="Arial" w:cs="Arial"/>
          <w:sz w:val="26"/>
          <w:szCs w:val="26"/>
        </w:rPr>
        <w:t xml:space="preserve"> </w:t>
      </w:r>
      <w:r w:rsidR="00CC4976">
        <w:rPr>
          <w:rFonts w:ascii="Arial" w:hAnsi="Arial" w:cs="Arial"/>
          <w:sz w:val="26"/>
          <w:szCs w:val="26"/>
        </w:rPr>
        <w:t xml:space="preserve"> </w:t>
      </w:r>
      <w:r>
        <w:rPr>
          <w:rFonts w:ascii="Arial" w:hAnsi="Arial" w:cs="Arial"/>
          <w:sz w:val="26"/>
          <w:szCs w:val="26"/>
        </w:rPr>
        <w:t xml:space="preserve">Sala Unitaria de Primera Instancia, relativo al juicio de nulidad promovido por </w:t>
      </w:r>
      <w:r w:rsidR="000447E8" w:rsidRPr="000447E8">
        <w:rPr>
          <w:rFonts w:ascii="Arial" w:hAnsi="Arial" w:cs="Arial"/>
          <w:b/>
          <w:sz w:val="26"/>
          <w:szCs w:val="26"/>
        </w:rPr>
        <w:t>el</w:t>
      </w:r>
      <w:r>
        <w:rPr>
          <w:rFonts w:ascii="Arial" w:hAnsi="Arial" w:cs="Arial"/>
          <w:b/>
          <w:sz w:val="26"/>
          <w:szCs w:val="26"/>
        </w:rPr>
        <w:t xml:space="preserve"> recurrente, </w:t>
      </w:r>
      <w:r>
        <w:rPr>
          <w:rFonts w:ascii="Arial" w:hAnsi="Arial" w:cs="Arial"/>
          <w:sz w:val="26"/>
          <w:szCs w:val="26"/>
        </w:rPr>
        <w:t>en contra de</w:t>
      </w:r>
      <w:r w:rsidR="00FE78E1">
        <w:rPr>
          <w:rFonts w:ascii="Arial" w:hAnsi="Arial" w:cs="Arial"/>
          <w:sz w:val="26"/>
          <w:szCs w:val="26"/>
        </w:rPr>
        <w:t xml:space="preserve"> </w:t>
      </w:r>
      <w:r>
        <w:rPr>
          <w:rFonts w:ascii="Arial" w:hAnsi="Arial" w:cs="Arial"/>
          <w:sz w:val="26"/>
          <w:szCs w:val="26"/>
        </w:rPr>
        <w:t>l</w:t>
      </w:r>
      <w:r w:rsidR="00FE78E1">
        <w:rPr>
          <w:rFonts w:ascii="Arial" w:hAnsi="Arial" w:cs="Arial"/>
          <w:sz w:val="26"/>
          <w:szCs w:val="26"/>
        </w:rPr>
        <w:t>a</w:t>
      </w:r>
      <w:r>
        <w:rPr>
          <w:rFonts w:ascii="Arial" w:hAnsi="Arial" w:cs="Arial"/>
          <w:sz w:val="26"/>
          <w:szCs w:val="26"/>
        </w:rPr>
        <w:t xml:space="preserve"> </w:t>
      </w:r>
      <w:r w:rsidR="00FE78E1">
        <w:rPr>
          <w:rFonts w:ascii="Arial" w:hAnsi="Arial" w:cs="Arial"/>
          <w:b/>
          <w:sz w:val="26"/>
          <w:szCs w:val="26"/>
        </w:rPr>
        <w:t>DIRECCIÓN DE INGRESOS Y RE</w:t>
      </w:r>
      <w:r w:rsidR="004030DA">
        <w:rPr>
          <w:rFonts w:ascii="Arial" w:hAnsi="Arial" w:cs="Arial"/>
          <w:b/>
          <w:sz w:val="26"/>
          <w:szCs w:val="26"/>
        </w:rPr>
        <w:t>C</w:t>
      </w:r>
      <w:r w:rsidR="00FE78E1">
        <w:rPr>
          <w:rFonts w:ascii="Arial" w:hAnsi="Arial" w:cs="Arial"/>
          <w:b/>
          <w:sz w:val="26"/>
          <w:szCs w:val="26"/>
        </w:rPr>
        <w:t>AUDACIÓN DE LA SECRETARÍA DE FINANZAS DEL GOBIERNO DEL ESTADO DE OAXACA</w:t>
      </w:r>
      <w:r w:rsidR="007662B4">
        <w:rPr>
          <w:rFonts w:ascii="Arial" w:hAnsi="Arial" w:cs="Arial"/>
          <w:b/>
          <w:sz w:val="26"/>
          <w:szCs w:val="26"/>
        </w:rPr>
        <w:t>,</w:t>
      </w:r>
      <w:r>
        <w:rPr>
          <w:rFonts w:ascii="Arial" w:hAnsi="Arial" w:cs="Arial"/>
          <w:b/>
          <w:sz w:val="26"/>
          <w:szCs w:val="26"/>
        </w:rPr>
        <w:t xml:space="preserve"> </w:t>
      </w:r>
      <w:r>
        <w:rPr>
          <w:rFonts w:ascii="Arial" w:hAnsi="Arial" w:cs="Arial"/>
          <w:sz w:val="26"/>
          <w:szCs w:val="26"/>
        </w:rPr>
        <w:t>por lo que co</w:t>
      </w:r>
      <w:r w:rsidR="00FE78E1">
        <w:rPr>
          <w:rFonts w:ascii="Arial" w:hAnsi="Arial" w:cs="Arial"/>
          <w:sz w:val="26"/>
          <w:szCs w:val="26"/>
        </w:rPr>
        <w:t>n fundamento en los artículos 237</w:t>
      </w:r>
      <w:r>
        <w:rPr>
          <w:rFonts w:ascii="Arial" w:hAnsi="Arial" w:cs="Arial"/>
          <w:sz w:val="26"/>
          <w:szCs w:val="26"/>
        </w:rPr>
        <w:t xml:space="preserve"> y 2</w:t>
      </w:r>
      <w:r w:rsidR="00FE78E1">
        <w:rPr>
          <w:rFonts w:ascii="Arial" w:hAnsi="Arial" w:cs="Arial"/>
          <w:sz w:val="26"/>
          <w:szCs w:val="26"/>
        </w:rPr>
        <w:t>3</w:t>
      </w:r>
      <w:r>
        <w:rPr>
          <w:rFonts w:ascii="Arial" w:hAnsi="Arial" w:cs="Arial"/>
          <w:sz w:val="26"/>
          <w:szCs w:val="26"/>
        </w:rPr>
        <w:t xml:space="preserve">8 de la Ley de </w:t>
      </w:r>
      <w:r w:rsidR="00FE78E1">
        <w:rPr>
          <w:rFonts w:ascii="Arial" w:hAnsi="Arial" w:cs="Arial"/>
          <w:sz w:val="26"/>
          <w:szCs w:val="26"/>
        </w:rPr>
        <w:t xml:space="preserve">Procedimiento y </w:t>
      </w:r>
      <w:r>
        <w:rPr>
          <w:rFonts w:ascii="Arial" w:hAnsi="Arial" w:cs="Arial"/>
          <w:sz w:val="26"/>
          <w:szCs w:val="26"/>
        </w:rPr>
        <w:t xml:space="preserve">Justicia Administrativa para el Estado de Oaxaca, se admite. En consecuencia, se procede a dictar resolución en los siguientes </w:t>
      </w:r>
      <w:r w:rsidR="004030DA">
        <w:rPr>
          <w:rFonts w:ascii="Arial" w:hAnsi="Arial" w:cs="Arial"/>
          <w:sz w:val="26"/>
          <w:szCs w:val="26"/>
        </w:rPr>
        <w:t xml:space="preserve">términos: </w:t>
      </w:r>
    </w:p>
    <w:p w:rsidR="00411EDC" w:rsidRDefault="00357DFB" w:rsidP="00411EDC">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411EDC" w:rsidRDefault="00411EDC" w:rsidP="00411EDC">
      <w:pPr>
        <w:spacing w:line="360" w:lineRule="auto"/>
        <w:ind w:firstLine="708"/>
        <w:jc w:val="center"/>
        <w:rPr>
          <w:rFonts w:ascii="Arial" w:hAnsi="Arial" w:cs="Arial"/>
          <w:b/>
          <w:bCs/>
          <w:sz w:val="26"/>
          <w:szCs w:val="26"/>
        </w:rPr>
      </w:pPr>
    </w:p>
    <w:p w:rsidR="00411EDC" w:rsidRDefault="00357DFB" w:rsidP="00411EDC">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FE78E1">
        <w:rPr>
          <w:rFonts w:ascii="Arial" w:hAnsi="Arial" w:cs="Arial"/>
          <w:sz w:val="26"/>
          <w:szCs w:val="26"/>
        </w:rPr>
        <w:t xml:space="preserve">la sentencia de 31 treinta y uno de enero de 2019 dos mil diecinueve, dictada </w:t>
      </w:r>
      <w:r>
        <w:rPr>
          <w:rFonts w:ascii="Arial" w:hAnsi="Arial" w:cs="Arial"/>
          <w:sz w:val="26"/>
          <w:szCs w:val="26"/>
        </w:rPr>
        <w:t xml:space="preserve">por </w:t>
      </w:r>
      <w:r w:rsidR="00C66996">
        <w:rPr>
          <w:rFonts w:ascii="Arial" w:hAnsi="Arial" w:cs="Arial"/>
          <w:sz w:val="26"/>
          <w:szCs w:val="26"/>
        </w:rPr>
        <w:t>el Magistrad</w:t>
      </w:r>
      <w:r w:rsidR="004030DA">
        <w:rPr>
          <w:rFonts w:ascii="Arial" w:hAnsi="Arial" w:cs="Arial"/>
          <w:sz w:val="26"/>
          <w:szCs w:val="26"/>
        </w:rPr>
        <w:t>o</w:t>
      </w:r>
      <w:r w:rsidR="00C66996">
        <w:rPr>
          <w:rFonts w:ascii="Arial" w:hAnsi="Arial" w:cs="Arial"/>
          <w:sz w:val="26"/>
          <w:szCs w:val="26"/>
        </w:rPr>
        <w:t xml:space="preserve"> </w:t>
      </w:r>
      <w:r>
        <w:rPr>
          <w:rFonts w:ascii="Arial" w:hAnsi="Arial" w:cs="Arial"/>
          <w:sz w:val="26"/>
          <w:szCs w:val="26"/>
        </w:rPr>
        <w:t xml:space="preserve">de la </w:t>
      </w:r>
      <w:r w:rsidR="00FE78E1">
        <w:rPr>
          <w:rFonts w:ascii="Arial" w:hAnsi="Arial" w:cs="Arial"/>
          <w:sz w:val="26"/>
          <w:szCs w:val="26"/>
        </w:rPr>
        <w:t>Sexta</w:t>
      </w:r>
      <w:r w:rsidR="007662B4">
        <w:rPr>
          <w:rFonts w:ascii="Arial" w:hAnsi="Arial" w:cs="Arial"/>
          <w:sz w:val="26"/>
          <w:szCs w:val="26"/>
        </w:rPr>
        <w:t xml:space="preserve"> </w:t>
      </w:r>
      <w:r>
        <w:rPr>
          <w:rFonts w:ascii="Arial" w:hAnsi="Arial" w:cs="Arial"/>
          <w:sz w:val="26"/>
          <w:szCs w:val="26"/>
        </w:rPr>
        <w:t xml:space="preserve">Sala Unitaria de Primera Instancia, </w:t>
      </w:r>
      <w:r w:rsidR="007307E2">
        <w:rPr>
          <w:rFonts w:ascii="Arial" w:hAnsi="Arial" w:cs="Arial"/>
          <w:b/>
          <w:sz w:val="26"/>
          <w:szCs w:val="26"/>
        </w:rPr>
        <w:t>**********</w:t>
      </w:r>
      <w:r w:rsidR="00FE78E1">
        <w:rPr>
          <w:rFonts w:ascii="Arial" w:hAnsi="Arial" w:cs="Arial"/>
          <w:b/>
          <w:sz w:val="26"/>
          <w:szCs w:val="26"/>
        </w:rPr>
        <w:t xml:space="preserve">, </w:t>
      </w:r>
      <w:r w:rsidR="00FE78E1">
        <w:rPr>
          <w:rFonts w:ascii="Arial" w:hAnsi="Arial" w:cs="Arial"/>
          <w:sz w:val="26"/>
          <w:szCs w:val="26"/>
        </w:rPr>
        <w:t xml:space="preserve">en su carácter de Apoderado Legal </w:t>
      </w:r>
      <w:r w:rsidR="004030DA">
        <w:rPr>
          <w:rFonts w:ascii="Arial" w:hAnsi="Arial" w:cs="Arial"/>
          <w:sz w:val="26"/>
          <w:szCs w:val="26"/>
        </w:rPr>
        <w:t xml:space="preserve">de la persona moral denominada </w:t>
      </w:r>
      <w:r w:rsidR="004030DA" w:rsidRPr="004030DA">
        <w:rPr>
          <w:rFonts w:ascii="Arial" w:hAnsi="Arial" w:cs="Arial"/>
          <w:b/>
          <w:sz w:val="26"/>
          <w:szCs w:val="26"/>
        </w:rPr>
        <w:t>“</w:t>
      </w:r>
      <w:r w:rsidR="00FE78E1" w:rsidRPr="004030DA">
        <w:rPr>
          <w:rFonts w:ascii="Arial" w:hAnsi="Arial" w:cs="Arial"/>
          <w:b/>
          <w:sz w:val="26"/>
          <w:szCs w:val="26"/>
        </w:rPr>
        <w:t>C</w:t>
      </w:r>
      <w:r w:rsidR="00FE78E1">
        <w:rPr>
          <w:rFonts w:ascii="Arial" w:hAnsi="Arial" w:cs="Arial"/>
          <w:b/>
          <w:sz w:val="26"/>
          <w:szCs w:val="26"/>
        </w:rPr>
        <w:t>AZANDO EL SOL, S.A. DE C.V</w:t>
      </w:r>
      <w:r w:rsidR="004030DA">
        <w:rPr>
          <w:rFonts w:ascii="Arial" w:hAnsi="Arial" w:cs="Arial"/>
          <w:b/>
          <w:sz w:val="26"/>
          <w:szCs w:val="26"/>
        </w:rPr>
        <w:t>”</w:t>
      </w:r>
      <w:r w:rsidR="00FE78E1">
        <w:rPr>
          <w:rFonts w:ascii="Arial" w:hAnsi="Arial" w:cs="Arial"/>
          <w:b/>
          <w:sz w:val="26"/>
          <w:szCs w:val="26"/>
        </w:rPr>
        <w:t xml:space="preserve">., </w:t>
      </w:r>
      <w:r>
        <w:rPr>
          <w:rFonts w:ascii="Arial" w:hAnsi="Arial" w:cs="Arial"/>
          <w:sz w:val="26"/>
          <w:szCs w:val="26"/>
        </w:rPr>
        <w:t xml:space="preserve">interpuso en su contra recurso de </w:t>
      </w:r>
      <w:r w:rsidR="00411EDC">
        <w:rPr>
          <w:rFonts w:ascii="Arial" w:hAnsi="Arial" w:cs="Arial"/>
          <w:sz w:val="26"/>
          <w:szCs w:val="26"/>
        </w:rPr>
        <w:t xml:space="preserve">revisión. </w:t>
      </w:r>
    </w:p>
    <w:p w:rsidR="00411EDC" w:rsidRDefault="00411EDC" w:rsidP="00411EDC">
      <w:pPr>
        <w:spacing w:line="360" w:lineRule="auto"/>
        <w:ind w:firstLine="708"/>
        <w:jc w:val="both"/>
        <w:rPr>
          <w:rFonts w:ascii="Arial" w:hAnsi="Arial" w:cs="Arial"/>
          <w:sz w:val="26"/>
          <w:szCs w:val="26"/>
        </w:rPr>
      </w:pPr>
    </w:p>
    <w:p w:rsidR="00411EDC" w:rsidRDefault="00357DFB" w:rsidP="00411EDC">
      <w:pPr>
        <w:spacing w:line="360" w:lineRule="auto"/>
        <w:ind w:firstLine="708"/>
        <w:jc w:val="both"/>
        <w:rPr>
          <w:rFonts w:ascii="Arial" w:hAnsi="Arial" w:cs="Arial"/>
          <w:sz w:val="26"/>
          <w:szCs w:val="26"/>
        </w:rPr>
      </w:pPr>
      <w:r>
        <w:rPr>
          <w:rFonts w:ascii="Arial" w:hAnsi="Arial" w:cs="Arial"/>
          <w:sz w:val="26"/>
          <w:szCs w:val="26"/>
        </w:rPr>
        <w:t xml:space="preserve"> </w:t>
      </w:r>
      <w:r>
        <w:rPr>
          <w:rFonts w:ascii="Arial" w:hAnsi="Arial" w:cs="Arial"/>
          <w:b/>
          <w:bCs/>
          <w:sz w:val="26"/>
          <w:szCs w:val="26"/>
        </w:rPr>
        <w:t xml:space="preserve">SEGUNDO. </w:t>
      </w:r>
      <w:r w:rsidR="00FE78E1" w:rsidRPr="00FE78E1">
        <w:rPr>
          <w:rFonts w:ascii="Arial" w:hAnsi="Arial" w:cs="Arial"/>
          <w:bCs/>
          <w:sz w:val="26"/>
          <w:szCs w:val="26"/>
        </w:rPr>
        <w:t>Los puntos resolutivos de la sentencia</w:t>
      </w:r>
      <w:r w:rsidR="00FE78E1">
        <w:rPr>
          <w:rFonts w:ascii="Arial" w:hAnsi="Arial" w:cs="Arial"/>
          <w:b/>
          <w:bCs/>
          <w:sz w:val="26"/>
          <w:szCs w:val="26"/>
        </w:rPr>
        <w:t xml:space="preserve"> </w:t>
      </w:r>
      <w:r w:rsidR="007662B4">
        <w:rPr>
          <w:rFonts w:ascii="Arial" w:hAnsi="Arial" w:cs="Arial"/>
          <w:bCs/>
          <w:sz w:val="26"/>
          <w:szCs w:val="26"/>
        </w:rPr>
        <w:t>recurrid</w:t>
      </w:r>
      <w:r w:rsidR="00FE78E1">
        <w:rPr>
          <w:rFonts w:ascii="Arial" w:hAnsi="Arial" w:cs="Arial"/>
          <w:bCs/>
          <w:sz w:val="26"/>
          <w:szCs w:val="26"/>
        </w:rPr>
        <w:t xml:space="preserve">a </w:t>
      </w:r>
      <w:r w:rsidR="007662B4">
        <w:rPr>
          <w:rFonts w:ascii="Arial" w:hAnsi="Arial" w:cs="Arial"/>
          <w:bCs/>
          <w:sz w:val="26"/>
          <w:szCs w:val="26"/>
        </w:rPr>
        <w:t>s</w:t>
      </w:r>
      <w:r w:rsidR="00FE78E1">
        <w:rPr>
          <w:rFonts w:ascii="Arial" w:hAnsi="Arial" w:cs="Arial"/>
          <w:bCs/>
          <w:sz w:val="26"/>
          <w:szCs w:val="26"/>
        </w:rPr>
        <w:t>on</w:t>
      </w:r>
      <w:r>
        <w:rPr>
          <w:rFonts w:ascii="Arial" w:hAnsi="Arial" w:cs="Arial"/>
          <w:bCs/>
          <w:sz w:val="26"/>
          <w:szCs w:val="26"/>
        </w:rPr>
        <w:t xml:space="preserve"> del tenor literal </w:t>
      </w:r>
      <w:r w:rsidR="002751D6">
        <w:rPr>
          <w:rFonts w:ascii="Arial" w:hAnsi="Arial" w:cs="Arial"/>
          <w:bCs/>
          <w:sz w:val="26"/>
          <w:szCs w:val="26"/>
        </w:rPr>
        <w:t>siguiente:</w:t>
      </w:r>
      <w:r w:rsidR="00411EDC">
        <w:rPr>
          <w:rFonts w:ascii="Arial" w:hAnsi="Arial" w:cs="Arial"/>
          <w:sz w:val="26"/>
          <w:szCs w:val="26"/>
        </w:rPr>
        <w:t xml:space="preserve"> </w:t>
      </w:r>
    </w:p>
    <w:p w:rsidR="00DB558F" w:rsidRDefault="00411EDC" w:rsidP="00FE78E1">
      <w:pPr>
        <w:spacing w:line="360" w:lineRule="auto"/>
        <w:ind w:left="851" w:right="1041"/>
        <w:jc w:val="both"/>
        <w:rPr>
          <w:rFonts w:ascii="Arial" w:hAnsi="Arial" w:cs="Arial"/>
          <w:i/>
        </w:rPr>
      </w:pPr>
      <w:r>
        <w:rPr>
          <w:rFonts w:ascii="Arial" w:hAnsi="Arial" w:cs="Arial"/>
          <w:i/>
        </w:rPr>
        <w:t xml:space="preserve"> </w:t>
      </w:r>
      <w:r w:rsidR="002E0410">
        <w:rPr>
          <w:rFonts w:ascii="Arial" w:hAnsi="Arial" w:cs="Arial"/>
          <w:i/>
        </w:rPr>
        <w:t>“</w:t>
      </w:r>
      <w:r w:rsidR="004B5B6A">
        <w:rPr>
          <w:rFonts w:ascii="Arial" w:hAnsi="Arial" w:cs="Arial"/>
          <w:b/>
          <w:i/>
        </w:rPr>
        <w:t xml:space="preserve">PRIMERO.- </w:t>
      </w:r>
      <w:r w:rsidR="004B5B6A">
        <w:rPr>
          <w:rFonts w:ascii="Arial" w:hAnsi="Arial" w:cs="Arial"/>
          <w:i/>
        </w:rPr>
        <w:t xml:space="preserve">Esta Sexta Sala Unitaria fue competente para conocer del presente asunto.- - - - - - - - - - - </w:t>
      </w:r>
      <w:r>
        <w:rPr>
          <w:rFonts w:ascii="Arial" w:hAnsi="Arial" w:cs="Arial"/>
          <w:i/>
        </w:rPr>
        <w:t xml:space="preserve">- - - - - - - - - - - - - - - </w:t>
      </w:r>
      <w:r w:rsidR="004B5B6A">
        <w:rPr>
          <w:rFonts w:ascii="Arial" w:hAnsi="Arial" w:cs="Arial"/>
          <w:b/>
          <w:i/>
        </w:rPr>
        <w:lastRenderedPageBreak/>
        <w:t xml:space="preserve">SEGUNDO.- </w:t>
      </w:r>
      <w:r w:rsidR="004B5B6A">
        <w:rPr>
          <w:rFonts w:ascii="Arial" w:hAnsi="Arial" w:cs="Arial"/>
          <w:i/>
        </w:rPr>
        <w:t xml:space="preserve">La personalidad y personería de las partes quedó acreditada en autos. - - - - - - - - - - - - - - - - - - - - - - - - - - - - - - - - </w:t>
      </w:r>
      <w:r w:rsidR="004B5B6A">
        <w:rPr>
          <w:rFonts w:ascii="Arial" w:hAnsi="Arial" w:cs="Arial"/>
          <w:b/>
          <w:i/>
        </w:rPr>
        <w:t xml:space="preserve">TERCERO.- </w:t>
      </w:r>
      <w:r w:rsidR="004B5B6A">
        <w:rPr>
          <w:rFonts w:ascii="Arial" w:hAnsi="Arial" w:cs="Arial"/>
          <w:i/>
        </w:rPr>
        <w:t xml:space="preserve">No se actualizaron causales de improcedencia y sobreseimiento hechas valer por la autoridad demandada. - - - - - </w:t>
      </w:r>
      <w:r w:rsidR="004B5B6A">
        <w:rPr>
          <w:rFonts w:ascii="Arial" w:hAnsi="Arial" w:cs="Arial"/>
          <w:b/>
          <w:i/>
        </w:rPr>
        <w:t xml:space="preserve">CUARTO.- </w:t>
      </w:r>
      <w:r w:rsidR="004B5B6A">
        <w:rPr>
          <w:rFonts w:ascii="Arial" w:hAnsi="Arial" w:cs="Arial"/>
          <w:i/>
        </w:rPr>
        <w:t xml:space="preserve">Se declara la </w:t>
      </w:r>
      <w:r w:rsidR="004B5B6A">
        <w:rPr>
          <w:rFonts w:ascii="Arial" w:hAnsi="Arial" w:cs="Arial"/>
          <w:b/>
          <w:i/>
        </w:rPr>
        <w:t xml:space="preserve">VALIDEZ </w:t>
      </w:r>
      <w:r w:rsidR="004B5B6A">
        <w:rPr>
          <w:rFonts w:ascii="Arial" w:hAnsi="Arial" w:cs="Arial"/>
          <w:i/>
        </w:rPr>
        <w:t xml:space="preserve">del oficio con número de control 01MO49ER180868 de fecha veintisiete de julio del dos mil dieciocho, emitido por la Directora de Ingresos y Recaudación dependiente de la Subsecretaría de Ingresos de la Secretaría de Finanzas del Poder Ejecutivo del Estado de Oaxaca. - - - - - - - - - </w:t>
      </w:r>
      <w:r>
        <w:rPr>
          <w:rFonts w:ascii="Arial" w:hAnsi="Arial" w:cs="Arial"/>
          <w:i/>
        </w:rPr>
        <w:t>- - - - - - - - - - - - - - - - - - - - - - - - - - -</w:t>
      </w:r>
      <w:r w:rsidR="004030DA">
        <w:rPr>
          <w:rFonts w:ascii="Arial" w:hAnsi="Arial" w:cs="Arial"/>
          <w:b/>
          <w:i/>
        </w:rPr>
        <w:t>QUINTO. - NOTIFÍQUESE</w:t>
      </w:r>
      <w:r w:rsidR="00196219">
        <w:rPr>
          <w:rFonts w:ascii="Arial" w:hAnsi="Arial" w:cs="Arial"/>
          <w:b/>
          <w:i/>
        </w:rPr>
        <w:t xml:space="preserve"> PE</w:t>
      </w:r>
      <w:r w:rsidR="00E339EA">
        <w:rPr>
          <w:rFonts w:ascii="Arial" w:hAnsi="Arial" w:cs="Arial"/>
          <w:b/>
          <w:i/>
        </w:rPr>
        <w:t>R</w:t>
      </w:r>
      <w:r w:rsidR="00196219">
        <w:rPr>
          <w:rFonts w:ascii="Arial" w:hAnsi="Arial" w:cs="Arial"/>
          <w:b/>
          <w:i/>
        </w:rPr>
        <w:t xml:space="preserve">SONALMENTE AL ACTOR Y POR OFICIO A LA AUTORIDAD DEMANDADA Y A LA SECRETARÍA DE FINANZAS DEL ESTADO DE OAXACA, </w:t>
      </w:r>
      <w:r w:rsidR="00196219">
        <w:rPr>
          <w:rFonts w:ascii="Arial" w:hAnsi="Arial" w:cs="Arial"/>
          <w:i/>
        </w:rPr>
        <w:t xml:space="preserve">con fundamento en los artículos 172 fracción I y 173 fracciones I y II, de la Ley de Justicia (sic) Procedimiento y Justicia Administrativa para el Estado de </w:t>
      </w:r>
      <w:r w:rsidR="004030DA">
        <w:rPr>
          <w:rFonts w:ascii="Arial" w:hAnsi="Arial" w:cs="Arial"/>
          <w:i/>
        </w:rPr>
        <w:t>Oaxaca. -</w:t>
      </w:r>
      <w:r w:rsidR="00196219">
        <w:rPr>
          <w:rFonts w:ascii="Arial" w:hAnsi="Arial" w:cs="Arial"/>
          <w:i/>
        </w:rPr>
        <w:t xml:space="preserve"> </w:t>
      </w:r>
      <w:r w:rsidR="00196219">
        <w:rPr>
          <w:rFonts w:ascii="Arial" w:hAnsi="Arial" w:cs="Arial"/>
          <w:b/>
          <w:i/>
        </w:rPr>
        <w:t xml:space="preserve">CÚMPLASE. </w:t>
      </w:r>
      <w:r w:rsidR="00196219">
        <w:rPr>
          <w:rFonts w:ascii="Arial" w:hAnsi="Arial" w:cs="Arial"/>
          <w:i/>
        </w:rPr>
        <w:t>- - - - - - -</w:t>
      </w:r>
      <w:r w:rsidR="004030DA">
        <w:rPr>
          <w:rFonts w:ascii="Arial" w:hAnsi="Arial" w:cs="Arial"/>
          <w:i/>
        </w:rPr>
        <w:t xml:space="preserve"> - - - - - - - - - </w:t>
      </w:r>
    </w:p>
    <w:p w:rsidR="00411EDC" w:rsidRPr="00196219" w:rsidRDefault="00411EDC" w:rsidP="00FE78E1">
      <w:pPr>
        <w:spacing w:line="360" w:lineRule="auto"/>
        <w:ind w:left="851" w:right="1041"/>
        <w:jc w:val="both"/>
        <w:rPr>
          <w:rFonts w:ascii="Arial" w:hAnsi="Arial" w:cs="Arial"/>
          <w:i/>
        </w:rPr>
      </w:pPr>
    </w:p>
    <w:p w:rsidR="00411EDC" w:rsidRDefault="00357DFB" w:rsidP="00411EDC">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411EDC" w:rsidRDefault="00411EDC" w:rsidP="00411EDC">
      <w:pPr>
        <w:widowControl w:val="0"/>
        <w:tabs>
          <w:tab w:val="left" w:pos="7938"/>
          <w:tab w:val="left" w:pos="8222"/>
        </w:tabs>
        <w:spacing w:line="360" w:lineRule="auto"/>
        <w:ind w:right="49"/>
        <w:jc w:val="center"/>
        <w:rPr>
          <w:rFonts w:ascii="Arial" w:eastAsia="Times New Roman" w:hAnsi="Arial" w:cs="Arial"/>
          <w:b/>
          <w:bCs/>
          <w:sz w:val="26"/>
          <w:szCs w:val="26"/>
          <w:lang w:eastAsia="es-ES"/>
        </w:rPr>
      </w:pPr>
    </w:p>
    <w:p w:rsidR="00411EDC" w:rsidRDefault="00357DFB" w:rsidP="00411EDC">
      <w:pPr>
        <w:spacing w:after="120" w:line="360" w:lineRule="auto"/>
        <w:ind w:firstLine="708"/>
        <w:jc w:val="both"/>
        <w:rPr>
          <w:rFonts w:ascii="Arial" w:hAnsi="Arial" w:cs="Arial"/>
          <w:bCs/>
          <w:iCs/>
          <w:sz w:val="26"/>
          <w:szCs w:val="26"/>
        </w:rPr>
      </w:pPr>
      <w:r>
        <w:rPr>
          <w:rFonts w:ascii="Arial" w:hAnsi="Arial" w:cs="Arial"/>
          <w:b/>
          <w:bCs/>
          <w:iCs/>
          <w:sz w:val="26"/>
          <w:szCs w:val="26"/>
        </w:rPr>
        <w:t xml:space="preserve">PRIMERO. </w:t>
      </w:r>
      <w:r>
        <w:rPr>
          <w:rFonts w:ascii="Arial" w:hAnsi="Arial" w:cs="Arial"/>
          <w:bCs/>
          <w:iCs/>
          <w:sz w:val="26"/>
          <w:szCs w:val="26"/>
          <w:lang w:eastAsia="es-ES"/>
        </w:rPr>
        <w:t xml:space="preserve">Esta Sala Superior es competente para conocer del presente asunto, de conformidad con lo dispuesto por los artículos </w:t>
      </w:r>
      <w:r w:rsidR="006500B3">
        <w:rPr>
          <w:rFonts w:ascii="Arial" w:hAnsi="Arial" w:cs="Arial"/>
          <w:bCs/>
          <w:iCs/>
          <w:sz w:val="26"/>
          <w:szCs w:val="26"/>
          <w:lang w:eastAsia="es-ES"/>
        </w:rPr>
        <w:t xml:space="preserve">114 QUÁTER, tercer párrafo de la Constitución Política del Estado Libre y Soberano de Oaxaca, </w:t>
      </w:r>
      <w:r w:rsidR="0019038A">
        <w:rPr>
          <w:rFonts w:ascii="Arial" w:hAnsi="Arial" w:cs="Arial"/>
          <w:bCs/>
          <w:iCs/>
          <w:sz w:val="26"/>
          <w:szCs w:val="26"/>
          <w:lang w:eastAsia="es-ES"/>
        </w:rPr>
        <w:t xml:space="preserve">así como en los artículos 125, 127, 129, 130 fracción I, 131, 231, 236 y 238 </w:t>
      </w:r>
      <w:r w:rsidR="0019038A">
        <w:rPr>
          <w:rFonts w:ascii="Arial" w:hAnsi="Arial" w:cs="Arial"/>
          <w:bCs/>
          <w:iCs/>
          <w:sz w:val="26"/>
          <w:szCs w:val="26"/>
        </w:rPr>
        <w:t>de la Ley de Procedimiento y Justicia Administrativa para el Estado de Oaxaca</w:t>
      </w:r>
      <w:r w:rsidR="00D40152">
        <w:rPr>
          <w:rFonts w:ascii="Arial" w:hAnsi="Arial" w:cs="Arial"/>
          <w:bCs/>
          <w:iCs/>
          <w:sz w:val="26"/>
          <w:szCs w:val="26"/>
        </w:rPr>
        <w:t xml:space="preserve">, </w:t>
      </w:r>
      <w:r w:rsidR="00E339EA">
        <w:rPr>
          <w:rFonts w:ascii="Arial" w:hAnsi="Arial" w:cs="Arial"/>
          <w:bCs/>
          <w:iCs/>
          <w:sz w:val="26"/>
          <w:szCs w:val="26"/>
        </w:rPr>
        <w:t xml:space="preserve">dado que se trata de un </w:t>
      </w:r>
      <w:r>
        <w:rPr>
          <w:rFonts w:ascii="Arial" w:hAnsi="Arial" w:cs="Arial"/>
          <w:bCs/>
          <w:iCs/>
          <w:sz w:val="26"/>
          <w:szCs w:val="26"/>
        </w:rPr>
        <w:t xml:space="preserve">Recurso de Revisión interpuesto en contra </w:t>
      </w:r>
      <w:r w:rsidR="0019038A">
        <w:rPr>
          <w:rFonts w:ascii="Arial" w:hAnsi="Arial" w:cs="Arial"/>
          <w:sz w:val="26"/>
          <w:szCs w:val="26"/>
        </w:rPr>
        <w:t xml:space="preserve">la sentencia de 31 treinta y uno de enero de 2019 dos mil diecinueve, dictada </w:t>
      </w:r>
      <w:r w:rsidR="004030DA">
        <w:rPr>
          <w:rFonts w:ascii="Arial" w:hAnsi="Arial" w:cs="Arial"/>
          <w:sz w:val="26"/>
          <w:szCs w:val="26"/>
        </w:rPr>
        <w:t>por el Magistrado</w:t>
      </w:r>
      <w:r w:rsidR="0019038A">
        <w:rPr>
          <w:rFonts w:ascii="Arial" w:hAnsi="Arial" w:cs="Arial"/>
          <w:sz w:val="26"/>
          <w:szCs w:val="26"/>
        </w:rPr>
        <w:t xml:space="preserve"> de la Sexta  Sala Unitaria de Primera Instancia</w:t>
      </w:r>
      <w:r w:rsidR="0019038A">
        <w:rPr>
          <w:rFonts w:ascii="Arial" w:hAnsi="Arial" w:cs="Arial"/>
          <w:bCs/>
          <w:iCs/>
          <w:sz w:val="26"/>
          <w:szCs w:val="26"/>
        </w:rPr>
        <w:t xml:space="preserve">, en el expediente </w:t>
      </w:r>
      <w:r w:rsidR="0019038A" w:rsidRPr="0019038A">
        <w:rPr>
          <w:rFonts w:ascii="Arial" w:hAnsi="Arial" w:cs="Arial"/>
          <w:b/>
          <w:bCs/>
          <w:iCs/>
          <w:sz w:val="26"/>
          <w:szCs w:val="26"/>
        </w:rPr>
        <w:t>0082/2018</w:t>
      </w:r>
      <w:r w:rsidR="0019038A">
        <w:rPr>
          <w:rFonts w:ascii="Arial" w:hAnsi="Arial" w:cs="Arial"/>
          <w:bCs/>
          <w:iCs/>
          <w:sz w:val="26"/>
          <w:szCs w:val="26"/>
        </w:rPr>
        <w:t xml:space="preserve">. </w:t>
      </w:r>
    </w:p>
    <w:p w:rsidR="00411EDC" w:rsidRDefault="00357DFB" w:rsidP="00411EDC">
      <w:pPr>
        <w:spacing w:after="120" w:line="360" w:lineRule="auto"/>
        <w:ind w:firstLine="708"/>
        <w:jc w:val="both"/>
        <w:rPr>
          <w:rFonts w:ascii="Arial" w:hAnsi="Arial" w:cs="Arial"/>
          <w:color w:val="000000"/>
          <w:sz w:val="26"/>
          <w:szCs w:val="26"/>
        </w:rPr>
      </w:pPr>
      <w:r>
        <w:rPr>
          <w:rFonts w:ascii="Arial" w:hAnsi="Arial" w:cs="Arial"/>
          <w:b/>
          <w:bCs/>
          <w:sz w:val="26"/>
          <w:szCs w:val="26"/>
        </w:rPr>
        <w:t xml:space="preserve">SEGUNDO. </w:t>
      </w:r>
      <w:r>
        <w:rPr>
          <w:rFonts w:ascii="Arial" w:hAnsi="Arial" w:cs="Arial"/>
          <w:bCs/>
          <w:color w:val="000000"/>
          <w:sz w:val="26"/>
          <w:szCs w:val="26"/>
        </w:rPr>
        <w:t xml:space="preserve">De las constancias que integran el expediente principal, a las que se les otorga pleno valor probatorio conforme lo dispuesto </w:t>
      </w:r>
      <w:r w:rsidR="001E5F2C">
        <w:rPr>
          <w:rFonts w:ascii="Arial" w:hAnsi="Arial" w:cs="Arial"/>
          <w:bCs/>
          <w:color w:val="000000"/>
          <w:sz w:val="26"/>
          <w:szCs w:val="26"/>
        </w:rPr>
        <w:t xml:space="preserve">por el artículo </w:t>
      </w:r>
      <w:r w:rsidR="00036CAD">
        <w:rPr>
          <w:rFonts w:ascii="Arial" w:hAnsi="Arial" w:cs="Arial"/>
          <w:bCs/>
          <w:color w:val="000000"/>
          <w:sz w:val="26"/>
          <w:szCs w:val="26"/>
        </w:rPr>
        <w:t>20</w:t>
      </w:r>
      <w:r w:rsidR="001E5F2C">
        <w:rPr>
          <w:rFonts w:ascii="Arial" w:hAnsi="Arial" w:cs="Arial"/>
          <w:bCs/>
          <w:color w:val="000000"/>
          <w:sz w:val="26"/>
          <w:szCs w:val="26"/>
        </w:rPr>
        <w:t>3 fracción I</w:t>
      </w:r>
      <w:r>
        <w:rPr>
          <w:rFonts w:ascii="Arial" w:hAnsi="Arial" w:cs="Arial"/>
          <w:bCs/>
          <w:color w:val="000000"/>
          <w:sz w:val="26"/>
          <w:szCs w:val="26"/>
        </w:rPr>
        <w:t xml:space="preserve"> de la Ley de </w:t>
      </w:r>
      <w:r w:rsidR="00036CAD">
        <w:rPr>
          <w:rFonts w:ascii="Arial" w:hAnsi="Arial" w:cs="Arial"/>
          <w:bCs/>
          <w:color w:val="000000"/>
          <w:sz w:val="26"/>
          <w:szCs w:val="26"/>
        </w:rPr>
        <w:t xml:space="preserve">Procedimiento y </w:t>
      </w:r>
      <w:r>
        <w:rPr>
          <w:rFonts w:ascii="Arial" w:hAnsi="Arial" w:cs="Arial"/>
          <w:bCs/>
          <w:color w:val="000000"/>
          <w:sz w:val="26"/>
          <w:szCs w:val="26"/>
        </w:rPr>
        <w:t>Justicia Administrativa para el Estado de Oaxaca, por tratarse de actuaciones judiciales, se advierte que</w:t>
      </w:r>
      <w:r>
        <w:rPr>
          <w:rFonts w:ascii="Arial" w:hAnsi="Arial" w:cs="Arial"/>
          <w:color w:val="000000"/>
          <w:sz w:val="26"/>
          <w:szCs w:val="26"/>
        </w:rPr>
        <w:t xml:space="preserve"> </w:t>
      </w:r>
      <w:r w:rsidR="007307E2">
        <w:rPr>
          <w:rFonts w:ascii="Arial" w:hAnsi="Arial" w:cs="Arial"/>
          <w:b/>
          <w:sz w:val="26"/>
          <w:szCs w:val="26"/>
        </w:rPr>
        <w:t>**********</w:t>
      </w:r>
      <w:r w:rsidR="00036CAD">
        <w:rPr>
          <w:rFonts w:ascii="Arial" w:hAnsi="Arial" w:cs="Arial"/>
          <w:b/>
          <w:sz w:val="26"/>
          <w:szCs w:val="26"/>
        </w:rPr>
        <w:t xml:space="preserve">, </w:t>
      </w:r>
      <w:r w:rsidR="00036CAD">
        <w:rPr>
          <w:rFonts w:ascii="Arial" w:hAnsi="Arial" w:cs="Arial"/>
          <w:sz w:val="26"/>
          <w:szCs w:val="26"/>
        </w:rPr>
        <w:t xml:space="preserve">en su carácter de Apoderado Legal </w:t>
      </w:r>
      <w:r w:rsidR="004030DA">
        <w:rPr>
          <w:rFonts w:ascii="Arial" w:hAnsi="Arial" w:cs="Arial"/>
          <w:sz w:val="26"/>
          <w:szCs w:val="26"/>
        </w:rPr>
        <w:t xml:space="preserve">de la persona moral denominada </w:t>
      </w:r>
      <w:r w:rsidR="004030DA" w:rsidRPr="004030DA">
        <w:rPr>
          <w:rFonts w:ascii="Arial" w:hAnsi="Arial" w:cs="Arial"/>
          <w:b/>
          <w:sz w:val="26"/>
          <w:szCs w:val="26"/>
        </w:rPr>
        <w:t>“</w:t>
      </w:r>
      <w:r w:rsidR="00036CAD" w:rsidRPr="004030DA">
        <w:rPr>
          <w:rFonts w:ascii="Arial" w:hAnsi="Arial" w:cs="Arial"/>
          <w:b/>
          <w:sz w:val="26"/>
          <w:szCs w:val="26"/>
        </w:rPr>
        <w:t>C</w:t>
      </w:r>
      <w:r w:rsidR="00036CAD">
        <w:rPr>
          <w:rFonts w:ascii="Arial" w:hAnsi="Arial" w:cs="Arial"/>
          <w:b/>
          <w:sz w:val="26"/>
          <w:szCs w:val="26"/>
        </w:rPr>
        <w:t>AZANDO EL SOL, S.A. DE C.V</w:t>
      </w:r>
      <w:r w:rsidR="004030DA">
        <w:rPr>
          <w:rFonts w:ascii="Arial" w:hAnsi="Arial" w:cs="Arial"/>
          <w:b/>
          <w:sz w:val="26"/>
          <w:szCs w:val="26"/>
        </w:rPr>
        <w:t>”</w:t>
      </w:r>
      <w:r w:rsidR="00036CAD">
        <w:rPr>
          <w:rFonts w:ascii="Arial" w:hAnsi="Arial" w:cs="Arial"/>
          <w:b/>
          <w:sz w:val="26"/>
          <w:szCs w:val="26"/>
        </w:rPr>
        <w:t>.,</w:t>
      </w:r>
      <w:r>
        <w:rPr>
          <w:rFonts w:ascii="Arial" w:hAnsi="Arial" w:cs="Arial"/>
          <w:sz w:val="26"/>
          <w:szCs w:val="26"/>
        </w:rPr>
        <w:t xml:space="preserve"> </w:t>
      </w:r>
      <w:r>
        <w:rPr>
          <w:rFonts w:ascii="Arial" w:hAnsi="Arial" w:cs="Arial"/>
          <w:color w:val="000000"/>
          <w:sz w:val="26"/>
          <w:szCs w:val="26"/>
        </w:rPr>
        <w:t xml:space="preserve">presentó recurso de revisión en contra </w:t>
      </w:r>
      <w:r w:rsidR="00036CAD">
        <w:rPr>
          <w:rFonts w:ascii="Arial" w:hAnsi="Arial" w:cs="Arial"/>
          <w:color w:val="000000"/>
          <w:sz w:val="26"/>
          <w:szCs w:val="26"/>
        </w:rPr>
        <w:t xml:space="preserve">de </w:t>
      </w:r>
      <w:r w:rsidR="00036CAD">
        <w:rPr>
          <w:rFonts w:ascii="Arial" w:hAnsi="Arial" w:cs="Arial"/>
          <w:sz w:val="26"/>
          <w:szCs w:val="26"/>
        </w:rPr>
        <w:t>la sentencia de 31 treinta y uno de enero de 2019 dos mil diecinueve,</w:t>
      </w:r>
      <w:r w:rsidR="00036CAD">
        <w:rPr>
          <w:rFonts w:ascii="Arial" w:hAnsi="Arial" w:cs="Arial"/>
          <w:color w:val="000000"/>
          <w:sz w:val="26"/>
          <w:szCs w:val="26"/>
        </w:rPr>
        <w:t xml:space="preserve"> </w:t>
      </w:r>
      <w:r>
        <w:rPr>
          <w:rFonts w:ascii="Arial" w:hAnsi="Arial" w:cs="Arial"/>
          <w:color w:val="000000"/>
          <w:sz w:val="26"/>
          <w:szCs w:val="26"/>
        </w:rPr>
        <w:t>el cual fue recibido en la O</w:t>
      </w:r>
      <w:r w:rsidR="00E339EA">
        <w:rPr>
          <w:rFonts w:ascii="Arial" w:hAnsi="Arial" w:cs="Arial"/>
          <w:color w:val="000000"/>
          <w:sz w:val="26"/>
          <w:szCs w:val="26"/>
        </w:rPr>
        <w:t xml:space="preserve">ficialía de Partes de Términos </w:t>
      </w:r>
      <w:r>
        <w:rPr>
          <w:rFonts w:ascii="Arial" w:hAnsi="Arial" w:cs="Arial"/>
          <w:color w:val="000000"/>
          <w:sz w:val="26"/>
          <w:szCs w:val="26"/>
        </w:rPr>
        <w:t>de Primera y Segunda Instancia de</w:t>
      </w:r>
      <w:r w:rsidR="001E5F2C">
        <w:rPr>
          <w:rFonts w:ascii="Arial" w:hAnsi="Arial" w:cs="Arial"/>
          <w:color w:val="000000"/>
          <w:sz w:val="26"/>
          <w:szCs w:val="26"/>
        </w:rPr>
        <w:t xml:space="preserve"> este </w:t>
      </w:r>
      <w:r>
        <w:rPr>
          <w:rFonts w:ascii="Arial" w:hAnsi="Arial" w:cs="Arial"/>
          <w:color w:val="000000"/>
          <w:sz w:val="26"/>
          <w:szCs w:val="26"/>
        </w:rPr>
        <w:t>Tribunal</w:t>
      </w:r>
      <w:r w:rsidR="001A42DD">
        <w:rPr>
          <w:rFonts w:ascii="Arial" w:hAnsi="Arial" w:cs="Arial"/>
          <w:color w:val="000000"/>
          <w:sz w:val="26"/>
          <w:szCs w:val="26"/>
        </w:rPr>
        <w:t xml:space="preserve"> de </w:t>
      </w:r>
      <w:r w:rsidR="001E5F2C">
        <w:rPr>
          <w:rFonts w:ascii="Arial" w:hAnsi="Arial" w:cs="Arial"/>
          <w:color w:val="000000"/>
          <w:sz w:val="26"/>
          <w:szCs w:val="26"/>
        </w:rPr>
        <w:t xml:space="preserve">Justicia Administrativa del Estado de Oaxaca, </w:t>
      </w:r>
      <w:r>
        <w:rPr>
          <w:rFonts w:ascii="Arial" w:hAnsi="Arial" w:cs="Arial"/>
          <w:color w:val="000000"/>
          <w:sz w:val="26"/>
          <w:szCs w:val="26"/>
        </w:rPr>
        <w:t xml:space="preserve">el </w:t>
      </w:r>
      <w:r w:rsidR="00036CAD">
        <w:rPr>
          <w:rFonts w:ascii="Arial" w:hAnsi="Arial" w:cs="Arial"/>
          <w:color w:val="000000"/>
          <w:sz w:val="26"/>
          <w:szCs w:val="26"/>
        </w:rPr>
        <w:t xml:space="preserve">01 uno de marzo </w:t>
      </w:r>
      <w:r w:rsidR="001E5F2C">
        <w:rPr>
          <w:rFonts w:ascii="Arial" w:hAnsi="Arial" w:cs="Arial"/>
          <w:color w:val="000000"/>
          <w:sz w:val="26"/>
          <w:szCs w:val="26"/>
        </w:rPr>
        <w:t>de 2019 dos mil diecinueve</w:t>
      </w:r>
      <w:r w:rsidR="00411EDC">
        <w:rPr>
          <w:rFonts w:ascii="Arial" w:hAnsi="Arial" w:cs="Arial"/>
          <w:color w:val="000000"/>
          <w:sz w:val="26"/>
          <w:szCs w:val="26"/>
        </w:rPr>
        <w:t>.</w:t>
      </w:r>
    </w:p>
    <w:p w:rsidR="00411EDC" w:rsidRDefault="00357DFB" w:rsidP="00411EDC">
      <w:pPr>
        <w:spacing w:after="120" w:line="360" w:lineRule="auto"/>
        <w:ind w:firstLine="708"/>
        <w:jc w:val="both"/>
        <w:rPr>
          <w:rFonts w:ascii="Arial" w:hAnsi="Arial" w:cs="Arial"/>
          <w:color w:val="000000"/>
          <w:sz w:val="26"/>
          <w:szCs w:val="26"/>
        </w:rPr>
      </w:pPr>
      <w:r>
        <w:rPr>
          <w:rFonts w:ascii="Arial" w:hAnsi="Arial" w:cs="Arial"/>
          <w:color w:val="000000"/>
          <w:sz w:val="26"/>
          <w:szCs w:val="26"/>
        </w:rPr>
        <w:lastRenderedPageBreak/>
        <w:t>Ahora, el artículo 2</w:t>
      </w:r>
      <w:r w:rsidR="00036CAD">
        <w:rPr>
          <w:rFonts w:ascii="Arial" w:hAnsi="Arial" w:cs="Arial"/>
          <w:color w:val="000000"/>
          <w:sz w:val="26"/>
          <w:szCs w:val="26"/>
        </w:rPr>
        <w:t>3</w:t>
      </w:r>
      <w:r>
        <w:rPr>
          <w:rFonts w:ascii="Arial" w:hAnsi="Arial" w:cs="Arial"/>
          <w:color w:val="000000"/>
          <w:sz w:val="26"/>
          <w:szCs w:val="26"/>
        </w:rPr>
        <w:t xml:space="preserve">7 de la Ley de </w:t>
      </w:r>
      <w:r w:rsidR="002B0D75">
        <w:rPr>
          <w:rFonts w:ascii="Arial" w:hAnsi="Arial" w:cs="Arial"/>
          <w:color w:val="000000"/>
          <w:sz w:val="26"/>
          <w:szCs w:val="26"/>
        </w:rPr>
        <w:t xml:space="preserve">Procedimiento y </w:t>
      </w:r>
      <w:r>
        <w:rPr>
          <w:rFonts w:ascii="Arial" w:hAnsi="Arial" w:cs="Arial"/>
          <w:color w:val="000000"/>
          <w:sz w:val="26"/>
          <w:szCs w:val="26"/>
        </w:rPr>
        <w:t xml:space="preserve">Justicia Administrativa para </w:t>
      </w:r>
      <w:r w:rsidR="00411EDC">
        <w:rPr>
          <w:rFonts w:ascii="Arial" w:hAnsi="Arial" w:cs="Arial"/>
          <w:color w:val="000000"/>
          <w:sz w:val="26"/>
          <w:szCs w:val="26"/>
        </w:rPr>
        <w:t>el Estado de Oaxaca, establece:</w:t>
      </w:r>
    </w:p>
    <w:p w:rsidR="00411EDC" w:rsidRDefault="00357DFB" w:rsidP="002E12E9">
      <w:pPr>
        <w:tabs>
          <w:tab w:val="left" w:pos="7371"/>
        </w:tabs>
        <w:spacing w:after="120" w:line="360" w:lineRule="auto"/>
        <w:ind w:left="851" w:right="900"/>
        <w:jc w:val="both"/>
        <w:rPr>
          <w:rFonts w:ascii="Arial" w:hAnsi="Arial" w:cs="Arial"/>
          <w:i/>
          <w:color w:val="000000"/>
        </w:rPr>
      </w:pPr>
      <w:r w:rsidRPr="00EE2440">
        <w:rPr>
          <w:rFonts w:ascii="Arial" w:hAnsi="Arial" w:cs="Arial"/>
          <w:i/>
          <w:color w:val="000000"/>
        </w:rPr>
        <w:t>“</w:t>
      </w:r>
      <w:r w:rsidR="002B0D75">
        <w:rPr>
          <w:rFonts w:ascii="Arial" w:hAnsi="Arial" w:cs="Arial"/>
          <w:b/>
          <w:i/>
          <w:color w:val="000000"/>
        </w:rPr>
        <w:t>ARTÍCULO 23</w:t>
      </w:r>
      <w:r w:rsidRPr="00EE2440">
        <w:rPr>
          <w:rFonts w:ascii="Arial" w:hAnsi="Arial" w:cs="Arial"/>
          <w:b/>
          <w:i/>
          <w:color w:val="000000"/>
        </w:rPr>
        <w:t>7</w:t>
      </w:r>
      <w:r w:rsidRPr="00EE2440">
        <w:rPr>
          <w:rFonts w:ascii="Arial" w:hAnsi="Arial" w:cs="Arial"/>
          <w:i/>
          <w:color w:val="000000"/>
        </w:rPr>
        <w:t>.- El recurso de revisión se presentará por escrito con expresión de agravios ante el Juzgado que dictó el acuerdo o resolución que se impugna, dentro de los cinco días siguientes a la notificació</w:t>
      </w:r>
      <w:r w:rsidR="00411EDC">
        <w:rPr>
          <w:rFonts w:ascii="Arial" w:hAnsi="Arial" w:cs="Arial"/>
          <w:i/>
          <w:color w:val="000000"/>
        </w:rPr>
        <w:t>n de la resolución recurrida…”</w:t>
      </w:r>
    </w:p>
    <w:p w:rsidR="00411EDC" w:rsidRDefault="00411EDC" w:rsidP="00357DFB">
      <w:pPr>
        <w:spacing w:line="360" w:lineRule="auto"/>
        <w:ind w:right="49"/>
        <w:jc w:val="both"/>
        <w:rPr>
          <w:rFonts w:ascii="Arial" w:hAnsi="Arial" w:cs="Arial"/>
          <w:i/>
          <w:color w:val="000000"/>
        </w:rPr>
      </w:pPr>
    </w:p>
    <w:p w:rsidR="00411EDC" w:rsidRDefault="00357DFB" w:rsidP="00357DFB">
      <w:pPr>
        <w:spacing w:line="360" w:lineRule="auto"/>
        <w:ind w:right="49"/>
        <w:jc w:val="both"/>
        <w:rPr>
          <w:rFonts w:ascii="Arial" w:hAnsi="Arial" w:cs="Arial"/>
          <w:color w:val="000000"/>
          <w:sz w:val="26"/>
          <w:szCs w:val="26"/>
        </w:rPr>
      </w:pPr>
      <w:r>
        <w:rPr>
          <w:rFonts w:ascii="Arial" w:hAnsi="Arial" w:cs="Arial"/>
          <w:color w:val="000000"/>
          <w:sz w:val="26"/>
          <w:szCs w:val="26"/>
        </w:rPr>
        <w:t>Y, el diverso artículo 1</w:t>
      </w:r>
      <w:r w:rsidR="002B0D75">
        <w:rPr>
          <w:rFonts w:ascii="Arial" w:hAnsi="Arial" w:cs="Arial"/>
          <w:color w:val="000000"/>
          <w:sz w:val="26"/>
          <w:szCs w:val="26"/>
        </w:rPr>
        <w:t>7</w:t>
      </w:r>
      <w:r>
        <w:rPr>
          <w:rFonts w:ascii="Arial" w:hAnsi="Arial" w:cs="Arial"/>
          <w:color w:val="000000"/>
          <w:sz w:val="26"/>
          <w:szCs w:val="26"/>
        </w:rPr>
        <w:t>0 segundo párra</w:t>
      </w:r>
      <w:r w:rsidR="00411EDC">
        <w:rPr>
          <w:rFonts w:ascii="Arial" w:hAnsi="Arial" w:cs="Arial"/>
          <w:color w:val="000000"/>
          <w:sz w:val="26"/>
          <w:szCs w:val="26"/>
        </w:rPr>
        <w:t>fo de la citada Ley, señala:</w:t>
      </w:r>
    </w:p>
    <w:p w:rsidR="006E259B" w:rsidRDefault="00357DFB" w:rsidP="002B0D75">
      <w:pPr>
        <w:tabs>
          <w:tab w:val="left" w:pos="7655"/>
        </w:tabs>
        <w:spacing w:after="120" w:line="360" w:lineRule="auto"/>
        <w:ind w:left="851" w:right="1325"/>
        <w:jc w:val="both"/>
        <w:rPr>
          <w:rFonts w:ascii="Arial" w:hAnsi="Arial" w:cs="Arial"/>
          <w:i/>
          <w:color w:val="000000"/>
        </w:rPr>
      </w:pPr>
      <w:r w:rsidRPr="00EE2440">
        <w:rPr>
          <w:rFonts w:ascii="Arial" w:hAnsi="Arial" w:cs="Arial"/>
          <w:i/>
          <w:color w:val="000000"/>
        </w:rPr>
        <w:t xml:space="preserve"> “</w:t>
      </w:r>
      <w:r w:rsidR="002B0D75">
        <w:rPr>
          <w:rFonts w:ascii="Arial" w:hAnsi="Arial" w:cs="Arial"/>
          <w:b/>
          <w:i/>
          <w:color w:val="000000"/>
        </w:rPr>
        <w:t>ARTÍCULO 17</w:t>
      </w:r>
      <w:r w:rsidRPr="00EE2440">
        <w:rPr>
          <w:rFonts w:ascii="Arial" w:hAnsi="Arial" w:cs="Arial"/>
          <w:b/>
          <w:i/>
          <w:color w:val="000000"/>
        </w:rPr>
        <w:t>0</w:t>
      </w:r>
      <w:r w:rsidRPr="00EE2440">
        <w:rPr>
          <w:rFonts w:ascii="Arial" w:hAnsi="Arial" w:cs="Arial"/>
          <w:i/>
          <w:color w:val="000000"/>
        </w:rPr>
        <w:t>.-</w:t>
      </w:r>
      <w:r w:rsidR="006E259B">
        <w:rPr>
          <w:rFonts w:ascii="Arial" w:hAnsi="Arial" w:cs="Arial"/>
          <w:i/>
          <w:color w:val="000000"/>
        </w:rPr>
        <w:t xml:space="preserve"> […]</w:t>
      </w:r>
    </w:p>
    <w:p w:rsidR="00411EDC" w:rsidRDefault="006E259B" w:rsidP="006E259B">
      <w:pPr>
        <w:tabs>
          <w:tab w:val="left" w:pos="7655"/>
        </w:tabs>
        <w:spacing w:after="120" w:line="360" w:lineRule="auto"/>
        <w:ind w:left="851" w:right="900"/>
        <w:jc w:val="both"/>
        <w:rPr>
          <w:rFonts w:ascii="Arial" w:hAnsi="Arial" w:cs="Arial"/>
          <w:i/>
          <w:color w:val="000000"/>
        </w:rPr>
      </w:pPr>
      <w:r>
        <w:rPr>
          <w:rFonts w:ascii="Arial" w:hAnsi="Arial" w:cs="Arial"/>
          <w:i/>
          <w:color w:val="000000"/>
        </w:rPr>
        <w:t>L</w:t>
      </w:r>
      <w:r w:rsidR="00357DFB" w:rsidRPr="00EE2440">
        <w:rPr>
          <w:rFonts w:ascii="Arial" w:hAnsi="Arial" w:cs="Arial"/>
          <w:i/>
          <w:color w:val="000000"/>
        </w:rPr>
        <w:t>as notificaciones surtirán sus efectos el día hábil siguient</w:t>
      </w:r>
      <w:r w:rsidR="00411EDC">
        <w:rPr>
          <w:rFonts w:ascii="Arial" w:hAnsi="Arial" w:cs="Arial"/>
          <w:i/>
          <w:color w:val="000000"/>
        </w:rPr>
        <w:t>e de aquel en que se realicen.”</w:t>
      </w:r>
    </w:p>
    <w:p w:rsidR="00357DFB" w:rsidRPr="00EE2440" w:rsidRDefault="00357DFB" w:rsidP="006E259B">
      <w:pPr>
        <w:tabs>
          <w:tab w:val="left" w:pos="7655"/>
        </w:tabs>
        <w:spacing w:after="120" w:line="360" w:lineRule="auto"/>
        <w:ind w:left="851" w:right="900"/>
        <w:jc w:val="both"/>
        <w:rPr>
          <w:rFonts w:ascii="Arial" w:hAnsi="Arial" w:cs="Arial"/>
          <w:i/>
          <w:color w:val="000000"/>
        </w:rPr>
      </w:pPr>
      <w:r w:rsidRPr="00EE2440">
        <w:rPr>
          <w:rFonts w:ascii="Arial" w:hAnsi="Arial" w:cs="Arial"/>
          <w:i/>
          <w:color w:val="000000"/>
        </w:rPr>
        <w:t xml:space="preserve"> </w:t>
      </w:r>
    </w:p>
    <w:p w:rsidR="00357DFB" w:rsidRDefault="00357DFB" w:rsidP="00411EDC">
      <w:pPr>
        <w:spacing w:after="120" w:line="360" w:lineRule="auto"/>
        <w:ind w:firstLine="708"/>
        <w:jc w:val="both"/>
        <w:rPr>
          <w:rFonts w:ascii="Arial" w:hAnsi="Arial" w:cs="Arial"/>
          <w:color w:val="000000"/>
          <w:sz w:val="26"/>
          <w:szCs w:val="26"/>
        </w:rPr>
      </w:pPr>
      <w:r>
        <w:rPr>
          <w:rFonts w:ascii="Arial" w:hAnsi="Arial" w:cs="Arial"/>
          <w:color w:val="000000"/>
          <w:sz w:val="26"/>
          <w:szCs w:val="26"/>
        </w:rPr>
        <w:t>Así se tie</w:t>
      </w:r>
      <w:r w:rsidR="0059699E">
        <w:rPr>
          <w:rFonts w:ascii="Arial" w:hAnsi="Arial" w:cs="Arial"/>
          <w:color w:val="000000"/>
          <w:sz w:val="26"/>
          <w:szCs w:val="26"/>
        </w:rPr>
        <w:t xml:space="preserve">ne que </w:t>
      </w:r>
      <w:r w:rsidR="00F123BA">
        <w:rPr>
          <w:rFonts w:ascii="Arial" w:hAnsi="Arial" w:cs="Arial"/>
          <w:color w:val="000000"/>
          <w:sz w:val="26"/>
          <w:szCs w:val="26"/>
        </w:rPr>
        <w:t xml:space="preserve">la sentencia </w:t>
      </w:r>
      <w:r w:rsidR="0059699E">
        <w:rPr>
          <w:rFonts w:ascii="Arial" w:hAnsi="Arial" w:cs="Arial"/>
          <w:color w:val="000000"/>
          <w:sz w:val="26"/>
          <w:szCs w:val="26"/>
        </w:rPr>
        <w:t>que recurre</w:t>
      </w:r>
      <w:r w:rsidR="00F123BA">
        <w:rPr>
          <w:rFonts w:ascii="Arial" w:hAnsi="Arial" w:cs="Arial"/>
          <w:color w:val="000000"/>
          <w:sz w:val="26"/>
          <w:szCs w:val="26"/>
        </w:rPr>
        <w:t>,</w:t>
      </w:r>
      <w:r>
        <w:rPr>
          <w:rFonts w:ascii="Arial" w:hAnsi="Arial" w:cs="Arial"/>
          <w:color w:val="000000"/>
          <w:sz w:val="26"/>
          <w:szCs w:val="26"/>
        </w:rPr>
        <w:t xml:space="preserve"> le fue notificad</w:t>
      </w:r>
      <w:r w:rsidR="00F123BA">
        <w:rPr>
          <w:rFonts w:ascii="Arial" w:hAnsi="Arial" w:cs="Arial"/>
          <w:color w:val="000000"/>
          <w:sz w:val="26"/>
          <w:szCs w:val="26"/>
        </w:rPr>
        <w:t>a</w:t>
      </w:r>
      <w:r>
        <w:rPr>
          <w:rFonts w:ascii="Arial" w:hAnsi="Arial" w:cs="Arial"/>
          <w:color w:val="000000"/>
          <w:sz w:val="26"/>
          <w:szCs w:val="26"/>
        </w:rPr>
        <w:t xml:space="preserve"> el </w:t>
      </w:r>
      <w:r w:rsidR="00F123BA">
        <w:rPr>
          <w:rFonts w:ascii="Arial" w:hAnsi="Arial" w:cs="Arial"/>
          <w:color w:val="000000"/>
          <w:sz w:val="26"/>
          <w:szCs w:val="26"/>
        </w:rPr>
        <w:t>13 trece de febrero de 2019 dos mil diecinueve</w:t>
      </w:r>
      <w:r>
        <w:rPr>
          <w:rFonts w:ascii="Arial" w:hAnsi="Arial" w:cs="Arial"/>
          <w:color w:val="000000"/>
          <w:sz w:val="26"/>
          <w:szCs w:val="26"/>
        </w:rPr>
        <w:t>, como así consta de la</w:t>
      </w:r>
      <w:r w:rsidR="003C62C9">
        <w:rPr>
          <w:rFonts w:ascii="Arial" w:hAnsi="Arial" w:cs="Arial"/>
          <w:color w:val="000000"/>
          <w:sz w:val="26"/>
          <w:szCs w:val="26"/>
        </w:rPr>
        <w:t>s</w:t>
      </w:r>
      <w:r>
        <w:rPr>
          <w:rFonts w:ascii="Arial" w:hAnsi="Arial" w:cs="Arial"/>
          <w:color w:val="000000"/>
          <w:sz w:val="26"/>
          <w:szCs w:val="26"/>
        </w:rPr>
        <w:t xml:space="preserve"> diligencia de notif</w:t>
      </w:r>
      <w:r w:rsidR="0059699E">
        <w:rPr>
          <w:rFonts w:ascii="Arial" w:hAnsi="Arial" w:cs="Arial"/>
          <w:color w:val="000000"/>
          <w:sz w:val="26"/>
          <w:szCs w:val="26"/>
        </w:rPr>
        <w:t xml:space="preserve">icación </w:t>
      </w:r>
      <w:r w:rsidR="004E0E04">
        <w:rPr>
          <w:rFonts w:ascii="Arial" w:hAnsi="Arial" w:cs="Arial"/>
          <w:color w:val="000000"/>
          <w:sz w:val="26"/>
          <w:szCs w:val="26"/>
        </w:rPr>
        <w:t xml:space="preserve">por comparecencia </w:t>
      </w:r>
      <w:r w:rsidR="0059699E">
        <w:rPr>
          <w:rFonts w:ascii="Arial" w:hAnsi="Arial" w:cs="Arial"/>
          <w:color w:val="000000"/>
          <w:sz w:val="26"/>
          <w:szCs w:val="26"/>
        </w:rPr>
        <w:t xml:space="preserve">(folio </w:t>
      </w:r>
      <w:r w:rsidR="00F123BA">
        <w:rPr>
          <w:rFonts w:ascii="Arial" w:hAnsi="Arial" w:cs="Arial"/>
          <w:color w:val="000000"/>
          <w:sz w:val="26"/>
          <w:szCs w:val="26"/>
        </w:rPr>
        <w:t>56</w:t>
      </w:r>
      <w:r>
        <w:rPr>
          <w:rFonts w:ascii="Arial" w:hAnsi="Arial" w:cs="Arial"/>
          <w:color w:val="000000"/>
          <w:sz w:val="26"/>
          <w:szCs w:val="26"/>
        </w:rPr>
        <w:t xml:space="preserve"> del expediente principal),  surtiendo efectos el </w:t>
      </w:r>
      <w:r w:rsidR="00F123BA">
        <w:rPr>
          <w:rFonts w:ascii="Arial" w:hAnsi="Arial" w:cs="Arial"/>
          <w:color w:val="000000"/>
          <w:sz w:val="26"/>
          <w:szCs w:val="26"/>
        </w:rPr>
        <w:t xml:space="preserve">14 catorce </w:t>
      </w:r>
      <w:r w:rsidR="004E0E04">
        <w:rPr>
          <w:rFonts w:ascii="Arial" w:hAnsi="Arial" w:cs="Arial"/>
          <w:color w:val="000000"/>
          <w:sz w:val="26"/>
          <w:szCs w:val="26"/>
        </w:rPr>
        <w:t>de</w:t>
      </w:r>
      <w:r>
        <w:rPr>
          <w:rFonts w:ascii="Arial" w:hAnsi="Arial" w:cs="Arial"/>
          <w:color w:val="000000"/>
          <w:sz w:val="26"/>
          <w:szCs w:val="26"/>
        </w:rPr>
        <w:t xml:space="preserve">l mismo </w:t>
      </w:r>
      <w:r w:rsidR="004E0E04">
        <w:rPr>
          <w:rFonts w:ascii="Arial" w:hAnsi="Arial" w:cs="Arial"/>
          <w:color w:val="000000"/>
          <w:sz w:val="26"/>
          <w:szCs w:val="26"/>
        </w:rPr>
        <w:t xml:space="preserve">mes y </w:t>
      </w:r>
      <w:r>
        <w:rPr>
          <w:rFonts w:ascii="Arial" w:hAnsi="Arial" w:cs="Arial"/>
          <w:color w:val="000000"/>
          <w:sz w:val="26"/>
          <w:szCs w:val="26"/>
        </w:rPr>
        <w:t>año, día hábil siguiente a la realizació</w:t>
      </w:r>
      <w:r w:rsidR="004030DA">
        <w:rPr>
          <w:rFonts w:ascii="Arial" w:hAnsi="Arial" w:cs="Arial"/>
          <w:color w:val="000000"/>
          <w:sz w:val="26"/>
          <w:szCs w:val="26"/>
        </w:rPr>
        <w:t xml:space="preserve">n de la referida notificación, </w:t>
      </w:r>
      <w:r>
        <w:rPr>
          <w:rFonts w:ascii="Arial" w:hAnsi="Arial" w:cs="Arial"/>
          <w:color w:val="000000"/>
          <w:sz w:val="26"/>
          <w:szCs w:val="26"/>
        </w:rPr>
        <w:t xml:space="preserve">por lo que el plazo aludido transcurrió del </w:t>
      </w:r>
      <w:r w:rsidR="00F123BA">
        <w:rPr>
          <w:rFonts w:ascii="Arial" w:hAnsi="Arial" w:cs="Arial"/>
          <w:color w:val="000000"/>
          <w:sz w:val="26"/>
          <w:szCs w:val="26"/>
        </w:rPr>
        <w:t>15 quince al 21 veintiuno de febrero del año en curso</w:t>
      </w:r>
      <w:r w:rsidR="004E0E04">
        <w:rPr>
          <w:rFonts w:ascii="Arial" w:hAnsi="Arial" w:cs="Arial"/>
          <w:color w:val="000000"/>
          <w:sz w:val="26"/>
          <w:szCs w:val="26"/>
        </w:rPr>
        <w:t xml:space="preserve">, sin contar los días </w:t>
      </w:r>
      <w:r w:rsidR="00F123BA">
        <w:rPr>
          <w:rFonts w:ascii="Arial" w:hAnsi="Arial" w:cs="Arial"/>
          <w:color w:val="000000"/>
          <w:sz w:val="26"/>
          <w:szCs w:val="26"/>
        </w:rPr>
        <w:t>16 dieciséis y diecisiete</w:t>
      </w:r>
      <w:r w:rsidR="004E0E04">
        <w:rPr>
          <w:rFonts w:ascii="Arial" w:hAnsi="Arial" w:cs="Arial"/>
          <w:color w:val="000000"/>
          <w:sz w:val="26"/>
          <w:szCs w:val="26"/>
        </w:rPr>
        <w:t xml:space="preserve"> del referido mes, </w:t>
      </w:r>
      <w:r w:rsidR="00D73FE5">
        <w:rPr>
          <w:rFonts w:ascii="Arial" w:hAnsi="Arial" w:cs="Arial"/>
          <w:color w:val="000000"/>
          <w:sz w:val="26"/>
          <w:szCs w:val="26"/>
        </w:rPr>
        <w:t>al corresponder a</w:t>
      </w:r>
      <w:r w:rsidR="004E0E04">
        <w:rPr>
          <w:rFonts w:ascii="Arial" w:hAnsi="Arial" w:cs="Arial"/>
          <w:color w:val="000000"/>
          <w:sz w:val="26"/>
          <w:szCs w:val="26"/>
        </w:rPr>
        <w:t xml:space="preserve"> sábado y domingo</w:t>
      </w:r>
      <w:r>
        <w:rPr>
          <w:rFonts w:ascii="Arial" w:hAnsi="Arial" w:cs="Arial"/>
          <w:color w:val="000000"/>
          <w:sz w:val="26"/>
          <w:szCs w:val="26"/>
        </w:rPr>
        <w:t>; lo anterior, de acuerdo a lo dispuesto en los artículos 1</w:t>
      </w:r>
      <w:r w:rsidR="00B60B11">
        <w:rPr>
          <w:rFonts w:ascii="Arial" w:hAnsi="Arial" w:cs="Arial"/>
          <w:color w:val="000000"/>
          <w:sz w:val="26"/>
          <w:szCs w:val="26"/>
        </w:rPr>
        <w:t>6</w:t>
      </w:r>
      <w:r>
        <w:rPr>
          <w:rFonts w:ascii="Arial" w:hAnsi="Arial" w:cs="Arial"/>
          <w:color w:val="000000"/>
          <w:sz w:val="26"/>
          <w:szCs w:val="26"/>
        </w:rPr>
        <w:t>5 y 1</w:t>
      </w:r>
      <w:r w:rsidR="00B60B11">
        <w:rPr>
          <w:rFonts w:ascii="Arial" w:hAnsi="Arial" w:cs="Arial"/>
          <w:color w:val="000000"/>
          <w:sz w:val="26"/>
          <w:szCs w:val="26"/>
        </w:rPr>
        <w:t>6</w:t>
      </w:r>
      <w:r>
        <w:rPr>
          <w:rFonts w:ascii="Arial" w:hAnsi="Arial" w:cs="Arial"/>
          <w:color w:val="000000"/>
          <w:sz w:val="26"/>
          <w:szCs w:val="26"/>
        </w:rPr>
        <w:t xml:space="preserve">8 de la Ley de </w:t>
      </w:r>
      <w:r w:rsidR="00B60B11">
        <w:rPr>
          <w:rFonts w:ascii="Arial" w:hAnsi="Arial" w:cs="Arial"/>
          <w:color w:val="000000"/>
          <w:sz w:val="26"/>
          <w:szCs w:val="26"/>
        </w:rPr>
        <w:t xml:space="preserve">Procedimiento y </w:t>
      </w:r>
      <w:r>
        <w:rPr>
          <w:rFonts w:ascii="Arial" w:hAnsi="Arial" w:cs="Arial"/>
          <w:color w:val="000000"/>
          <w:sz w:val="26"/>
          <w:szCs w:val="26"/>
        </w:rPr>
        <w:t xml:space="preserve">Justicia Administrativa para el Estado de </w:t>
      </w:r>
      <w:r w:rsidR="00411EDC">
        <w:rPr>
          <w:rFonts w:ascii="Arial" w:hAnsi="Arial" w:cs="Arial"/>
          <w:color w:val="000000"/>
          <w:sz w:val="26"/>
          <w:szCs w:val="26"/>
        </w:rPr>
        <w:t>Oaxaca, los cuales establecen:</w:t>
      </w:r>
    </w:p>
    <w:p w:rsidR="00357DFB" w:rsidRDefault="00357DFB" w:rsidP="00411EDC">
      <w:pPr>
        <w:spacing w:line="360" w:lineRule="auto"/>
        <w:ind w:left="851" w:right="900"/>
        <w:jc w:val="both"/>
        <w:rPr>
          <w:rFonts w:ascii="Arial" w:hAnsi="Arial" w:cs="Arial"/>
          <w:i/>
          <w:color w:val="000000"/>
        </w:rPr>
      </w:pPr>
      <w:r w:rsidRPr="004642E9">
        <w:rPr>
          <w:rFonts w:ascii="Arial" w:hAnsi="Arial" w:cs="Arial"/>
          <w:i/>
          <w:color w:val="000000"/>
        </w:rPr>
        <w:t xml:space="preserve"> “</w:t>
      </w:r>
      <w:r w:rsidR="00B60B11">
        <w:rPr>
          <w:rFonts w:ascii="Arial" w:hAnsi="Arial" w:cs="Arial"/>
          <w:b/>
          <w:i/>
          <w:color w:val="000000"/>
        </w:rPr>
        <w:t>ARTICULO 16</w:t>
      </w:r>
      <w:r w:rsidRPr="004642E9">
        <w:rPr>
          <w:rFonts w:ascii="Arial" w:hAnsi="Arial" w:cs="Arial"/>
          <w:b/>
          <w:i/>
          <w:color w:val="000000"/>
        </w:rPr>
        <w:t>5</w:t>
      </w:r>
      <w:r w:rsidRPr="004642E9">
        <w:rPr>
          <w:rFonts w:ascii="Arial" w:hAnsi="Arial" w:cs="Arial"/>
          <w:i/>
          <w:color w:val="000000"/>
        </w:rPr>
        <w:t xml:space="preserve">.- Son días hábiles para la promoción, substanciación y resolución del juicio contencioso administrativo, todos los días del año, con exclusión de los sábados y domingos, así como los señalados en el calendario oficial del Tribunal. </w:t>
      </w:r>
    </w:p>
    <w:p w:rsidR="00411EDC" w:rsidRPr="004642E9" w:rsidRDefault="00411EDC" w:rsidP="00411EDC">
      <w:pPr>
        <w:spacing w:line="360" w:lineRule="auto"/>
        <w:ind w:left="851" w:right="900"/>
        <w:jc w:val="both"/>
        <w:rPr>
          <w:rFonts w:ascii="Arial" w:hAnsi="Arial" w:cs="Arial"/>
          <w:i/>
          <w:color w:val="000000"/>
        </w:rPr>
      </w:pPr>
    </w:p>
    <w:p w:rsidR="00411EDC" w:rsidRDefault="00357DFB" w:rsidP="00411EDC">
      <w:pPr>
        <w:spacing w:line="360" w:lineRule="auto"/>
        <w:ind w:left="851" w:right="900"/>
        <w:jc w:val="both"/>
        <w:rPr>
          <w:rFonts w:ascii="Arial" w:hAnsi="Arial" w:cs="Arial"/>
          <w:i/>
          <w:color w:val="000000"/>
        </w:rPr>
      </w:pPr>
      <w:r w:rsidRPr="004642E9">
        <w:rPr>
          <w:rFonts w:ascii="Arial" w:hAnsi="Arial" w:cs="Arial"/>
          <w:i/>
          <w:color w:val="000000"/>
        </w:rPr>
        <w:t>“</w:t>
      </w:r>
      <w:r w:rsidRPr="004642E9">
        <w:rPr>
          <w:rFonts w:ascii="Arial" w:hAnsi="Arial" w:cs="Arial"/>
          <w:b/>
          <w:i/>
          <w:color w:val="000000"/>
        </w:rPr>
        <w:t>ART</w:t>
      </w:r>
      <w:r w:rsidR="00B60B11">
        <w:rPr>
          <w:rFonts w:ascii="Arial" w:hAnsi="Arial" w:cs="Arial"/>
          <w:b/>
          <w:i/>
          <w:color w:val="000000"/>
        </w:rPr>
        <w:t>ICULO 16</w:t>
      </w:r>
      <w:r w:rsidRPr="004642E9">
        <w:rPr>
          <w:rFonts w:ascii="Arial" w:hAnsi="Arial" w:cs="Arial"/>
          <w:b/>
          <w:i/>
          <w:color w:val="000000"/>
        </w:rPr>
        <w:t>8</w:t>
      </w:r>
      <w:r w:rsidRPr="004642E9">
        <w:rPr>
          <w:rFonts w:ascii="Arial" w:hAnsi="Arial" w:cs="Arial"/>
          <w:i/>
          <w:color w:val="000000"/>
        </w:rPr>
        <w:t>.- Los plazos serán improrrogables y su cómputo se suj</w:t>
      </w:r>
      <w:r w:rsidR="00411EDC">
        <w:rPr>
          <w:rFonts w:ascii="Arial" w:hAnsi="Arial" w:cs="Arial"/>
          <w:i/>
          <w:color w:val="000000"/>
        </w:rPr>
        <w:t>etará a las reglas siguientes:</w:t>
      </w:r>
    </w:p>
    <w:p w:rsidR="00411EDC" w:rsidRDefault="00357DFB" w:rsidP="00411EDC">
      <w:pPr>
        <w:spacing w:line="360" w:lineRule="auto"/>
        <w:ind w:left="851" w:right="900"/>
        <w:jc w:val="both"/>
        <w:rPr>
          <w:rFonts w:ascii="Arial" w:hAnsi="Arial" w:cs="Arial"/>
          <w:i/>
          <w:color w:val="000000"/>
        </w:rPr>
      </w:pPr>
      <w:r w:rsidRPr="004642E9">
        <w:rPr>
          <w:rFonts w:ascii="Arial" w:hAnsi="Arial" w:cs="Arial"/>
          <w:i/>
          <w:color w:val="000000"/>
        </w:rPr>
        <w:t>I. Empezarán a correr a partir del día siguiente a aquél en que surta efectos la notificación y se incluirá en ellos el día d</w:t>
      </w:r>
      <w:r w:rsidR="00411EDC">
        <w:rPr>
          <w:rFonts w:ascii="Arial" w:hAnsi="Arial" w:cs="Arial"/>
          <w:i/>
          <w:color w:val="000000"/>
        </w:rPr>
        <w:t>el vencimiento, y</w:t>
      </w:r>
    </w:p>
    <w:p w:rsidR="00357DFB" w:rsidRPr="004642E9" w:rsidRDefault="00357DFB" w:rsidP="00411EDC">
      <w:pPr>
        <w:spacing w:line="360" w:lineRule="auto"/>
        <w:ind w:left="851" w:right="900"/>
        <w:jc w:val="both"/>
        <w:rPr>
          <w:rFonts w:ascii="Arial" w:hAnsi="Arial" w:cs="Arial"/>
          <w:i/>
          <w:color w:val="000000"/>
          <w:sz w:val="20"/>
          <w:szCs w:val="20"/>
        </w:rPr>
      </w:pPr>
      <w:r w:rsidRPr="004642E9">
        <w:rPr>
          <w:rFonts w:ascii="Arial" w:hAnsi="Arial" w:cs="Arial"/>
          <w:i/>
          <w:color w:val="000000"/>
        </w:rPr>
        <w:t xml:space="preserve">II. Los plazos </w:t>
      </w:r>
      <w:r w:rsidR="00411EDC">
        <w:rPr>
          <w:rFonts w:ascii="Arial" w:hAnsi="Arial" w:cs="Arial"/>
          <w:i/>
          <w:color w:val="000000"/>
        </w:rPr>
        <w:t>se contarán por días hábiles.”</w:t>
      </w:r>
    </w:p>
    <w:p w:rsidR="00411EDC" w:rsidRPr="00411EDC" w:rsidRDefault="00411EDC" w:rsidP="00996DA9">
      <w:pPr>
        <w:widowControl w:val="0"/>
        <w:tabs>
          <w:tab w:val="left" w:pos="7938"/>
          <w:tab w:val="left" w:pos="8222"/>
        </w:tabs>
        <w:spacing w:after="120" w:line="360" w:lineRule="auto"/>
        <w:ind w:right="49"/>
        <w:jc w:val="both"/>
        <w:rPr>
          <w:rFonts w:ascii="Arial" w:hAnsi="Arial" w:cs="Arial"/>
          <w:b/>
          <w:color w:val="000000"/>
          <w:sz w:val="26"/>
          <w:szCs w:val="26"/>
        </w:rPr>
      </w:pPr>
      <w:r>
        <w:rPr>
          <w:rFonts w:ascii="Arial" w:hAnsi="Arial" w:cs="Arial"/>
          <w:color w:val="000000"/>
          <w:sz w:val="26"/>
          <w:szCs w:val="26"/>
        </w:rPr>
        <w:t xml:space="preserve">          </w:t>
      </w:r>
      <w:r w:rsidR="00357DFB">
        <w:rPr>
          <w:rFonts w:ascii="Arial" w:hAnsi="Arial" w:cs="Arial"/>
          <w:color w:val="000000"/>
          <w:sz w:val="26"/>
          <w:szCs w:val="26"/>
        </w:rPr>
        <w:t xml:space="preserve">Por tanto, al haberse presentado el escrito del recurso de revisión el </w:t>
      </w:r>
      <w:r w:rsidR="00C64226">
        <w:rPr>
          <w:rFonts w:ascii="Arial" w:hAnsi="Arial" w:cs="Arial"/>
          <w:color w:val="000000"/>
          <w:sz w:val="26"/>
          <w:szCs w:val="26"/>
        </w:rPr>
        <w:t xml:space="preserve">01 uno de marzo </w:t>
      </w:r>
      <w:r w:rsidR="00BE301E">
        <w:rPr>
          <w:rFonts w:ascii="Arial" w:hAnsi="Arial" w:cs="Arial"/>
          <w:color w:val="000000"/>
          <w:sz w:val="26"/>
          <w:szCs w:val="26"/>
        </w:rPr>
        <w:t>de 2019 dos mil diecinueve</w:t>
      </w:r>
      <w:r w:rsidR="00357DFB">
        <w:rPr>
          <w:rFonts w:ascii="Arial" w:hAnsi="Arial" w:cs="Arial"/>
          <w:color w:val="000000"/>
          <w:sz w:val="26"/>
          <w:szCs w:val="26"/>
        </w:rPr>
        <w:t>, como consta del sello de recepción de la Oficialía de Partes Común de Términos de Primera y Seg</w:t>
      </w:r>
      <w:r w:rsidR="004642E9">
        <w:rPr>
          <w:rFonts w:ascii="Arial" w:hAnsi="Arial" w:cs="Arial"/>
          <w:color w:val="000000"/>
          <w:sz w:val="26"/>
          <w:szCs w:val="26"/>
        </w:rPr>
        <w:t>unda Instancia de</w:t>
      </w:r>
      <w:r w:rsidR="00BE301E">
        <w:rPr>
          <w:rFonts w:ascii="Arial" w:hAnsi="Arial" w:cs="Arial"/>
          <w:color w:val="000000"/>
          <w:sz w:val="26"/>
          <w:szCs w:val="26"/>
        </w:rPr>
        <w:t xml:space="preserve"> este </w:t>
      </w:r>
      <w:r w:rsidR="004642E9">
        <w:rPr>
          <w:rFonts w:ascii="Arial" w:hAnsi="Arial" w:cs="Arial"/>
          <w:color w:val="000000"/>
          <w:sz w:val="26"/>
          <w:szCs w:val="26"/>
        </w:rPr>
        <w:t xml:space="preserve">Tribunal de </w:t>
      </w:r>
      <w:r w:rsidR="00BE301E">
        <w:rPr>
          <w:rFonts w:ascii="Arial" w:hAnsi="Arial" w:cs="Arial"/>
          <w:color w:val="000000"/>
          <w:sz w:val="26"/>
          <w:szCs w:val="26"/>
        </w:rPr>
        <w:t xml:space="preserve">Justicia </w:t>
      </w:r>
      <w:r w:rsidR="004642E9">
        <w:rPr>
          <w:rFonts w:ascii="Arial" w:hAnsi="Arial" w:cs="Arial"/>
          <w:color w:val="000000"/>
          <w:sz w:val="26"/>
          <w:szCs w:val="26"/>
        </w:rPr>
        <w:t>Administrativ</w:t>
      </w:r>
      <w:r w:rsidR="00BE301E">
        <w:rPr>
          <w:rFonts w:ascii="Arial" w:hAnsi="Arial" w:cs="Arial"/>
          <w:color w:val="000000"/>
          <w:sz w:val="26"/>
          <w:szCs w:val="26"/>
        </w:rPr>
        <w:t>a del Estado de Oaxaca</w:t>
      </w:r>
      <w:r w:rsidR="00C35C4A">
        <w:rPr>
          <w:rFonts w:ascii="Arial" w:hAnsi="Arial" w:cs="Arial"/>
          <w:color w:val="000000"/>
          <w:sz w:val="26"/>
          <w:szCs w:val="26"/>
        </w:rPr>
        <w:t>,</w:t>
      </w:r>
      <w:r w:rsidR="00357DFB">
        <w:rPr>
          <w:rFonts w:ascii="Arial" w:hAnsi="Arial" w:cs="Arial"/>
          <w:color w:val="000000"/>
          <w:sz w:val="26"/>
          <w:szCs w:val="26"/>
        </w:rPr>
        <w:t xml:space="preserve"> es evidente que </w:t>
      </w:r>
      <w:r w:rsidR="00C35C4A">
        <w:rPr>
          <w:rFonts w:ascii="Arial" w:hAnsi="Arial" w:cs="Arial"/>
          <w:color w:val="000000"/>
          <w:sz w:val="26"/>
          <w:szCs w:val="26"/>
        </w:rPr>
        <w:t>se efectúo</w:t>
      </w:r>
      <w:r w:rsidR="00357DFB">
        <w:rPr>
          <w:rFonts w:ascii="Arial" w:hAnsi="Arial" w:cs="Arial"/>
          <w:color w:val="000000"/>
          <w:sz w:val="26"/>
          <w:szCs w:val="26"/>
        </w:rPr>
        <w:t xml:space="preserve"> fuera del plazo que dispone el artículo 2</w:t>
      </w:r>
      <w:r w:rsidR="00C64226">
        <w:rPr>
          <w:rFonts w:ascii="Arial" w:hAnsi="Arial" w:cs="Arial"/>
          <w:color w:val="000000"/>
          <w:sz w:val="26"/>
          <w:szCs w:val="26"/>
        </w:rPr>
        <w:t>3</w:t>
      </w:r>
      <w:r w:rsidR="00357DFB">
        <w:rPr>
          <w:rFonts w:ascii="Arial" w:hAnsi="Arial" w:cs="Arial"/>
          <w:color w:val="000000"/>
          <w:sz w:val="26"/>
          <w:szCs w:val="26"/>
        </w:rPr>
        <w:t xml:space="preserve">7 de la Ley en comento, lo que </w:t>
      </w:r>
      <w:r w:rsidR="00357DFB">
        <w:rPr>
          <w:rFonts w:ascii="Arial" w:hAnsi="Arial" w:cs="Arial"/>
          <w:color w:val="000000"/>
          <w:sz w:val="26"/>
          <w:szCs w:val="26"/>
        </w:rPr>
        <w:lastRenderedPageBreak/>
        <w:t xml:space="preserve">impone </w:t>
      </w:r>
      <w:r w:rsidR="00357DFB" w:rsidRPr="00C64226">
        <w:rPr>
          <w:rFonts w:ascii="Arial" w:hAnsi="Arial" w:cs="Arial"/>
          <w:b/>
          <w:i/>
          <w:color w:val="000000"/>
          <w:sz w:val="26"/>
          <w:szCs w:val="26"/>
        </w:rPr>
        <w:t>DESECHARLO</w:t>
      </w:r>
      <w:r w:rsidR="00357DFB" w:rsidRPr="00C64226">
        <w:rPr>
          <w:rFonts w:ascii="Arial" w:hAnsi="Arial" w:cs="Arial"/>
          <w:i/>
          <w:color w:val="000000"/>
          <w:sz w:val="26"/>
          <w:szCs w:val="26"/>
        </w:rPr>
        <w:t xml:space="preserve"> por </w:t>
      </w:r>
      <w:r w:rsidR="00357DFB" w:rsidRPr="00C64226">
        <w:rPr>
          <w:rFonts w:ascii="Arial" w:hAnsi="Arial" w:cs="Arial"/>
          <w:b/>
          <w:i/>
          <w:color w:val="000000"/>
          <w:sz w:val="26"/>
          <w:szCs w:val="26"/>
        </w:rPr>
        <w:t>EXTEMPORÁNEO</w:t>
      </w:r>
      <w:r w:rsidR="00357DFB">
        <w:rPr>
          <w:rFonts w:ascii="Arial" w:hAnsi="Arial" w:cs="Arial"/>
          <w:b/>
          <w:color w:val="000000"/>
          <w:sz w:val="26"/>
          <w:szCs w:val="26"/>
        </w:rPr>
        <w:t xml:space="preserve">. </w:t>
      </w:r>
    </w:p>
    <w:p w:rsidR="00411EDC" w:rsidRDefault="00411EDC" w:rsidP="00996DA9">
      <w:pPr>
        <w:widowControl w:val="0"/>
        <w:tabs>
          <w:tab w:val="left" w:pos="7938"/>
          <w:tab w:val="left" w:pos="8222"/>
        </w:tabs>
        <w:spacing w:after="120" w:line="360" w:lineRule="auto"/>
        <w:ind w:right="49"/>
        <w:jc w:val="both"/>
        <w:rPr>
          <w:rFonts w:ascii="Arial" w:hAnsi="Arial" w:cs="Arial"/>
          <w:b/>
          <w:sz w:val="24"/>
          <w:szCs w:val="24"/>
        </w:rPr>
      </w:pPr>
      <w:r>
        <w:rPr>
          <w:rFonts w:ascii="Arial" w:hAnsi="Arial" w:cs="Arial"/>
          <w:color w:val="000000"/>
          <w:sz w:val="26"/>
          <w:szCs w:val="26"/>
        </w:rPr>
        <w:t xml:space="preserve">           </w:t>
      </w:r>
      <w:r w:rsidR="00357DFB">
        <w:rPr>
          <w:rFonts w:ascii="Arial" w:eastAsia="Calibri" w:hAnsi="Arial" w:cs="Arial"/>
          <w:sz w:val="26"/>
          <w:szCs w:val="26"/>
        </w:rPr>
        <w:t>En mérito de lo anterior, con fundamento en los artículos 2</w:t>
      </w:r>
      <w:r w:rsidR="006D30F0">
        <w:rPr>
          <w:rFonts w:ascii="Arial" w:eastAsia="Calibri" w:hAnsi="Arial" w:cs="Arial"/>
          <w:sz w:val="26"/>
          <w:szCs w:val="26"/>
        </w:rPr>
        <w:t>3</w:t>
      </w:r>
      <w:r w:rsidR="00357DFB">
        <w:rPr>
          <w:rFonts w:ascii="Arial" w:eastAsia="Calibri" w:hAnsi="Arial" w:cs="Arial"/>
          <w:sz w:val="26"/>
          <w:szCs w:val="26"/>
        </w:rPr>
        <w:t>7 y 2</w:t>
      </w:r>
      <w:r w:rsidR="006D30F0">
        <w:rPr>
          <w:rFonts w:ascii="Arial" w:eastAsia="Calibri" w:hAnsi="Arial" w:cs="Arial"/>
          <w:sz w:val="26"/>
          <w:szCs w:val="26"/>
        </w:rPr>
        <w:t>3</w:t>
      </w:r>
      <w:r w:rsidR="00357DFB">
        <w:rPr>
          <w:rFonts w:ascii="Arial" w:eastAsia="Calibri" w:hAnsi="Arial" w:cs="Arial"/>
          <w:sz w:val="26"/>
          <w:szCs w:val="26"/>
        </w:rPr>
        <w:t xml:space="preserve">8 de la Ley de </w:t>
      </w:r>
      <w:r w:rsidR="006D30F0">
        <w:rPr>
          <w:rFonts w:ascii="Arial" w:eastAsia="Calibri" w:hAnsi="Arial" w:cs="Arial"/>
          <w:sz w:val="26"/>
          <w:szCs w:val="26"/>
        </w:rPr>
        <w:t xml:space="preserve">Procedimiento y </w:t>
      </w:r>
      <w:r w:rsidR="00357DFB">
        <w:rPr>
          <w:rFonts w:ascii="Arial" w:eastAsia="Calibri" w:hAnsi="Arial" w:cs="Arial"/>
          <w:sz w:val="26"/>
          <w:szCs w:val="26"/>
        </w:rPr>
        <w:t>Justicia Admi</w:t>
      </w:r>
      <w:r>
        <w:rPr>
          <w:rFonts w:ascii="Arial" w:eastAsia="Calibri" w:hAnsi="Arial" w:cs="Arial"/>
          <w:sz w:val="26"/>
          <w:szCs w:val="26"/>
        </w:rPr>
        <w:t>nistrativa para el Estado, se:</w:t>
      </w:r>
    </w:p>
    <w:p w:rsidR="00411EDC" w:rsidRPr="00411EDC" w:rsidRDefault="00357DFB" w:rsidP="00411EDC">
      <w:pPr>
        <w:widowControl w:val="0"/>
        <w:tabs>
          <w:tab w:val="left" w:pos="7938"/>
          <w:tab w:val="left" w:pos="8222"/>
        </w:tabs>
        <w:spacing w:after="120" w:line="360" w:lineRule="auto"/>
        <w:ind w:right="49"/>
        <w:jc w:val="center"/>
        <w:rPr>
          <w:rFonts w:ascii="Arial" w:hAnsi="Arial" w:cs="Arial"/>
          <w:b/>
          <w:sz w:val="26"/>
          <w:szCs w:val="26"/>
        </w:rPr>
      </w:pPr>
      <w:r w:rsidRPr="00411EDC">
        <w:rPr>
          <w:rFonts w:ascii="Arial" w:hAnsi="Arial" w:cs="Arial"/>
          <w:b/>
          <w:sz w:val="26"/>
          <w:szCs w:val="26"/>
        </w:rPr>
        <w:t>R E S U E L V E</w:t>
      </w:r>
    </w:p>
    <w:p w:rsidR="00411EDC" w:rsidRDefault="00411EDC" w:rsidP="00996DA9">
      <w:pPr>
        <w:widowControl w:val="0"/>
        <w:tabs>
          <w:tab w:val="left" w:pos="7938"/>
          <w:tab w:val="left" w:pos="8222"/>
        </w:tabs>
        <w:spacing w:after="120" w:line="360" w:lineRule="auto"/>
        <w:ind w:right="49"/>
        <w:jc w:val="both"/>
        <w:rPr>
          <w:rFonts w:ascii="Arial" w:hAnsi="Arial" w:cs="Arial"/>
          <w:sz w:val="26"/>
          <w:szCs w:val="26"/>
        </w:rPr>
      </w:pPr>
      <w:r>
        <w:rPr>
          <w:rFonts w:ascii="Arial" w:hAnsi="Arial" w:cs="Arial"/>
          <w:b/>
          <w:sz w:val="26"/>
          <w:szCs w:val="26"/>
        </w:rPr>
        <w:t xml:space="preserve">            </w:t>
      </w:r>
      <w:r w:rsidR="00357DFB">
        <w:rPr>
          <w:rFonts w:ascii="Arial" w:hAnsi="Arial" w:cs="Arial"/>
          <w:b/>
          <w:sz w:val="26"/>
          <w:szCs w:val="26"/>
        </w:rPr>
        <w:t>PRIMERO</w:t>
      </w:r>
      <w:r w:rsidR="00357DFB">
        <w:rPr>
          <w:rFonts w:ascii="Arial" w:hAnsi="Arial" w:cs="Arial"/>
          <w:sz w:val="26"/>
          <w:szCs w:val="26"/>
        </w:rPr>
        <w:t xml:space="preserve">. Se </w:t>
      </w:r>
      <w:r w:rsidR="00357DFB">
        <w:rPr>
          <w:rFonts w:ascii="Arial" w:hAnsi="Arial" w:cs="Arial"/>
          <w:b/>
          <w:sz w:val="26"/>
          <w:szCs w:val="26"/>
        </w:rPr>
        <w:t>DESECHA</w:t>
      </w:r>
      <w:r w:rsidR="00357DFB">
        <w:rPr>
          <w:rFonts w:ascii="Arial" w:hAnsi="Arial" w:cs="Arial"/>
          <w:sz w:val="26"/>
          <w:szCs w:val="26"/>
        </w:rPr>
        <w:t xml:space="preserve"> por </w:t>
      </w:r>
      <w:r w:rsidR="00357DFB">
        <w:rPr>
          <w:rFonts w:ascii="Arial" w:hAnsi="Arial" w:cs="Arial"/>
          <w:b/>
          <w:sz w:val="26"/>
          <w:szCs w:val="26"/>
        </w:rPr>
        <w:t>EXTEMPORÁNEO</w:t>
      </w:r>
      <w:r w:rsidR="00357DFB">
        <w:rPr>
          <w:rFonts w:ascii="Arial" w:hAnsi="Arial" w:cs="Arial"/>
          <w:sz w:val="26"/>
          <w:szCs w:val="26"/>
        </w:rPr>
        <w:t xml:space="preserve"> el recurso de revisión interpuesto en contra de</w:t>
      </w:r>
      <w:r w:rsidR="00E644ED">
        <w:rPr>
          <w:rFonts w:ascii="Arial" w:hAnsi="Arial" w:cs="Arial"/>
          <w:sz w:val="26"/>
          <w:szCs w:val="26"/>
        </w:rPr>
        <w:t xml:space="preserve"> </w:t>
      </w:r>
      <w:r w:rsidR="004642E9">
        <w:rPr>
          <w:rFonts w:ascii="Arial" w:hAnsi="Arial" w:cs="Arial"/>
          <w:sz w:val="26"/>
          <w:szCs w:val="26"/>
        </w:rPr>
        <w:t>l</w:t>
      </w:r>
      <w:r w:rsidR="00E644ED">
        <w:rPr>
          <w:rFonts w:ascii="Arial" w:hAnsi="Arial" w:cs="Arial"/>
          <w:sz w:val="26"/>
          <w:szCs w:val="26"/>
        </w:rPr>
        <w:t>a</w:t>
      </w:r>
      <w:r w:rsidR="004642E9">
        <w:rPr>
          <w:rFonts w:ascii="Arial" w:hAnsi="Arial" w:cs="Arial"/>
          <w:sz w:val="26"/>
          <w:szCs w:val="26"/>
        </w:rPr>
        <w:t xml:space="preserve"> </w:t>
      </w:r>
      <w:r w:rsidR="00E644ED">
        <w:rPr>
          <w:rFonts w:ascii="Arial" w:hAnsi="Arial" w:cs="Arial"/>
          <w:sz w:val="26"/>
          <w:szCs w:val="26"/>
        </w:rPr>
        <w:t>sentencia de 31 treinta y uno de enero de 2019 dos mil diecinueve</w:t>
      </w:r>
      <w:r w:rsidR="00357DFB">
        <w:rPr>
          <w:rFonts w:ascii="Arial" w:hAnsi="Arial" w:cs="Arial"/>
          <w:bCs/>
          <w:iCs/>
          <w:sz w:val="26"/>
          <w:szCs w:val="26"/>
        </w:rPr>
        <w:t xml:space="preserve">, </w:t>
      </w:r>
      <w:r w:rsidR="00E644ED">
        <w:rPr>
          <w:rFonts w:ascii="Arial" w:hAnsi="Arial" w:cs="Arial"/>
          <w:bCs/>
          <w:iCs/>
          <w:sz w:val="26"/>
          <w:szCs w:val="26"/>
        </w:rPr>
        <w:t xml:space="preserve">dictada </w:t>
      </w:r>
      <w:r w:rsidR="00357DFB">
        <w:rPr>
          <w:rFonts w:ascii="Arial" w:hAnsi="Arial" w:cs="Arial"/>
          <w:bCs/>
          <w:iCs/>
          <w:sz w:val="26"/>
          <w:szCs w:val="26"/>
        </w:rPr>
        <w:t xml:space="preserve">por </w:t>
      </w:r>
      <w:r w:rsidR="00E644ED">
        <w:rPr>
          <w:rFonts w:ascii="Arial" w:hAnsi="Arial" w:cs="Arial"/>
          <w:bCs/>
          <w:iCs/>
          <w:sz w:val="26"/>
          <w:szCs w:val="26"/>
        </w:rPr>
        <w:t>el</w:t>
      </w:r>
      <w:r w:rsidR="00357DFB">
        <w:rPr>
          <w:rFonts w:ascii="Arial" w:hAnsi="Arial" w:cs="Arial"/>
          <w:sz w:val="26"/>
          <w:szCs w:val="26"/>
        </w:rPr>
        <w:t xml:space="preserve"> Magistrad</w:t>
      </w:r>
      <w:r w:rsidR="00E644ED">
        <w:rPr>
          <w:rFonts w:ascii="Arial" w:hAnsi="Arial" w:cs="Arial"/>
          <w:sz w:val="26"/>
          <w:szCs w:val="26"/>
        </w:rPr>
        <w:t>o</w:t>
      </w:r>
      <w:r w:rsidR="00357DFB">
        <w:rPr>
          <w:rFonts w:ascii="Arial" w:hAnsi="Arial" w:cs="Arial"/>
          <w:sz w:val="26"/>
          <w:szCs w:val="26"/>
        </w:rPr>
        <w:t xml:space="preserve"> de la </w:t>
      </w:r>
      <w:r w:rsidR="00E644ED">
        <w:rPr>
          <w:rFonts w:ascii="Arial" w:hAnsi="Arial" w:cs="Arial"/>
          <w:sz w:val="26"/>
          <w:szCs w:val="26"/>
        </w:rPr>
        <w:t>Sexta</w:t>
      </w:r>
      <w:r w:rsidR="0049252D">
        <w:rPr>
          <w:rFonts w:ascii="Arial" w:hAnsi="Arial" w:cs="Arial"/>
          <w:sz w:val="26"/>
          <w:szCs w:val="26"/>
        </w:rPr>
        <w:t xml:space="preserve"> </w:t>
      </w:r>
      <w:r w:rsidR="00357DFB">
        <w:rPr>
          <w:rFonts w:ascii="Arial" w:hAnsi="Arial" w:cs="Arial"/>
          <w:sz w:val="26"/>
          <w:szCs w:val="26"/>
        </w:rPr>
        <w:t>Sala Unitaria de Primera Instancia, por las razones expuestas en el Considerando Segundo.</w:t>
      </w:r>
    </w:p>
    <w:p w:rsidR="00411EDC" w:rsidRDefault="00411EDC" w:rsidP="00996DA9">
      <w:pPr>
        <w:widowControl w:val="0"/>
        <w:tabs>
          <w:tab w:val="left" w:pos="7938"/>
          <w:tab w:val="left" w:pos="8222"/>
        </w:tabs>
        <w:spacing w:after="120" w:line="360" w:lineRule="auto"/>
        <w:ind w:right="49"/>
        <w:jc w:val="both"/>
        <w:rPr>
          <w:rFonts w:ascii="Arial" w:hAnsi="Arial" w:cs="Arial"/>
          <w:sz w:val="26"/>
          <w:szCs w:val="26"/>
        </w:rPr>
      </w:pPr>
      <w:r>
        <w:rPr>
          <w:rFonts w:ascii="Arial" w:hAnsi="Arial" w:cs="Arial"/>
          <w:sz w:val="26"/>
          <w:szCs w:val="26"/>
        </w:rPr>
        <w:t xml:space="preserve">           </w:t>
      </w:r>
      <w:r w:rsidR="00357DFB">
        <w:rPr>
          <w:rFonts w:ascii="Arial" w:hAnsi="Arial" w:cs="Arial"/>
          <w:b/>
          <w:sz w:val="26"/>
          <w:szCs w:val="26"/>
        </w:rPr>
        <w:t xml:space="preserve">SEGUNDO. </w:t>
      </w:r>
      <w:r w:rsidR="00996DA9">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996DA9">
        <w:rPr>
          <w:rFonts w:ascii="Arial" w:hAnsi="Arial" w:cs="Arial"/>
          <w:b/>
          <w:sz w:val="26"/>
          <w:szCs w:val="26"/>
        </w:rPr>
        <w:t>Calle Miguel Hidalgo número 215, Colonia Centro, Municipio de Oaxaca de Juárez, Oaxaca, Código Postal 68000.</w:t>
      </w:r>
    </w:p>
    <w:p w:rsidR="00411EDC" w:rsidRDefault="00411EDC" w:rsidP="00996DA9">
      <w:pPr>
        <w:widowControl w:val="0"/>
        <w:tabs>
          <w:tab w:val="left" w:pos="7938"/>
          <w:tab w:val="left" w:pos="8222"/>
        </w:tabs>
        <w:spacing w:after="120" w:line="360" w:lineRule="auto"/>
        <w:ind w:right="49"/>
        <w:jc w:val="both"/>
        <w:rPr>
          <w:rFonts w:ascii="Arial" w:hAnsi="Arial" w:cs="Arial"/>
          <w:sz w:val="26"/>
          <w:szCs w:val="26"/>
        </w:rPr>
      </w:pPr>
      <w:r>
        <w:rPr>
          <w:rFonts w:ascii="Arial" w:hAnsi="Arial" w:cs="Arial"/>
          <w:b/>
          <w:sz w:val="26"/>
          <w:szCs w:val="26"/>
        </w:rPr>
        <w:t xml:space="preserve">           </w:t>
      </w:r>
      <w:r w:rsidR="00E644ED">
        <w:rPr>
          <w:rFonts w:ascii="Arial" w:hAnsi="Arial" w:cs="Arial"/>
          <w:b/>
          <w:sz w:val="26"/>
          <w:szCs w:val="26"/>
        </w:rPr>
        <w:t xml:space="preserve">TERCERO.- </w:t>
      </w:r>
      <w:r w:rsidR="00357DFB">
        <w:rPr>
          <w:rFonts w:ascii="Arial" w:hAnsi="Arial" w:cs="Arial"/>
          <w:b/>
          <w:sz w:val="26"/>
          <w:szCs w:val="26"/>
        </w:rPr>
        <w:t xml:space="preserve">NOTIFÍQUESE Y CÚMPLASE, </w:t>
      </w:r>
      <w:r w:rsidR="00357DFB">
        <w:rPr>
          <w:rFonts w:ascii="Arial" w:hAnsi="Arial" w:cs="Arial"/>
          <w:sz w:val="26"/>
          <w:szCs w:val="26"/>
        </w:rPr>
        <w:t xml:space="preserve">remítase copia certificada de la presente resolución a la </w:t>
      </w:r>
      <w:r w:rsidR="0049252D">
        <w:rPr>
          <w:rFonts w:ascii="Arial" w:hAnsi="Arial" w:cs="Arial"/>
          <w:sz w:val="26"/>
          <w:szCs w:val="26"/>
        </w:rPr>
        <w:t>S</w:t>
      </w:r>
      <w:r w:rsidR="00122F29">
        <w:rPr>
          <w:rFonts w:ascii="Arial" w:hAnsi="Arial" w:cs="Arial"/>
          <w:sz w:val="26"/>
          <w:szCs w:val="26"/>
        </w:rPr>
        <w:t xml:space="preserve">exta </w:t>
      </w:r>
      <w:r w:rsidR="00357DFB">
        <w:rPr>
          <w:rFonts w:ascii="Arial" w:hAnsi="Arial" w:cs="Arial"/>
          <w:sz w:val="26"/>
          <w:szCs w:val="26"/>
        </w:rPr>
        <w:t xml:space="preserve">Sala Unitaria de Primera Instancia de este Tribunal y en su oportunidad archívese el presente cuaderno de </w:t>
      </w:r>
      <w:r>
        <w:rPr>
          <w:rFonts w:ascii="Arial" w:hAnsi="Arial" w:cs="Arial"/>
          <w:sz w:val="26"/>
          <w:szCs w:val="26"/>
        </w:rPr>
        <w:t>revisión como asunto concluido.</w:t>
      </w:r>
    </w:p>
    <w:p w:rsidR="00411EDC" w:rsidRDefault="00411EDC" w:rsidP="00996DA9">
      <w:pPr>
        <w:widowControl w:val="0"/>
        <w:tabs>
          <w:tab w:val="left" w:pos="7938"/>
          <w:tab w:val="left" w:pos="8222"/>
        </w:tabs>
        <w:spacing w:after="120" w:line="360" w:lineRule="auto"/>
        <w:ind w:right="49"/>
        <w:jc w:val="both"/>
        <w:rPr>
          <w:rFonts w:ascii="Arial" w:hAnsi="Arial" w:cs="Arial"/>
          <w:sz w:val="26"/>
          <w:szCs w:val="26"/>
        </w:rPr>
      </w:pPr>
      <w:r>
        <w:rPr>
          <w:rFonts w:ascii="Arial" w:hAnsi="Arial" w:cs="Arial"/>
          <w:sz w:val="26"/>
          <w:szCs w:val="26"/>
        </w:rPr>
        <w:t xml:space="preserve">              </w:t>
      </w:r>
      <w:r w:rsidR="001C5DD6">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w:t>
      </w:r>
      <w:r>
        <w:rPr>
          <w:rFonts w:ascii="Arial" w:hAnsi="Arial" w:cs="Arial"/>
          <w:sz w:val="26"/>
          <w:szCs w:val="26"/>
        </w:rPr>
        <w:t xml:space="preserve">ribunal, que autoriza y da fe. </w:t>
      </w:r>
    </w:p>
    <w:p w:rsidR="00411EDC" w:rsidRDefault="00411EDC" w:rsidP="00996DA9">
      <w:pPr>
        <w:widowControl w:val="0"/>
        <w:tabs>
          <w:tab w:val="left" w:pos="7938"/>
          <w:tab w:val="left" w:pos="8222"/>
        </w:tabs>
        <w:spacing w:after="120" w:line="360" w:lineRule="auto"/>
        <w:ind w:right="49"/>
        <w:jc w:val="both"/>
        <w:rPr>
          <w:rFonts w:ascii="Arial" w:hAnsi="Arial" w:cs="Arial"/>
          <w:sz w:val="26"/>
          <w:szCs w:val="26"/>
        </w:rPr>
      </w:pPr>
    </w:p>
    <w:p w:rsidR="00411EDC" w:rsidRDefault="00411EDC" w:rsidP="00996DA9">
      <w:pPr>
        <w:widowControl w:val="0"/>
        <w:tabs>
          <w:tab w:val="left" w:pos="7938"/>
          <w:tab w:val="left" w:pos="8222"/>
        </w:tabs>
        <w:spacing w:after="120" w:line="360" w:lineRule="auto"/>
        <w:ind w:right="49"/>
        <w:jc w:val="both"/>
        <w:rPr>
          <w:rFonts w:ascii="Arial" w:hAnsi="Arial" w:cs="Arial"/>
          <w:sz w:val="26"/>
          <w:szCs w:val="26"/>
        </w:rPr>
      </w:pPr>
    </w:p>
    <w:p w:rsidR="001C5DD6" w:rsidRDefault="001C5DD6" w:rsidP="001C5DD6">
      <w:pPr>
        <w:jc w:val="center"/>
        <w:rPr>
          <w:rFonts w:ascii="Arial" w:eastAsia="Calibri" w:hAnsi="Arial" w:cs="Arial"/>
          <w:sz w:val="28"/>
          <w:szCs w:val="28"/>
        </w:rPr>
      </w:pPr>
    </w:p>
    <w:p w:rsidR="001C5DD6" w:rsidRPr="00EB233B" w:rsidRDefault="001C5DD6" w:rsidP="001C5DD6">
      <w:pPr>
        <w:jc w:val="center"/>
        <w:rPr>
          <w:rFonts w:ascii="Arial" w:eastAsia="Calibri" w:hAnsi="Arial" w:cs="Arial"/>
          <w:sz w:val="26"/>
          <w:szCs w:val="26"/>
        </w:rPr>
      </w:pPr>
      <w:r>
        <w:rPr>
          <w:rFonts w:ascii="Arial" w:eastAsia="Calibri" w:hAnsi="Arial" w:cs="Arial"/>
          <w:sz w:val="28"/>
          <w:szCs w:val="28"/>
        </w:rPr>
        <w:t xml:space="preserve">   </w:t>
      </w:r>
      <w:r w:rsidRPr="00EB233B">
        <w:rPr>
          <w:rFonts w:ascii="Arial" w:eastAsia="Calibri" w:hAnsi="Arial" w:cs="Arial"/>
          <w:sz w:val="26"/>
          <w:szCs w:val="26"/>
        </w:rPr>
        <w:t>MAGISTRADO ADRIÁN QUIROGA AVENDAÑO</w:t>
      </w:r>
    </w:p>
    <w:p w:rsidR="001C5DD6" w:rsidRPr="00411EDC" w:rsidRDefault="00411EDC" w:rsidP="001C5DD6">
      <w:pPr>
        <w:jc w:val="center"/>
        <w:rPr>
          <w:rFonts w:ascii="Arial" w:eastAsia="Calibri" w:hAnsi="Arial" w:cs="Arial"/>
          <w:sz w:val="26"/>
          <w:szCs w:val="26"/>
        </w:rPr>
      </w:pPr>
      <w:r w:rsidRPr="00411EDC">
        <w:rPr>
          <w:rFonts w:ascii="Arial" w:eastAsia="Calibri" w:hAnsi="Arial" w:cs="Arial"/>
          <w:sz w:val="26"/>
          <w:szCs w:val="26"/>
        </w:rPr>
        <w:t>PRESIDENTE</w:t>
      </w:r>
    </w:p>
    <w:p w:rsidR="001C5DD6" w:rsidRDefault="001C5DD6" w:rsidP="001C5DD6">
      <w:pPr>
        <w:jc w:val="center"/>
        <w:rPr>
          <w:rFonts w:ascii="Arial" w:eastAsia="Calibri" w:hAnsi="Arial" w:cs="Arial"/>
          <w:b/>
          <w:sz w:val="26"/>
          <w:szCs w:val="26"/>
        </w:rPr>
      </w:pPr>
    </w:p>
    <w:p w:rsidR="00411EDC" w:rsidRPr="00EB233B" w:rsidRDefault="00411EDC" w:rsidP="001C5DD6">
      <w:pPr>
        <w:jc w:val="center"/>
        <w:rPr>
          <w:rFonts w:ascii="Arial" w:eastAsia="Calibri" w:hAnsi="Arial" w:cs="Arial"/>
          <w:b/>
          <w:sz w:val="26"/>
          <w:szCs w:val="26"/>
        </w:rPr>
      </w:pPr>
    </w:p>
    <w:p w:rsidR="00411EDC" w:rsidRPr="00411EDC" w:rsidRDefault="00411EDC" w:rsidP="001C5DD6">
      <w:pPr>
        <w:spacing w:line="360" w:lineRule="auto"/>
        <w:jc w:val="center"/>
        <w:rPr>
          <w:rFonts w:ascii="Arial" w:eastAsia="Calibri" w:hAnsi="Arial" w:cs="Arial"/>
          <w:b/>
          <w:sz w:val="14"/>
          <w:szCs w:val="26"/>
        </w:rPr>
      </w:pPr>
      <w:r w:rsidRPr="00411EDC">
        <w:rPr>
          <w:rFonts w:ascii="Arial" w:eastAsia="Calibri" w:hAnsi="Arial" w:cs="Arial"/>
          <w:b/>
          <w:sz w:val="14"/>
          <w:szCs w:val="26"/>
        </w:rPr>
        <w:t>LAS PRESENTES FIRMAS CORRESPONDEN AL RECURSO DE REVISIÓN 82/2019</w:t>
      </w:r>
    </w:p>
    <w:p w:rsidR="00411EDC" w:rsidRDefault="00411EDC" w:rsidP="001C5DD6">
      <w:pPr>
        <w:spacing w:line="360" w:lineRule="auto"/>
        <w:jc w:val="center"/>
        <w:rPr>
          <w:rFonts w:ascii="Arial" w:eastAsia="Calibri" w:hAnsi="Arial" w:cs="Arial"/>
          <w:sz w:val="26"/>
          <w:szCs w:val="26"/>
        </w:rPr>
      </w:pPr>
    </w:p>
    <w:p w:rsidR="00411EDC" w:rsidRDefault="00411EDC" w:rsidP="001C5DD6">
      <w:pPr>
        <w:spacing w:line="360" w:lineRule="auto"/>
        <w:jc w:val="center"/>
        <w:rPr>
          <w:rFonts w:ascii="Arial" w:eastAsia="Calibri" w:hAnsi="Arial" w:cs="Arial"/>
          <w:sz w:val="26"/>
          <w:szCs w:val="26"/>
        </w:rPr>
      </w:pPr>
    </w:p>
    <w:p w:rsidR="00411EDC" w:rsidRDefault="00411EDC" w:rsidP="001C5DD6">
      <w:pPr>
        <w:spacing w:line="360" w:lineRule="auto"/>
        <w:jc w:val="center"/>
        <w:rPr>
          <w:rFonts w:ascii="Arial" w:eastAsia="Calibri" w:hAnsi="Arial" w:cs="Arial"/>
          <w:sz w:val="26"/>
          <w:szCs w:val="26"/>
        </w:rPr>
      </w:pPr>
    </w:p>
    <w:p w:rsidR="00411EDC" w:rsidRDefault="00411EDC" w:rsidP="001C5DD6">
      <w:pPr>
        <w:spacing w:line="360" w:lineRule="auto"/>
        <w:jc w:val="center"/>
        <w:rPr>
          <w:rFonts w:ascii="Arial" w:eastAsia="Calibri" w:hAnsi="Arial" w:cs="Arial"/>
          <w:sz w:val="26"/>
          <w:szCs w:val="26"/>
        </w:rPr>
      </w:pPr>
    </w:p>
    <w:p w:rsidR="00411EDC" w:rsidRDefault="00411EDC" w:rsidP="001C5DD6">
      <w:pPr>
        <w:spacing w:line="360" w:lineRule="auto"/>
        <w:jc w:val="center"/>
        <w:rPr>
          <w:rFonts w:ascii="Arial" w:eastAsia="Calibri" w:hAnsi="Arial" w:cs="Arial"/>
          <w:sz w:val="26"/>
          <w:szCs w:val="26"/>
        </w:rPr>
      </w:pPr>
    </w:p>
    <w:p w:rsidR="001C5DD6" w:rsidRDefault="001C5DD6" w:rsidP="001C5DD6">
      <w:pPr>
        <w:spacing w:line="360" w:lineRule="auto"/>
        <w:jc w:val="center"/>
        <w:rPr>
          <w:rFonts w:ascii="Arial" w:eastAsia="Calibri" w:hAnsi="Arial" w:cs="Arial"/>
          <w:sz w:val="26"/>
          <w:szCs w:val="26"/>
        </w:rPr>
      </w:pPr>
      <w:r w:rsidRPr="00EB233B">
        <w:rPr>
          <w:rFonts w:ascii="Arial" w:eastAsia="Calibri" w:hAnsi="Arial" w:cs="Arial"/>
          <w:sz w:val="26"/>
          <w:szCs w:val="26"/>
        </w:rPr>
        <w:t>MAGISTRADO HUGO VILLEGAS AQUINO</w:t>
      </w:r>
    </w:p>
    <w:p w:rsidR="00411EDC" w:rsidRDefault="00411EDC" w:rsidP="001C5DD6">
      <w:pPr>
        <w:spacing w:line="360" w:lineRule="auto"/>
        <w:jc w:val="center"/>
        <w:rPr>
          <w:rFonts w:ascii="Arial" w:eastAsia="Calibri" w:hAnsi="Arial" w:cs="Arial"/>
          <w:sz w:val="26"/>
          <w:szCs w:val="26"/>
        </w:rPr>
      </w:pPr>
    </w:p>
    <w:p w:rsidR="00411EDC" w:rsidRDefault="00411EDC" w:rsidP="001C5DD6">
      <w:pPr>
        <w:spacing w:line="360" w:lineRule="auto"/>
        <w:jc w:val="center"/>
        <w:rPr>
          <w:rFonts w:ascii="Arial" w:eastAsia="Calibri" w:hAnsi="Arial" w:cs="Arial"/>
          <w:sz w:val="26"/>
          <w:szCs w:val="26"/>
        </w:rPr>
      </w:pPr>
    </w:p>
    <w:p w:rsidR="00411EDC" w:rsidRDefault="00411EDC" w:rsidP="001C5DD6">
      <w:pPr>
        <w:spacing w:line="360" w:lineRule="auto"/>
        <w:jc w:val="center"/>
        <w:rPr>
          <w:rFonts w:ascii="Arial" w:eastAsia="Calibri" w:hAnsi="Arial" w:cs="Arial"/>
          <w:sz w:val="26"/>
          <w:szCs w:val="26"/>
        </w:rPr>
      </w:pPr>
    </w:p>
    <w:p w:rsidR="00411EDC" w:rsidRPr="00EB233B" w:rsidRDefault="00411EDC" w:rsidP="001C5DD6">
      <w:pPr>
        <w:spacing w:line="360" w:lineRule="auto"/>
        <w:jc w:val="center"/>
        <w:rPr>
          <w:rFonts w:ascii="Arial" w:eastAsia="Calibri" w:hAnsi="Arial" w:cs="Arial"/>
          <w:sz w:val="26"/>
          <w:szCs w:val="26"/>
        </w:rPr>
      </w:pPr>
    </w:p>
    <w:p w:rsidR="001C5DD6" w:rsidRPr="00EB233B" w:rsidRDefault="001C5DD6" w:rsidP="001C5DD6">
      <w:pPr>
        <w:spacing w:line="360" w:lineRule="auto"/>
        <w:jc w:val="center"/>
        <w:rPr>
          <w:rFonts w:ascii="Arial" w:eastAsia="Calibri" w:hAnsi="Arial" w:cs="Arial"/>
          <w:sz w:val="26"/>
          <w:szCs w:val="26"/>
        </w:rPr>
      </w:pPr>
    </w:p>
    <w:p w:rsidR="001C5DD6" w:rsidRDefault="001C5DD6" w:rsidP="001C5DD6">
      <w:pPr>
        <w:widowControl w:val="0"/>
        <w:tabs>
          <w:tab w:val="left" w:pos="-1985"/>
          <w:tab w:val="left" w:pos="7938"/>
        </w:tabs>
        <w:spacing w:line="360" w:lineRule="auto"/>
        <w:ind w:right="17"/>
        <w:jc w:val="center"/>
        <w:rPr>
          <w:rFonts w:ascii="Arial" w:eastAsia="Calibri" w:hAnsi="Arial" w:cs="Arial"/>
          <w:sz w:val="26"/>
          <w:szCs w:val="26"/>
        </w:rPr>
      </w:pPr>
      <w:r w:rsidRPr="00EB233B">
        <w:rPr>
          <w:rFonts w:ascii="Arial" w:eastAsia="Calibri" w:hAnsi="Arial" w:cs="Arial"/>
          <w:sz w:val="26"/>
          <w:szCs w:val="26"/>
        </w:rPr>
        <w:t xml:space="preserve">   MAGISTRADO ENRIQUE PACHECO MARTÍNEZ</w:t>
      </w:r>
    </w:p>
    <w:p w:rsidR="00411EDC" w:rsidRDefault="00411EDC" w:rsidP="001C5DD6">
      <w:pPr>
        <w:widowControl w:val="0"/>
        <w:tabs>
          <w:tab w:val="left" w:pos="-1985"/>
          <w:tab w:val="left" w:pos="7938"/>
        </w:tabs>
        <w:spacing w:line="360" w:lineRule="auto"/>
        <w:ind w:right="17"/>
        <w:jc w:val="center"/>
        <w:rPr>
          <w:rFonts w:ascii="Arial" w:eastAsia="Calibri" w:hAnsi="Arial" w:cs="Arial"/>
          <w:sz w:val="26"/>
          <w:szCs w:val="26"/>
        </w:rPr>
      </w:pPr>
    </w:p>
    <w:p w:rsidR="00411EDC" w:rsidRDefault="00411EDC" w:rsidP="001C5DD6">
      <w:pPr>
        <w:widowControl w:val="0"/>
        <w:tabs>
          <w:tab w:val="left" w:pos="-1985"/>
          <w:tab w:val="left" w:pos="7938"/>
        </w:tabs>
        <w:spacing w:line="360" w:lineRule="auto"/>
        <w:ind w:right="17"/>
        <w:jc w:val="center"/>
        <w:rPr>
          <w:rFonts w:ascii="Arial" w:eastAsia="Calibri" w:hAnsi="Arial" w:cs="Arial"/>
          <w:sz w:val="26"/>
          <w:szCs w:val="26"/>
        </w:rPr>
      </w:pPr>
    </w:p>
    <w:p w:rsidR="00411EDC" w:rsidRDefault="00411EDC" w:rsidP="001C5DD6">
      <w:pPr>
        <w:widowControl w:val="0"/>
        <w:tabs>
          <w:tab w:val="left" w:pos="-1985"/>
          <w:tab w:val="left" w:pos="7938"/>
        </w:tabs>
        <w:spacing w:line="360" w:lineRule="auto"/>
        <w:ind w:right="17"/>
        <w:jc w:val="center"/>
        <w:rPr>
          <w:rFonts w:ascii="Arial" w:eastAsia="Calibri" w:hAnsi="Arial" w:cs="Arial"/>
          <w:sz w:val="26"/>
          <w:szCs w:val="26"/>
        </w:rPr>
      </w:pPr>
    </w:p>
    <w:p w:rsidR="00411EDC" w:rsidRPr="00EB233B" w:rsidRDefault="00411EDC" w:rsidP="001C5DD6">
      <w:pPr>
        <w:widowControl w:val="0"/>
        <w:tabs>
          <w:tab w:val="left" w:pos="-1985"/>
          <w:tab w:val="left" w:pos="7938"/>
        </w:tabs>
        <w:spacing w:line="360" w:lineRule="auto"/>
        <w:ind w:right="17"/>
        <w:jc w:val="center"/>
        <w:rPr>
          <w:rFonts w:ascii="Arial" w:eastAsia="Calibri" w:hAnsi="Arial" w:cs="Arial"/>
          <w:sz w:val="26"/>
          <w:szCs w:val="26"/>
        </w:rPr>
      </w:pPr>
    </w:p>
    <w:p w:rsidR="001C5DD6" w:rsidRPr="00EB233B" w:rsidRDefault="001C5DD6" w:rsidP="001C5DD6">
      <w:pPr>
        <w:widowControl w:val="0"/>
        <w:tabs>
          <w:tab w:val="left" w:pos="-1985"/>
          <w:tab w:val="left" w:pos="7938"/>
        </w:tabs>
        <w:spacing w:line="360" w:lineRule="auto"/>
        <w:ind w:right="17"/>
        <w:jc w:val="center"/>
        <w:rPr>
          <w:rFonts w:ascii="Arial" w:eastAsia="Calibri" w:hAnsi="Arial" w:cs="Arial"/>
          <w:sz w:val="26"/>
          <w:szCs w:val="26"/>
        </w:rPr>
      </w:pPr>
    </w:p>
    <w:p w:rsidR="001C5DD6" w:rsidRDefault="001C5DD6" w:rsidP="001C5DD6">
      <w:pPr>
        <w:spacing w:line="360" w:lineRule="auto"/>
        <w:jc w:val="center"/>
        <w:rPr>
          <w:rFonts w:ascii="Arial" w:eastAsia="Calibri" w:hAnsi="Arial" w:cs="Arial"/>
          <w:sz w:val="26"/>
          <w:szCs w:val="26"/>
        </w:rPr>
      </w:pPr>
      <w:r w:rsidRPr="00EB233B">
        <w:rPr>
          <w:rFonts w:ascii="Arial" w:eastAsia="Calibri" w:hAnsi="Arial" w:cs="Arial"/>
          <w:sz w:val="26"/>
          <w:szCs w:val="26"/>
        </w:rPr>
        <w:t xml:space="preserve">    MAGISTRADA MARÍA ELENA VILLA DE JARQUÍN</w:t>
      </w:r>
    </w:p>
    <w:p w:rsidR="00411EDC" w:rsidRDefault="00411EDC" w:rsidP="001C5DD6">
      <w:pPr>
        <w:spacing w:line="360" w:lineRule="auto"/>
        <w:jc w:val="center"/>
        <w:rPr>
          <w:rFonts w:ascii="Arial" w:eastAsia="Calibri" w:hAnsi="Arial" w:cs="Arial"/>
          <w:sz w:val="26"/>
          <w:szCs w:val="26"/>
        </w:rPr>
      </w:pPr>
    </w:p>
    <w:p w:rsidR="00411EDC" w:rsidRDefault="00411EDC" w:rsidP="001C5DD6">
      <w:pPr>
        <w:spacing w:line="360" w:lineRule="auto"/>
        <w:jc w:val="center"/>
        <w:rPr>
          <w:rFonts w:ascii="Arial" w:eastAsia="Calibri" w:hAnsi="Arial" w:cs="Arial"/>
          <w:sz w:val="26"/>
          <w:szCs w:val="26"/>
        </w:rPr>
      </w:pPr>
    </w:p>
    <w:p w:rsidR="00411EDC" w:rsidRPr="00EB233B" w:rsidRDefault="00411EDC" w:rsidP="001C5DD6">
      <w:pPr>
        <w:spacing w:line="360" w:lineRule="auto"/>
        <w:jc w:val="center"/>
        <w:rPr>
          <w:rFonts w:ascii="Arial" w:eastAsia="Calibri" w:hAnsi="Arial" w:cs="Arial"/>
          <w:sz w:val="26"/>
          <w:szCs w:val="26"/>
        </w:rPr>
      </w:pPr>
    </w:p>
    <w:p w:rsidR="001C5DD6" w:rsidRDefault="001C5DD6" w:rsidP="001C5DD6">
      <w:pPr>
        <w:spacing w:line="360" w:lineRule="auto"/>
        <w:jc w:val="center"/>
        <w:rPr>
          <w:rFonts w:ascii="Arial" w:eastAsia="Calibri" w:hAnsi="Arial" w:cs="Arial"/>
          <w:sz w:val="26"/>
          <w:szCs w:val="26"/>
        </w:rPr>
      </w:pPr>
    </w:p>
    <w:p w:rsidR="00411EDC" w:rsidRPr="00EB233B" w:rsidRDefault="00411EDC" w:rsidP="001C5DD6">
      <w:pPr>
        <w:spacing w:line="360" w:lineRule="auto"/>
        <w:jc w:val="center"/>
        <w:rPr>
          <w:rFonts w:ascii="Arial" w:eastAsia="Calibri" w:hAnsi="Arial" w:cs="Arial"/>
          <w:sz w:val="26"/>
          <w:szCs w:val="26"/>
        </w:rPr>
      </w:pPr>
    </w:p>
    <w:p w:rsidR="001C5DD6" w:rsidRDefault="001C5DD6" w:rsidP="001C5DD6">
      <w:pPr>
        <w:spacing w:line="360" w:lineRule="auto"/>
        <w:ind w:left="851" w:firstLine="142"/>
        <w:rPr>
          <w:rFonts w:ascii="Arial" w:eastAsia="Calibri" w:hAnsi="Arial" w:cs="Arial"/>
          <w:sz w:val="26"/>
          <w:szCs w:val="26"/>
        </w:rPr>
      </w:pPr>
      <w:r w:rsidRPr="00EB233B">
        <w:rPr>
          <w:rFonts w:ascii="Arial" w:eastAsia="Calibri" w:hAnsi="Arial" w:cs="Arial"/>
          <w:sz w:val="26"/>
          <w:szCs w:val="26"/>
        </w:rPr>
        <w:t xml:space="preserve">     MAGISTRADO MANUEL VELASCO ALCÁNTARA</w:t>
      </w:r>
    </w:p>
    <w:p w:rsidR="00411EDC" w:rsidRDefault="00411EDC" w:rsidP="001C5DD6">
      <w:pPr>
        <w:spacing w:line="360" w:lineRule="auto"/>
        <w:ind w:left="851" w:firstLine="142"/>
        <w:rPr>
          <w:rFonts w:ascii="Arial" w:eastAsia="Calibri" w:hAnsi="Arial" w:cs="Arial"/>
          <w:sz w:val="26"/>
          <w:szCs w:val="26"/>
        </w:rPr>
      </w:pPr>
    </w:p>
    <w:p w:rsidR="00411EDC" w:rsidRDefault="00411EDC" w:rsidP="001C5DD6">
      <w:pPr>
        <w:spacing w:line="360" w:lineRule="auto"/>
        <w:ind w:left="851" w:firstLine="142"/>
        <w:rPr>
          <w:rFonts w:ascii="Arial" w:eastAsia="Calibri" w:hAnsi="Arial" w:cs="Arial"/>
          <w:sz w:val="26"/>
          <w:szCs w:val="26"/>
        </w:rPr>
      </w:pPr>
    </w:p>
    <w:p w:rsidR="00411EDC" w:rsidRPr="00EB233B" w:rsidRDefault="00411EDC" w:rsidP="001C5DD6">
      <w:pPr>
        <w:spacing w:line="360" w:lineRule="auto"/>
        <w:ind w:left="851" w:firstLine="142"/>
        <w:rPr>
          <w:rFonts w:ascii="Arial" w:eastAsia="Calibri" w:hAnsi="Arial" w:cs="Arial"/>
          <w:sz w:val="26"/>
          <w:szCs w:val="26"/>
        </w:rPr>
      </w:pPr>
    </w:p>
    <w:p w:rsidR="001C5DD6" w:rsidRPr="00EB233B" w:rsidRDefault="001C5DD6" w:rsidP="001C5DD6">
      <w:pPr>
        <w:spacing w:line="360" w:lineRule="auto"/>
        <w:ind w:left="851" w:firstLine="142"/>
        <w:rPr>
          <w:rFonts w:ascii="Arial" w:eastAsia="Calibri" w:hAnsi="Arial" w:cs="Arial"/>
          <w:sz w:val="26"/>
          <w:szCs w:val="26"/>
        </w:rPr>
      </w:pPr>
    </w:p>
    <w:p w:rsidR="001C5DD6" w:rsidRPr="00EB233B" w:rsidRDefault="001C5DD6" w:rsidP="001C5DD6">
      <w:pPr>
        <w:jc w:val="center"/>
        <w:rPr>
          <w:rFonts w:ascii="Arial" w:eastAsia="Calibri" w:hAnsi="Arial" w:cs="Arial"/>
          <w:sz w:val="26"/>
          <w:szCs w:val="26"/>
        </w:rPr>
      </w:pPr>
      <w:r w:rsidRPr="00EB233B">
        <w:rPr>
          <w:rFonts w:ascii="Arial" w:eastAsia="Calibri" w:hAnsi="Arial" w:cs="Arial"/>
          <w:sz w:val="26"/>
          <w:szCs w:val="26"/>
        </w:rPr>
        <w:t xml:space="preserve">       LICENCIADA </w:t>
      </w:r>
      <w:r w:rsidR="004030DA">
        <w:rPr>
          <w:rFonts w:ascii="Arial" w:eastAsia="Calibri" w:hAnsi="Arial" w:cs="Arial"/>
          <w:sz w:val="26"/>
          <w:szCs w:val="26"/>
        </w:rPr>
        <w:t>LETICIA GARCÍ</w:t>
      </w:r>
      <w:r w:rsidR="009821B0">
        <w:rPr>
          <w:rFonts w:ascii="Arial" w:eastAsia="Calibri" w:hAnsi="Arial" w:cs="Arial"/>
          <w:sz w:val="26"/>
          <w:szCs w:val="26"/>
        </w:rPr>
        <w:t>A SOTO</w:t>
      </w:r>
    </w:p>
    <w:p w:rsidR="001C5DD6" w:rsidRPr="00EB233B" w:rsidRDefault="001C5DD6" w:rsidP="001C5DD6">
      <w:pPr>
        <w:jc w:val="center"/>
        <w:rPr>
          <w:rFonts w:ascii="Arial" w:hAnsi="Arial" w:cs="Arial"/>
          <w:sz w:val="26"/>
          <w:szCs w:val="26"/>
        </w:rPr>
      </w:pPr>
      <w:r w:rsidRPr="00EB233B">
        <w:rPr>
          <w:rFonts w:ascii="Arial" w:eastAsia="Calibri" w:hAnsi="Arial" w:cs="Arial"/>
          <w:sz w:val="26"/>
          <w:szCs w:val="26"/>
        </w:rPr>
        <w:t xml:space="preserve">        SECRETARIA GENERAL DE ACUERDOS</w:t>
      </w:r>
      <w:r w:rsidR="004030DA">
        <w:rPr>
          <w:rFonts w:ascii="Arial" w:eastAsia="Calibri" w:hAnsi="Arial" w:cs="Arial"/>
          <w:sz w:val="26"/>
          <w:szCs w:val="26"/>
        </w:rPr>
        <w:t>.</w:t>
      </w:r>
    </w:p>
    <w:p w:rsidR="001C5DD6" w:rsidRPr="00EB233B" w:rsidRDefault="001C5DD6" w:rsidP="001C5DD6">
      <w:pPr>
        <w:rPr>
          <w:sz w:val="26"/>
          <w:szCs w:val="26"/>
        </w:rPr>
      </w:pPr>
    </w:p>
    <w:p w:rsidR="00100CD5" w:rsidRPr="00EB233B" w:rsidRDefault="00100CD5" w:rsidP="00100CD5">
      <w:pPr>
        <w:tabs>
          <w:tab w:val="left" w:pos="6030"/>
        </w:tabs>
        <w:spacing w:line="360" w:lineRule="auto"/>
        <w:rPr>
          <w:rFonts w:ascii="Arial" w:hAnsi="Arial" w:cs="Arial"/>
          <w:sz w:val="26"/>
          <w:szCs w:val="26"/>
        </w:rPr>
      </w:pPr>
    </w:p>
    <w:p w:rsidR="00100CD5" w:rsidRPr="00EB233B" w:rsidRDefault="00100CD5" w:rsidP="00100CD5">
      <w:pPr>
        <w:spacing w:line="360" w:lineRule="auto"/>
        <w:jc w:val="both"/>
        <w:rPr>
          <w:rFonts w:ascii="Arial" w:hAnsi="Arial" w:cs="Arial"/>
          <w:sz w:val="26"/>
          <w:szCs w:val="26"/>
        </w:rPr>
      </w:pPr>
    </w:p>
    <w:p w:rsidR="004D0EEB" w:rsidRPr="00EB233B" w:rsidRDefault="004D0EEB" w:rsidP="00100CD5">
      <w:pPr>
        <w:rPr>
          <w:sz w:val="26"/>
          <w:szCs w:val="26"/>
        </w:rPr>
      </w:pPr>
    </w:p>
    <w:sectPr w:rsidR="004D0EEB" w:rsidRPr="00EB233B" w:rsidSect="00411ED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06" w:rsidRDefault="007F2506">
      <w:r>
        <w:separator/>
      </w:r>
    </w:p>
  </w:endnote>
  <w:endnote w:type="continuationSeparator" w:id="0">
    <w:p w:rsidR="007F2506" w:rsidRDefault="007F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E" w:rsidRDefault="006F57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E" w:rsidRDefault="006F57BE">
    <w:pPr>
      <w:pStyle w:val="Piedepgina"/>
    </w:pPr>
    <w:r>
      <w:rPr>
        <w:noProof/>
        <w:lang w:eastAsia="es-MX"/>
      </w:rPr>
      <w:drawing>
        <wp:anchor distT="0" distB="0" distL="114300" distR="114300" simplePos="0" relativeHeight="251670528" behindDoc="0" locked="0" layoutInCell="1" allowOverlap="1" wp14:anchorId="5FFE3D01" wp14:editId="37773917">
          <wp:simplePos x="0" y="0"/>
          <wp:positionH relativeFrom="column">
            <wp:posOffset>-1205865</wp:posOffset>
          </wp:positionH>
          <wp:positionV relativeFrom="paragraph">
            <wp:posOffset>-5551170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E" w:rsidRDefault="006F57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06" w:rsidRDefault="007F2506">
      <w:r>
        <w:separator/>
      </w:r>
    </w:p>
  </w:footnote>
  <w:footnote w:type="continuationSeparator" w:id="0">
    <w:p w:rsidR="007F2506" w:rsidRDefault="007F2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F8331C" w:rsidRDefault="00F8331C">
        <w:pPr>
          <w:pStyle w:val="Encabezado"/>
          <w:jc w:val="center"/>
        </w:pPr>
        <w:r>
          <w:fldChar w:fldCharType="begin"/>
        </w:r>
        <w:r>
          <w:instrText>PAGE   \* MERGEFORMAT</w:instrText>
        </w:r>
        <w:r>
          <w:fldChar w:fldCharType="separate"/>
        </w:r>
        <w:r w:rsidR="006F57BE">
          <w:rPr>
            <w:noProof/>
          </w:rPr>
          <w:t>2</w:t>
        </w:r>
        <w:r>
          <w:fldChar w:fldCharType="end"/>
        </w:r>
      </w:p>
    </w:sdtContent>
  </w:sdt>
  <w:p w:rsidR="00F8331C" w:rsidRDefault="006F57BE">
    <w:pPr>
      <w:pStyle w:val="Encabezado"/>
    </w:pPr>
    <w:bookmarkStart w:id="0" w:name="_GoBack"/>
    <w:r>
      <w:rPr>
        <w:noProof/>
        <w:lang w:eastAsia="es-MX"/>
      </w:rPr>
      <w:drawing>
        <wp:anchor distT="0" distB="0" distL="114300" distR="114300" simplePos="0" relativeHeight="251668480" behindDoc="0" locked="0" layoutInCell="1" allowOverlap="1" wp14:anchorId="6BAFF846" wp14:editId="58D48632">
          <wp:simplePos x="0" y="0"/>
          <wp:positionH relativeFrom="column">
            <wp:posOffset>5726430</wp:posOffset>
          </wp:positionH>
          <wp:positionV relativeFrom="paragraph">
            <wp:posOffset>5226685</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F8331C" w:rsidRDefault="00F8331C" w:rsidP="00F8331C">
        <w:pPr>
          <w:pStyle w:val="Encabezado"/>
          <w:jc w:val="center"/>
          <w:rPr>
            <w:noProof/>
          </w:rPr>
        </w:pPr>
        <w:r>
          <w:fldChar w:fldCharType="begin"/>
        </w:r>
        <w:r>
          <w:instrText xml:space="preserve"> PAGE   \* MERGEFORMAT </w:instrText>
        </w:r>
        <w:r>
          <w:fldChar w:fldCharType="separate"/>
        </w:r>
        <w:r w:rsidR="006F57BE">
          <w:rPr>
            <w:noProof/>
          </w:rPr>
          <w:t>1</w:t>
        </w:r>
        <w:r>
          <w:rPr>
            <w:noProof/>
          </w:rPr>
          <w:fldChar w:fldCharType="end"/>
        </w:r>
      </w:p>
    </w:sdtContent>
  </w:sdt>
  <w:p w:rsidR="00F8331C" w:rsidRDefault="00F8331C" w:rsidP="00F8331C">
    <w:pPr>
      <w:pStyle w:val="Encabezado"/>
      <w:jc w:val="center"/>
    </w:pPr>
    <w:r>
      <w:rPr>
        <w:noProof/>
        <w:lang w:val="es-MX" w:eastAsia="es-MX"/>
      </w:rPr>
      <w:drawing>
        <wp:anchor distT="0" distB="0" distL="114300" distR="114300" simplePos="0" relativeHeight="251662336" behindDoc="1" locked="0" layoutInCell="1" allowOverlap="1" wp14:anchorId="1D7B1F18" wp14:editId="1764A680">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0B543A9E" wp14:editId="39598921">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BE" w:rsidRDefault="006F57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5271"/>
    <w:rsid w:val="00026EB9"/>
    <w:rsid w:val="00030CA4"/>
    <w:rsid w:val="00036CAD"/>
    <w:rsid w:val="00043210"/>
    <w:rsid w:val="000447E8"/>
    <w:rsid w:val="00046DB2"/>
    <w:rsid w:val="00051E1B"/>
    <w:rsid w:val="00052012"/>
    <w:rsid w:val="00092DAC"/>
    <w:rsid w:val="000B2991"/>
    <w:rsid w:val="000C2E86"/>
    <w:rsid w:val="00100CD5"/>
    <w:rsid w:val="00122F29"/>
    <w:rsid w:val="00131CAB"/>
    <w:rsid w:val="001460C3"/>
    <w:rsid w:val="001649BB"/>
    <w:rsid w:val="0019038A"/>
    <w:rsid w:val="00196219"/>
    <w:rsid w:val="001A42DD"/>
    <w:rsid w:val="001B4582"/>
    <w:rsid w:val="001C5DD6"/>
    <w:rsid w:val="001E5F2C"/>
    <w:rsid w:val="001F05D6"/>
    <w:rsid w:val="001F6CA3"/>
    <w:rsid w:val="002751D6"/>
    <w:rsid w:val="002A2DD7"/>
    <w:rsid w:val="002B0D75"/>
    <w:rsid w:val="002E0410"/>
    <w:rsid w:val="002E12E9"/>
    <w:rsid w:val="002E162B"/>
    <w:rsid w:val="00357DFB"/>
    <w:rsid w:val="00377D62"/>
    <w:rsid w:val="00392A5B"/>
    <w:rsid w:val="00394391"/>
    <w:rsid w:val="003C62C9"/>
    <w:rsid w:val="003E143A"/>
    <w:rsid w:val="003F5EAD"/>
    <w:rsid w:val="004030DA"/>
    <w:rsid w:val="00411EDC"/>
    <w:rsid w:val="00460197"/>
    <w:rsid w:val="004642E9"/>
    <w:rsid w:val="0049252D"/>
    <w:rsid w:val="004B5B6A"/>
    <w:rsid w:val="004D0EEB"/>
    <w:rsid w:val="004E0E04"/>
    <w:rsid w:val="00523841"/>
    <w:rsid w:val="00526007"/>
    <w:rsid w:val="00530B56"/>
    <w:rsid w:val="00544A09"/>
    <w:rsid w:val="0059699E"/>
    <w:rsid w:val="006500B3"/>
    <w:rsid w:val="00651356"/>
    <w:rsid w:val="0068420B"/>
    <w:rsid w:val="006D30F0"/>
    <w:rsid w:val="006E259B"/>
    <w:rsid w:val="006F2460"/>
    <w:rsid w:val="006F2A31"/>
    <w:rsid w:val="006F57BE"/>
    <w:rsid w:val="0072550C"/>
    <w:rsid w:val="00726039"/>
    <w:rsid w:val="007307E2"/>
    <w:rsid w:val="00734AB8"/>
    <w:rsid w:val="007662B4"/>
    <w:rsid w:val="007C1294"/>
    <w:rsid w:val="007F2506"/>
    <w:rsid w:val="00863B53"/>
    <w:rsid w:val="008747C2"/>
    <w:rsid w:val="008834EE"/>
    <w:rsid w:val="008E322E"/>
    <w:rsid w:val="0090315F"/>
    <w:rsid w:val="00932A50"/>
    <w:rsid w:val="00936B59"/>
    <w:rsid w:val="00957E83"/>
    <w:rsid w:val="009612B0"/>
    <w:rsid w:val="00976313"/>
    <w:rsid w:val="009821B0"/>
    <w:rsid w:val="00996DA9"/>
    <w:rsid w:val="00A166A2"/>
    <w:rsid w:val="00AA25E5"/>
    <w:rsid w:val="00AA4BB8"/>
    <w:rsid w:val="00AC78DA"/>
    <w:rsid w:val="00B60B11"/>
    <w:rsid w:val="00B7485D"/>
    <w:rsid w:val="00BE0066"/>
    <w:rsid w:val="00BE301E"/>
    <w:rsid w:val="00BE40D1"/>
    <w:rsid w:val="00C35C4A"/>
    <w:rsid w:val="00C4290B"/>
    <w:rsid w:val="00C63AEF"/>
    <w:rsid w:val="00C64226"/>
    <w:rsid w:val="00C66996"/>
    <w:rsid w:val="00C848A0"/>
    <w:rsid w:val="00CC2FF8"/>
    <w:rsid w:val="00CC4976"/>
    <w:rsid w:val="00D058D0"/>
    <w:rsid w:val="00D40152"/>
    <w:rsid w:val="00D41DB3"/>
    <w:rsid w:val="00D44245"/>
    <w:rsid w:val="00D73FE5"/>
    <w:rsid w:val="00DB558F"/>
    <w:rsid w:val="00DD2F6A"/>
    <w:rsid w:val="00DE0FA7"/>
    <w:rsid w:val="00DE2037"/>
    <w:rsid w:val="00E01AE6"/>
    <w:rsid w:val="00E2475A"/>
    <w:rsid w:val="00E25CC1"/>
    <w:rsid w:val="00E339EA"/>
    <w:rsid w:val="00E644ED"/>
    <w:rsid w:val="00E92155"/>
    <w:rsid w:val="00EB233B"/>
    <w:rsid w:val="00EE2440"/>
    <w:rsid w:val="00F123BA"/>
    <w:rsid w:val="00F8331C"/>
    <w:rsid w:val="00FD4DB9"/>
    <w:rsid w:val="00FE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991D2-6A64-42FA-ACE7-2AFACBAB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4030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0DA"/>
    <w:rPr>
      <w:rFonts w:ascii="Segoe UI" w:hAnsi="Segoe UI" w:cs="Segoe UI"/>
      <w:sz w:val="18"/>
      <w:szCs w:val="18"/>
    </w:rPr>
  </w:style>
  <w:style w:type="paragraph" w:styleId="Piedepgina">
    <w:name w:val="footer"/>
    <w:basedOn w:val="Normal"/>
    <w:link w:val="PiedepginaCar"/>
    <w:uiPriority w:val="99"/>
    <w:unhideWhenUsed/>
    <w:rsid w:val="00411EDC"/>
    <w:pPr>
      <w:tabs>
        <w:tab w:val="center" w:pos="4419"/>
        <w:tab w:val="right" w:pos="8838"/>
      </w:tabs>
    </w:pPr>
  </w:style>
  <w:style w:type="character" w:customStyle="1" w:styleId="PiedepginaCar">
    <w:name w:val="Pie de página Car"/>
    <w:basedOn w:val="Fuentedeprrafopredeter"/>
    <w:link w:val="Piedepgina"/>
    <w:uiPriority w:val="99"/>
    <w:rsid w:val="0041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CF3B-13BE-4E6C-96CB-FC030550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1294</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25</cp:revision>
  <cp:lastPrinted>2019-06-10T17:51:00Z</cp:lastPrinted>
  <dcterms:created xsi:type="dcterms:W3CDTF">2019-06-04T17:27:00Z</dcterms:created>
  <dcterms:modified xsi:type="dcterms:W3CDTF">2019-07-03T18:57:00Z</dcterms:modified>
</cp:coreProperties>
</file>