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95763" w14:textId="02B73C3A" w:rsidR="00FE0CC9" w:rsidRPr="00EE67C9" w:rsidRDefault="00FE0CC9" w:rsidP="00FE0CC9">
      <w:pPr>
        <w:spacing w:line="276" w:lineRule="auto"/>
        <w:ind w:left="4479" w:right="51"/>
        <w:jc w:val="both"/>
        <w:rPr>
          <w:rFonts w:ascii="Arial" w:hAnsi="Arial" w:cs="Arial"/>
          <w:b/>
          <w:sz w:val="24"/>
          <w:szCs w:val="24"/>
          <w:lang w:val="es-ES_tradnl" w:eastAsia="es-ES"/>
        </w:rPr>
      </w:pPr>
      <w:r w:rsidRPr="00EE67C9">
        <w:rPr>
          <w:rFonts w:ascii="Arial" w:hAnsi="Arial" w:cs="Arial"/>
          <w:b/>
          <w:sz w:val="24"/>
          <w:szCs w:val="24"/>
          <w:lang w:val="es-ES_tradnl" w:eastAsia="es-ES"/>
        </w:rPr>
        <w:t>SALA UNITARIA DE PRIMERA INSTANCIA DEL TRIBUNAL DE JUSTICIA ADMINISTRATIVA DEL ESTADO DE OAXACA.</w:t>
      </w:r>
    </w:p>
    <w:p w14:paraId="72BA0FD5" w14:textId="77777777" w:rsidR="00FE0CC9" w:rsidRPr="00EE67C9" w:rsidRDefault="00FE0CC9" w:rsidP="00FE0CC9">
      <w:pPr>
        <w:spacing w:line="276" w:lineRule="auto"/>
        <w:ind w:left="4395" w:right="-521"/>
        <w:jc w:val="both"/>
        <w:rPr>
          <w:rFonts w:ascii="Arial" w:hAnsi="Arial" w:cs="Arial"/>
          <w:b/>
          <w:sz w:val="24"/>
          <w:szCs w:val="24"/>
          <w:lang w:val="es-ES_tradnl" w:eastAsia="es-ES"/>
        </w:rPr>
      </w:pPr>
    </w:p>
    <w:p w14:paraId="66FE5849" w14:textId="77777777" w:rsidR="00FE0CC9" w:rsidRPr="00EE67C9" w:rsidRDefault="00FE0CC9" w:rsidP="00FE0CC9">
      <w:pPr>
        <w:spacing w:line="276" w:lineRule="auto"/>
        <w:ind w:left="4395" w:right="-521"/>
        <w:jc w:val="both"/>
        <w:rPr>
          <w:rFonts w:ascii="Arial" w:hAnsi="Arial" w:cs="Arial"/>
          <w:sz w:val="24"/>
          <w:szCs w:val="24"/>
          <w:lang w:val="es-ES_tradnl" w:eastAsia="es-ES"/>
        </w:rPr>
      </w:pPr>
      <w:r w:rsidRPr="00EE67C9">
        <w:rPr>
          <w:rFonts w:ascii="Arial" w:hAnsi="Arial" w:cs="Arial"/>
          <w:b/>
          <w:sz w:val="24"/>
          <w:szCs w:val="24"/>
          <w:lang w:val="es-ES_tradnl" w:eastAsia="es-ES"/>
        </w:rPr>
        <w:t>JUICIO DE NULIDAD</w:t>
      </w:r>
      <w:r w:rsidRPr="00EE67C9">
        <w:rPr>
          <w:rFonts w:ascii="Arial" w:hAnsi="Arial" w:cs="Arial"/>
          <w:sz w:val="24"/>
          <w:szCs w:val="24"/>
          <w:lang w:val="es-ES_tradnl" w:eastAsia="es-ES"/>
        </w:rPr>
        <w:t xml:space="preserve">: 0078/2018. </w:t>
      </w:r>
    </w:p>
    <w:p w14:paraId="468DE247" w14:textId="77777777" w:rsidR="00FE0CC9" w:rsidRPr="00EE67C9" w:rsidRDefault="00FE0CC9" w:rsidP="00FE0CC9">
      <w:pPr>
        <w:spacing w:line="276" w:lineRule="auto"/>
        <w:ind w:left="4395" w:right="-521"/>
        <w:jc w:val="both"/>
        <w:rPr>
          <w:rFonts w:ascii="Arial" w:hAnsi="Arial" w:cs="Arial"/>
          <w:sz w:val="24"/>
          <w:szCs w:val="24"/>
          <w:lang w:val="es-ES_tradnl" w:eastAsia="es-ES"/>
        </w:rPr>
      </w:pPr>
    </w:p>
    <w:p w14:paraId="4C2E9E00" w14:textId="2087F49F" w:rsidR="00FE0CC9" w:rsidRPr="00EE67C9" w:rsidRDefault="00FE0CC9" w:rsidP="00FE0CC9">
      <w:pPr>
        <w:ind w:left="4395"/>
        <w:contextualSpacing/>
        <w:jc w:val="both"/>
        <w:rPr>
          <w:rFonts w:ascii="Arial" w:hAnsi="Arial" w:cs="Arial"/>
        </w:rPr>
      </w:pPr>
      <w:r w:rsidRPr="00EE67C9">
        <w:rPr>
          <w:rFonts w:ascii="Arial" w:hAnsi="Arial" w:cs="Arial"/>
          <w:b/>
          <w:sz w:val="24"/>
          <w:szCs w:val="24"/>
        </w:rPr>
        <w:t>ACTOR</w:t>
      </w:r>
      <w:r w:rsidR="00C51247" w:rsidRPr="00EE67C9">
        <w:rPr>
          <w:rFonts w:ascii="Arial" w:hAnsi="Arial" w:cs="Arial"/>
          <w:b/>
          <w:sz w:val="24"/>
          <w:szCs w:val="24"/>
        </w:rPr>
        <w:t xml:space="preserve">: </w:t>
      </w:r>
      <w:r w:rsidR="0007616F" w:rsidRPr="00EE67C9">
        <w:rPr>
          <w:rFonts w:ascii="Arial" w:hAnsi="Arial" w:cs="Arial"/>
          <w:sz w:val="24"/>
          <w:szCs w:val="24"/>
        </w:rPr>
        <w:t>**********</w:t>
      </w:r>
      <w:bookmarkStart w:id="0" w:name="_GoBack"/>
      <w:bookmarkEnd w:id="0"/>
    </w:p>
    <w:p w14:paraId="33704888" w14:textId="77777777" w:rsidR="00FE0CC9" w:rsidRPr="00EE67C9" w:rsidRDefault="00FE0CC9" w:rsidP="00FE0CC9">
      <w:pPr>
        <w:spacing w:line="276" w:lineRule="auto"/>
        <w:ind w:left="4395" w:right="-521"/>
        <w:jc w:val="both"/>
        <w:rPr>
          <w:rFonts w:ascii="Arial" w:hAnsi="Arial" w:cs="Arial"/>
          <w:sz w:val="24"/>
          <w:szCs w:val="24"/>
          <w:lang w:val="es-ES_tradnl" w:eastAsia="es-ES"/>
        </w:rPr>
      </w:pPr>
      <w:r w:rsidRPr="00EE67C9">
        <w:rPr>
          <w:rFonts w:ascii="Arial" w:hAnsi="Arial" w:cs="Arial"/>
          <w:i/>
          <w:sz w:val="24"/>
          <w:szCs w:val="24"/>
          <w:lang w:val="es-ES_tradnl" w:eastAsia="es-ES"/>
        </w:rPr>
        <w:t xml:space="preserve"> </w:t>
      </w:r>
    </w:p>
    <w:p w14:paraId="759B5DC6" w14:textId="346388F2" w:rsidR="00FE0CC9" w:rsidRPr="00EE67C9" w:rsidRDefault="00FE0CC9" w:rsidP="00FE0CC9">
      <w:pPr>
        <w:spacing w:line="276" w:lineRule="auto"/>
        <w:ind w:left="4395" w:right="51"/>
        <w:jc w:val="both"/>
        <w:rPr>
          <w:rFonts w:ascii="Arial" w:hAnsi="Arial" w:cs="Arial"/>
          <w:sz w:val="24"/>
          <w:szCs w:val="24"/>
          <w:lang w:val="es-ES_tradnl" w:eastAsia="es-ES"/>
        </w:rPr>
      </w:pPr>
      <w:r w:rsidRPr="00EE67C9">
        <w:rPr>
          <w:rFonts w:ascii="Arial" w:hAnsi="Arial" w:cs="Arial"/>
          <w:sz w:val="24"/>
          <w:szCs w:val="24"/>
          <w:lang w:val="es-ES_tradnl" w:eastAsia="es-ES"/>
        </w:rPr>
        <w:t xml:space="preserve">AUTORIDADES DEMANDADAS: </w:t>
      </w:r>
      <w:r w:rsidR="00C1342A" w:rsidRPr="00EE67C9">
        <w:rPr>
          <w:rFonts w:ascii="Arial" w:hAnsi="Arial" w:cs="Arial"/>
          <w:sz w:val="24"/>
          <w:szCs w:val="24"/>
        </w:rPr>
        <w:t>**********</w:t>
      </w:r>
      <w:r w:rsidRPr="00EE67C9">
        <w:rPr>
          <w:rFonts w:ascii="Arial" w:hAnsi="Arial" w:cs="Arial"/>
          <w:sz w:val="24"/>
          <w:szCs w:val="24"/>
          <w:lang w:val="es-ES_tradnl" w:eastAsia="es-ES"/>
        </w:rPr>
        <w:t>.</w:t>
      </w:r>
    </w:p>
    <w:p w14:paraId="646962FF" w14:textId="77777777" w:rsidR="00FE0CC9" w:rsidRPr="00EE67C9" w:rsidRDefault="00FE0CC9" w:rsidP="00FE0CC9">
      <w:pPr>
        <w:widowControl w:val="0"/>
        <w:spacing w:line="360" w:lineRule="auto"/>
        <w:ind w:right="51"/>
        <w:jc w:val="both"/>
        <w:rPr>
          <w:rFonts w:ascii="Arial" w:hAnsi="Arial" w:cs="Arial"/>
          <w:sz w:val="24"/>
          <w:szCs w:val="24"/>
          <w:lang w:eastAsia="es-ES"/>
        </w:rPr>
      </w:pPr>
    </w:p>
    <w:p w14:paraId="3A07CA65" w14:textId="77777777" w:rsidR="00FE0CC9" w:rsidRPr="00EE67C9" w:rsidRDefault="00FE0CC9" w:rsidP="00FE0CC9">
      <w:pPr>
        <w:widowControl w:val="0"/>
        <w:spacing w:line="360" w:lineRule="auto"/>
        <w:ind w:right="51"/>
        <w:jc w:val="both"/>
        <w:rPr>
          <w:rFonts w:ascii="Arial" w:hAnsi="Arial" w:cs="Arial"/>
          <w:b/>
          <w:sz w:val="24"/>
          <w:szCs w:val="24"/>
          <w:lang w:eastAsia="es-ES"/>
        </w:rPr>
      </w:pPr>
    </w:p>
    <w:p w14:paraId="57EC64E6" w14:textId="692723E2" w:rsidR="00FE0CC9" w:rsidRPr="00EE67C9" w:rsidRDefault="00FE0CC9" w:rsidP="00FE0CC9">
      <w:pPr>
        <w:widowControl w:val="0"/>
        <w:spacing w:line="360" w:lineRule="auto"/>
        <w:ind w:right="51"/>
        <w:jc w:val="both"/>
        <w:rPr>
          <w:rFonts w:ascii="Arial" w:hAnsi="Arial" w:cs="Arial"/>
          <w:sz w:val="24"/>
          <w:szCs w:val="24"/>
          <w:lang w:eastAsia="es-ES"/>
        </w:rPr>
      </w:pPr>
      <w:r w:rsidRPr="00EE67C9">
        <w:rPr>
          <w:rFonts w:ascii="Arial" w:hAnsi="Arial" w:cs="Arial"/>
          <w:b/>
          <w:sz w:val="24"/>
          <w:szCs w:val="24"/>
          <w:lang w:eastAsia="es-ES"/>
        </w:rPr>
        <w:t xml:space="preserve">OAXACA DE JUÁREZ, OAXACA, DISTRITO DEL CENTRO A TREINTA Y UNO DE MAYO DE DOS MIL DIECINUEVE (31-05-2019). </w:t>
      </w:r>
      <w:r w:rsidRPr="00EE67C9">
        <w:rPr>
          <w:rFonts w:ascii="Arial" w:hAnsi="Arial" w:cs="Arial"/>
          <w:sz w:val="24"/>
          <w:szCs w:val="24"/>
          <w:lang w:eastAsia="es-ES"/>
        </w:rPr>
        <w:t xml:space="preserve">- - - - - - - - - - - - - - - - - - - - - </w:t>
      </w:r>
    </w:p>
    <w:p w14:paraId="22E7AE16" w14:textId="77777777" w:rsidR="00FE0CC9" w:rsidRPr="00EE67C9" w:rsidRDefault="00FE0CC9" w:rsidP="00FE0CC9">
      <w:pPr>
        <w:widowControl w:val="0"/>
        <w:spacing w:line="360" w:lineRule="auto"/>
        <w:ind w:right="51"/>
        <w:jc w:val="both"/>
        <w:rPr>
          <w:rFonts w:ascii="Arial" w:hAnsi="Arial" w:cs="Arial"/>
          <w:sz w:val="24"/>
          <w:szCs w:val="24"/>
          <w:lang w:eastAsia="es-ES"/>
        </w:rPr>
      </w:pPr>
    </w:p>
    <w:p w14:paraId="2D0E565D" w14:textId="1EDD8432" w:rsidR="00FE0CC9" w:rsidRPr="00EE67C9" w:rsidRDefault="00FE0CC9" w:rsidP="00FE0CC9">
      <w:pPr>
        <w:spacing w:line="360" w:lineRule="auto"/>
        <w:ind w:right="51" w:firstLine="708"/>
        <w:jc w:val="both"/>
        <w:rPr>
          <w:rFonts w:ascii="Arial" w:hAnsi="Arial" w:cs="Arial"/>
          <w:sz w:val="24"/>
          <w:szCs w:val="24"/>
          <w:lang w:val="es-ES_tradnl" w:eastAsia="es-ES"/>
        </w:rPr>
      </w:pPr>
      <w:r w:rsidRPr="00EE67C9">
        <w:rPr>
          <w:rFonts w:ascii="Arial" w:hAnsi="Arial" w:cs="Arial"/>
          <w:sz w:val="24"/>
          <w:szCs w:val="24"/>
          <w:lang w:val="es-ES_tradnl" w:eastAsia="es-ES"/>
        </w:rPr>
        <w:t>V I S T O S para resolver los autos del juicio de nulidad  de número  arriba indicado, promovido por</w:t>
      </w:r>
      <w:r w:rsidRPr="00EE67C9">
        <w:rPr>
          <w:rFonts w:ascii="Arial" w:hAnsi="Arial" w:cs="Arial"/>
          <w:b/>
          <w:sz w:val="24"/>
          <w:szCs w:val="24"/>
          <w:lang w:val="es-ES_tradnl" w:eastAsia="es-ES"/>
        </w:rPr>
        <w:t xml:space="preserve">   </w:t>
      </w:r>
      <w:r w:rsidR="00184510" w:rsidRPr="00EE67C9">
        <w:rPr>
          <w:rFonts w:ascii="Arial" w:hAnsi="Arial" w:cs="Arial"/>
          <w:b/>
          <w:sz w:val="24"/>
          <w:szCs w:val="24"/>
        </w:rPr>
        <w:t>**********</w:t>
      </w:r>
      <w:r w:rsidRPr="00EE67C9">
        <w:rPr>
          <w:rFonts w:ascii="Arial" w:hAnsi="Arial" w:cs="Arial"/>
          <w:sz w:val="24"/>
          <w:szCs w:val="24"/>
          <w:lang w:val="es-ES_tradnl" w:eastAsia="es-ES"/>
        </w:rPr>
        <w:t xml:space="preserve">, en contra de la multa por infracción relacionada con la presentación de declaraciones del Impuesto Sobre Erogaciones por Remuneraciones al Trabajo Personal de fecha veintisiete de julio del año dos mil dieciocho (27/07/2018), con número de control </w:t>
      </w:r>
      <w:r w:rsidR="00184510" w:rsidRPr="00EE67C9">
        <w:rPr>
          <w:rFonts w:ascii="Arial" w:hAnsi="Arial" w:cs="Arial"/>
          <w:b/>
          <w:sz w:val="24"/>
          <w:szCs w:val="24"/>
        </w:rPr>
        <w:t>**********</w:t>
      </w:r>
      <w:r w:rsidRPr="00EE67C9">
        <w:rPr>
          <w:rFonts w:ascii="Arial" w:hAnsi="Arial" w:cs="Arial"/>
          <w:sz w:val="24"/>
          <w:szCs w:val="24"/>
          <w:lang w:val="es-ES_tradnl" w:eastAsia="es-ES"/>
        </w:rPr>
        <w:t xml:space="preserve"> signada por la </w:t>
      </w:r>
      <w:r w:rsidR="00184510" w:rsidRPr="00EE67C9">
        <w:rPr>
          <w:rFonts w:ascii="Arial" w:hAnsi="Arial" w:cs="Arial"/>
          <w:b/>
          <w:sz w:val="24"/>
          <w:szCs w:val="24"/>
        </w:rPr>
        <w:t>**********</w:t>
      </w:r>
      <w:r w:rsidRPr="00EE67C9">
        <w:rPr>
          <w:rFonts w:ascii="Arial" w:hAnsi="Arial" w:cs="Arial"/>
          <w:b/>
          <w:sz w:val="24"/>
          <w:szCs w:val="24"/>
          <w:lang w:val="es-ES_tradnl" w:eastAsia="es-ES"/>
        </w:rPr>
        <w:t xml:space="preserve"> </w:t>
      </w:r>
      <w:r w:rsidRPr="00EE67C9">
        <w:rPr>
          <w:rFonts w:ascii="Arial" w:hAnsi="Arial" w:cs="Arial"/>
          <w:sz w:val="24"/>
          <w:szCs w:val="24"/>
          <w:lang w:val="es-ES_tradnl" w:eastAsia="es-ES"/>
        </w:rPr>
        <w:t xml:space="preserve">y;- - - - - - - - - - - - - - - - - - - - - </w:t>
      </w:r>
      <w:r w:rsidR="00EE67C9">
        <w:rPr>
          <w:rFonts w:ascii="Arial" w:hAnsi="Arial" w:cs="Arial"/>
          <w:sz w:val="24"/>
          <w:szCs w:val="24"/>
          <w:lang w:val="es-ES_tradnl" w:eastAsia="es-ES"/>
        </w:rPr>
        <w:t xml:space="preserve">- - - - - - - - - - - - - - - - - - - - - - - - - - </w:t>
      </w:r>
    </w:p>
    <w:p w14:paraId="1A13F57F" w14:textId="77777777" w:rsidR="00FE0CC9" w:rsidRPr="00EE67C9" w:rsidRDefault="00FE0CC9" w:rsidP="00FE0CC9">
      <w:pPr>
        <w:spacing w:line="360" w:lineRule="auto"/>
        <w:ind w:right="51"/>
        <w:jc w:val="both"/>
        <w:rPr>
          <w:rFonts w:ascii="Arial" w:hAnsi="Arial" w:cs="Arial"/>
          <w:sz w:val="24"/>
          <w:szCs w:val="24"/>
          <w:lang w:val="es-ES_tradnl" w:eastAsia="es-ES"/>
        </w:rPr>
      </w:pPr>
    </w:p>
    <w:p w14:paraId="0ABDB619" w14:textId="77777777" w:rsidR="00FE0CC9" w:rsidRPr="00EE67C9" w:rsidRDefault="00FE0CC9" w:rsidP="00FE0CC9">
      <w:pPr>
        <w:spacing w:line="360" w:lineRule="auto"/>
        <w:rPr>
          <w:rFonts w:ascii="Arial" w:hAnsi="Arial" w:cs="Arial"/>
          <w:b/>
          <w:spacing w:val="-3"/>
          <w:sz w:val="24"/>
          <w:szCs w:val="24"/>
          <w:lang w:val="es-ES_tradnl"/>
        </w:rPr>
      </w:pPr>
      <w:r w:rsidRPr="00EE67C9">
        <w:rPr>
          <w:rFonts w:ascii="Arial" w:hAnsi="Arial" w:cs="Arial"/>
          <w:sz w:val="24"/>
          <w:szCs w:val="24"/>
        </w:rPr>
        <w:t xml:space="preserve">                                         </w:t>
      </w:r>
      <w:r w:rsidRPr="00EE67C9">
        <w:rPr>
          <w:rFonts w:ascii="Arial" w:hAnsi="Arial" w:cs="Arial"/>
          <w:b/>
          <w:sz w:val="24"/>
          <w:szCs w:val="24"/>
        </w:rPr>
        <w:t>R E</w:t>
      </w:r>
      <w:r w:rsidRPr="00EE67C9">
        <w:rPr>
          <w:rFonts w:ascii="Arial" w:hAnsi="Arial" w:cs="Arial"/>
          <w:b/>
          <w:spacing w:val="-3"/>
          <w:sz w:val="24"/>
          <w:szCs w:val="24"/>
          <w:lang w:val="es-ES_tradnl"/>
        </w:rPr>
        <w:t xml:space="preserve"> S U L T A N D O:</w:t>
      </w:r>
    </w:p>
    <w:p w14:paraId="2AFF8FF6" w14:textId="77777777" w:rsidR="00FE0CC9" w:rsidRPr="00EE67C9" w:rsidRDefault="00FE0CC9" w:rsidP="00FE0CC9">
      <w:pPr>
        <w:spacing w:line="360" w:lineRule="auto"/>
        <w:rPr>
          <w:rFonts w:ascii="Arial" w:hAnsi="Arial" w:cs="Arial"/>
          <w:sz w:val="24"/>
          <w:szCs w:val="24"/>
        </w:rPr>
      </w:pPr>
    </w:p>
    <w:p w14:paraId="294290A8" w14:textId="41CF73C3" w:rsidR="00FE0CC9" w:rsidRPr="00EE67C9" w:rsidRDefault="00FE0CC9" w:rsidP="00FE0CC9">
      <w:pPr>
        <w:spacing w:line="360" w:lineRule="auto"/>
        <w:jc w:val="both"/>
        <w:rPr>
          <w:rFonts w:ascii="Arial" w:hAnsi="Arial" w:cs="Arial"/>
          <w:sz w:val="24"/>
          <w:szCs w:val="24"/>
        </w:rPr>
      </w:pPr>
      <w:r w:rsidRPr="00EE67C9">
        <w:rPr>
          <w:rFonts w:ascii="Arial" w:hAnsi="Arial" w:cs="Arial"/>
          <w:b/>
          <w:spacing w:val="-3"/>
          <w:sz w:val="24"/>
          <w:szCs w:val="24"/>
          <w:lang w:val="es-ES_tradnl"/>
        </w:rPr>
        <w:t xml:space="preserve">           </w:t>
      </w:r>
      <w:r w:rsidRPr="00EE67C9">
        <w:rPr>
          <w:rFonts w:ascii="Arial" w:hAnsi="Arial" w:cs="Arial"/>
          <w:b/>
          <w:spacing w:val="-3"/>
          <w:sz w:val="24"/>
          <w:szCs w:val="24"/>
          <w:lang w:val="es-ES_tradnl"/>
        </w:rPr>
        <w:tab/>
        <w:t xml:space="preserve">PRIMERO.- </w:t>
      </w:r>
      <w:r w:rsidR="00184510" w:rsidRPr="00EE67C9">
        <w:rPr>
          <w:rFonts w:ascii="Arial" w:hAnsi="Arial" w:cs="Arial"/>
          <w:b/>
          <w:sz w:val="24"/>
          <w:szCs w:val="24"/>
        </w:rPr>
        <w:t>**********</w:t>
      </w:r>
      <w:r w:rsidRPr="00EE67C9">
        <w:rPr>
          <w:rFonts w:ascii="Arial" w:hAnsi="Arial" w:cs="Arial"/>
          <w:b/>
          <w:sz w:val="24"/>
          <w:szCs w:val="24"/>
        </w:rPr>
        <w:t>,</w:t>
      </w:r>
      <w:r w:rsidRPr="00EE67C9">
        <w:rPr>
          <w:rFonts w:ascii="Arial" w:hAnsi="Arial" w:cs="Arial"/>
          <w:spacing w:val="-3"/>
          <w:sz w:val="24"/>
          <w:szCs w:val="24"/>
          <w:lang w:val="es-ES_tradnl"/>
        </w:rPr>
        <w:t xml:space="preserve"> </w:t>
      </w:r>
      <w:r w:rsidRPr="00EE67C9">
        <w:rPr>
          <w:rFonts w:ascii="Arial" w:hAnsi="Arial" w:cs="Arial"/>
          <w:sz w:val="24"/>
          <w:szCs w:val="24"/>
        </w:rPr>
        <w:t xml:space="preserve">quien promueve como apoderada legal de </w:t>
      </w:r>
      <w:r w:rsidR="00184510" w:rsidRPr="00EE67C9">
        <w:rPr>
          <w:rFonts w:ascii="Arial" w:hAnsi="Arial" w:cs="Arial"/>
          <w:b/>
          <w:sz w:val="24"/>
          <w:szCs w:val="24"/>
        </w:rPr>
        <w:t>**********</w:t>
      </w:r>
      <w:r w:rsidRPr="00EE67C9">
        <w:rPr>
          <w:rFonts w:ascii="Arial" w:hAnsi="Arial" w:cs="Arial"/>
          <w:spacing w:val="-3"/>
          <w:sz w:val="24"/>
          <w:szCs w:val="24"/>
          <w:lang w:val="es-ES_tradnl"/>
        </w:rPr>
        <w:t xml:space="preserve">, por medio de su </w:t>
      </w:r>
      <w:r w:rsidRPr="00EE67C9">
        <w:rPr>
          <w:rFonts w:ascii="Arial" w:hAnsi="Arial" w:cs="Arial"/>
          <w:sz w:val="24"/>
          <w:szCs w:val="24"/>
          <w:lang w:val="es-MX"/>
        </w:rPr>
        <w:t>escrito recibido el dieciocho de septiembre del año dos mil dieciocho (18/09/2018), e</w:t>
      </w:r>
      <w:r w:rsidRPr="00EE67C9">
        <w:rPr>
          <w:rFonts w:ascii="Arial" w:hAnsi="Arial" w:cs="Arial"/>
          <w:sz w:val="24"/>
          <w:szCs w:val="24"/>
        </w:rPr>
        <w:t>n la Oficialía de Partes Común de este Tribunal de Justicia Administrativa del Estado de Oaxaca</w:t>
      </w:r>
      <w:r w:rsidRPr="00EE67C9">
        <w:rPr>
          <w:rFonts w:ascii="Arial" w:hAnsi="Arial" w:cs="Arial"/>
          <w:sz w:val="24"/>
          <w:szCs w:val="24"/>
          <w:lang w:val="es-MX"/>
        </w:rPr>
        <w:t>,</w:t>
      </w:r>
      <w:r w:rsidRPr="00EE67C9">
        <w:rPr>
          <w:rFonts w:ascii="Arial" w:hAnsi="Arial" w:cs="Arial"/>
          <w:sz w:val="24"/>
          <w:szCs w:val="24"/>
        </w:rPr>
        <w:t xml:space="preserve"> </w:t>
      </w:r>
      <w:r w:rsidRPr="00EE67C9">
        <w:rPr>
          <w:rFonts w:ascii="Arial" w:hAnsi="Arial" w:cs="Arial"/>
          <w:b/>
          <w:sz w:val="24"/>
          <w:szCs w:val="24"/>
        </w:rPr>
        <w:t xml:space="preserve">demandó la nulidad de la multa por infracción relacionada con la presentación de declaraciones del Impuesto Sobre Erogaciones por Remuneraciones al Trabajo Personal, con número de control </w:t>
      </w:r>
      <w:r w:rsidR="00184510" w:rsidRPr="00EE67C9">
        <w:rPr>
          <w:rFonts w:ascii="Arial" w:hAnsi="Arial" w:cs="Arial"/>
          <w:b/>
          <w:sz w:val="24"/>
          <w:szCs w:val="24"/>
        </w:rPr>
        <w:t>**********</w:t>
      </w:r>
      <w:r w:rsidRPr="00EE67C9">
        <w:rPr>
          <w:rFonts w:ascii="Arial" w:hAnsi="Arial" w:cs="Arial"/>
          <w:sz w:val="24"/>
          <w:szCs w:val="24"/>
        </w:rPr>
        <w:t xml:space="preserve"> </w:t>
      </w:r>
      <w:r w:rsidRPr="00EE67C9">
        <w:rPr>
          <w:rFonts w:ascii="Arial" w:hAnsi="Arial" w:cs="Arial"/>
          <w:b/>
          <w:sz w:val="24"/>
          <w:szCs w:val="24"/>
        </w:rPr>
        <w:t xml:space="preserve"> de fecha veintisiete de julio del año dos mil dieciocho (27/07/2018), signada por la </w:t>
      </w:r>
      <w:r w:rsidR="00184510" w:rsidRPr="00EE67C9">
        <w:rPr>
          <w:rFonts w:ascii="Arial" w:hAnsi="Arial" w:cs="Arial"/>
          <w:b/>
          <w:sz w:val="24"/>
          <w:szCs w:val="24"/>
        </w:rPr>
        <w:t>**********</w:t>
      </w:r>
      <w:r w:rsidRPr="00EE67C9">
        <w:rPr>
          <w:rFonts w:ascii="Arial" w:hAnsi="Arial" w:cs="Arial"/>
          <w:sz w:val="24"/>
          <w:szCs w:val="24"/>
        </w:rPr>
        <w:t xml:space="preserve">. - - - - - - - - </w:t>
      </w:r>
      <w:r w:rsidR="00EE67C9" w:rsidRPr="00EE67C9">
        <w:rPr>
          <w:rFonts w:ascii="Arial" w:hAnsi="Arial" w:cs="Arial"/>
          <w:sz w:val="24"/>
          <w:szCs w:val="24"/>
          <w:lang w:val="es-ES_tradnl" w:eastAsia="es-ES"/>
        </w:rPr>
        <w:t xml:space="preserve">- - - - - - - - - - - </w:t>
      </w:r>
      <w:r w:rsidR="00EE67C9">
        <w:rPr>
          <w:rFonts w:ascii="Arial" w:hAnsi="Arial" w:cs="Arial"/>
          <w:sz w:val="24"/>
          <w:szCs w:val="24"/>
          <w:lang w:val="es-ES_tradnl" w:eastAsia="es-ES"/>
        </w:rPr>
        <w:t xml:space="preserve">- - - - </w:t>
      </w:r>
    </w:p>
    <w:p w14:paraId="79B45106" w14:textId="77777777" w:rsidR="00FE0CC9" w:rsidRPr="00EE67C9" w:rsidRDefault="00FE0CC9" w:rsidP="00FE0CC9">
      <w:pPr>
        <w:spacing w:line="360" w:lineRule="auto"/>
        <w:jc w:val="both"/>
        <w:rPr>
          <w:rFonts w:ascii="Arial" w:hAnsi="Arial" w:cs="Arial"/>
          <w:sz w:val="24"/>
          <w:szCs w:val="24"/>
        </w:rPr>
      </w:pPr>
    </w:p>
    <w:p w14:paraId="159544C6" w14:textId="57B8C755" w:rsidR="00FE0CC9" w:rsidRPr="00EE67C9" w:rsidRDefault="00FE0CC9" w:rsidP="00FE0CC9">
      <w:pPr>
        <w:spacing w:line="360" w:lineRule="auto"/>
        <w:jc w:val="both"/>
        <w:rPr>
          <w:rFonts w:ascii="Arial" w:hAnsi="Arial" w:cs="Arial"/>
          <w:sz w:val="24"/>
          <w:szCs w:val="24"/>
        </w:rPr>
      </w:pPr>
      <w:r w:rsidRPr="00EE67C9">
        <w:rPr>
          <w:rFonts w:ascii="Arial" w:hAnsi="Arial" w:cs="Arial"/>
          <w:b/>
          <w:sz w:val="24"/>
          <w:szCs w:val="24"/>
        </w:rPr>
        <w:t xml:space="preserve">          SEGUNDO.-</w:t>
      </w:r>
      <w:r w:rsidRPr="00EE67C9">
        <w:rPr>
          <w:rFonts w:ascii="Arial" w:hAnsi="Arial" w:cs="Arial"/>
          <w:sz w:val="24"/>
          <w:szCs w:val="24"/>
        </w:rPr>
        <w:t xml:space="preserve"> Esta Quinta Sala Unitaria de Primera Instancia del Tribunal de Justicia Administrativa del Estado de Oaxaca, </w:t>
      </w:r>
      <w:r w:rsidRPr="00EE67C9">
        <w:rPr>
          <w:rFonts w:ascii="Arial" w:hAnsi="Arial" w:cs="Arial"/>
          <w:bCs/>
          <w:sz w:val="24"/>
          <w:szCs w:val="24"/>
        </w:rPr>
        <w:t xml:space="preserve">por auto de fecha veinticuatro de  septiembre del año dos mil dieciocho (24/09/2018) </w:t>
      </w:r>
      <w:r w:rsidRPr="00EE67C9">
        <w:rPr>
          <w:rFonts w:ascii="Arial" w:hAnsi="Arial" w:cs="Arial"/>
          <w:sz w:val="24"/>
          <w:szCs w:val="24"/>
        </w:rPr>
        <w:t xml:space="preserve">admitió a trámite la demanda interpuesta, ordenándose notificar, correr traslado, emplazar y apercibir a la autoridad demandada </w:t>
      </w:r>
      <w:r w:rsidR="00184510" w:rsidRPr="00EE67C9">
        <w:rPr>
          <w:rFonts w:ascii="Arial" w:hAnsi="Arial" w:cs="Arial"/>
          <w:b/>
          <w:sz w:val="24"/>
          <w:szCs w:val="24"/>
        </w:rPr>
        <w:t>**********</w:t>
      </w:r>
      <w:r w:rsidRPr="00EE67C9">
        <w:rPr>
          <w:rFonts w:ascii="Arial" w:hAnsi="Arial" w:cs="Arial"/>
          <w:sz w:val="24"/>
          <w:szCs w:val="24"/>
        </w:rPr>
        <w:t xml:space="preserve">, para que produjera su contestación en los términos de ley. - - - - - - - - - - - - - - - - - - - - - - - - - - - - - - - - - - </w:t>
      </w:r>
      <w:r w:rsidR="00EE67C9" w:rsidRPr="00EE67C9">
        <w:rPr>
          <w:rFonts w:ascii="Arial" w:hAnsi="Arial" w:cs="Arial"/>
          <w:sz w:val="24"/>
          <w:szCs w:val="24"/>
          <w:lang w:val="es-ES_tradnl" w:eastAsia="es-ES"/>
        </w:rPr>
        <w:t xml:space="preserve">- - - - - - - - - - - </w:t>
      </w:r>
      <w:r w:rsidR="00EE67C9">
        <w:rPr>
          <w:rFonts w:ascii="Arial" w:hAnsi="Arial" w:cs="Arial"/>
          <w:sz w:val="24"/>
          <w:szCs w:val="24"/>
          <w:lang w:val="es-ES_tradnl" w:eastAsia="es-ES"/>
        </w:rPr>
        <w:t xml:space="preserve">- - - </w:t>
      </w:r>
    </w:p>
    <w:p w14:paraId="1A7C217F" w14:textId="77777777" w:rsidR="00FE0CC9" w:rsidRPr="00EE67C9" w:rsidRDefault="00FE0CC9" w:rsidP="00FE0CC9">
      <w:pPr>
        <w:spacing w:line="360" w:lineRule="auto"/>
        <w:jc w:val="both"/>
        <w:rPr>
          <w:rFonts w:ascii="Arial" w:hAnsi="Arial" w:cs="Arial"/>
          <w:sz w:val="22"/>
          <w:szCs w:val="22"/>
        </w:rPr>
      </w:pPr>
    </w:p>
    <w:p w14:paraId="271DB624" w14:textId="04A2D6EA" w:rsidR="00FE0CC9" w:rsidRPr="00EE67C9" w:rsidRDefault="00FE0CC9" w:rsidP="00FE0CC9">
      <w:pPr>
        <w:spacing w:line="360" w:lineRule="auto"/>
        <w:jc w:val="both"/>
        <w:rPr>
          <w:rFonts w:ascii="Arial" w:hAnsi="Arial" w:cs="Arial"/>
          <w:bCs/>
          <w:sz w:val="24"/>
          <w:szCs w:val="24"/>
        </w:rPr>
      </w:pPr>
      <w:r w:rsidRPr="00EE67C9">
        <w:rPr>
          <w:rFonts w:ascii="Arial" w:hAnsi="Arial" w:cs="Arial"/>
          <w:b/>
          <w:sz w:val="24"/>
          <w:szCs w:val="24"/>
        </w:rPr>
        <w:t xml:space="preserve">          TERCERO.- </w:t>
      </w:r>
      <w:r w:rsidRPr="00EE67C9">
        <w:rPr>
          <w:rFonts w:ascii="Arial" w:hAnsi="Arial" w:cs="Arial"/>
          <w:bCs/>
          <w:sz w:val="24"/>
          <w:szCs w:val="24"/>
        </w:rPr>
        <w:t xml:space="preserve">Por acuerdo de fecha  veintiséis de octubre del año dos mil dieciocho (26/10/2018), se tuvo a </w:t>
      </w:r>
      <w:r w:rsidR="00184510" w:rsidRPr="00EE67C9">
        <w:rPr>
          <w:rFonts w:ascii="Arial" w:hAnsi="Arial" w:cs="Arial"/>
          <w:b/>
          <w:sz w:val="24"/>
          <w:szCs w:val="24"/>
        </w:rPr>
        <w:t>**********</w:t>
      </w:r>
      <w:r w:rsidRPr="00EE67C9">
        <w:rPr>
          <w:rFonts w:ascii="Arial" w:hAnsi="Arial" w:cs="Arial"/>
          <w:b/>
          <w:sz w:val="24"/>
          <w:szCs w:val="24"/>
        </w:rPr>
        <w:t>,</w:t>
      </w:r>
      <w:r w:rsidRPr="00EE67C9">
        <w:rPr>
          <w:rFonts w:ascii="Arial" w:hAnsi="Arial" w:cs="Arial"/>
          <w:bCs/>
          <w:sz w:val="24"/>
          <w:szCs w:val="24"/>
        </w:rPr>
        <w:t xml:space="preserve"> reconociéndole su personalidad en el juicio y por contestada la demanda, haciendo valer sus argumentos, defensas y </w:t>
      </w:r>
      <w:r w:rsidRPr="00EE67C9">
        <w:rPr>
          <w:rFonts w:ascii="Arial" w:hAnsi="Arial" w:cs="Arial"/>
          <w:bCs/>
          <w:sz w:val="24"/>
          <w:szCs w:val="24"/>
        </w:rPr>
        <w:lastRenderedPageBreak/>
        <w:t xml:space="preserve">ofreciendo pruebas, </w:t>
      </w:r>
      <w:r w:rsidRPr="00EE67C9">
        <w:rPr>
          <w:rFonts w:ascii="Arial" w:hAnsi="Arial" w:cs="Arial"/>
          <w:sz w:val="24"/>
          <w:szCs w:val="24"/>
        </w:rPr>
        <w:t xml:space="preserve">ordenándose correr traslado al actor de la contestación de demanda para que ampliara su demanda y  manifestara lo que a su derecho conviniera. - - - - - - - - - - - - - - - - - - - - - - - - - - - - </w:t>
      </w:r>
      <w:r w:rsidR="00EE67C9" w:rsidRPr="00EE67C9">
        <w:rPr>
          <w:rFonts w:ascii="Arial" w:hAnsi="Arial" w:cs="Arial"/>
          <w:sz w:val="24"/>
          <w:szCs w:val="24"/>
          <w:lang w:val="es-ES_tradnl" w:eastAsia="es-ES"/>
        </w:rPr>
        <w:t xml:space="preserve">- - - - - - - - - - - </w:t>
      </w:r>
      <w:r w:rsidR="00EE67C9">
        <w:rPr>
          <w:rFonts w:ascii="Arial" w:hAnsi="Arial" w:cs="Arial"/>
          <w:sz w:val="24"/>
          <w:szCs w:val="24"/>
          <w:lang w:val="es-ES_tradnl" w:eastAsia="es-ES"/>
        </w:rPr>
        <w:t xml:space="preserve">- - - - - - - - - - - - - </w:t>
      </w:r>
    </w:p>
    <w:p w14:paraId="39E154FA" w14:textId="77777777" w:rsidR="00FE0CC9" w:rsidRPr="00EE67C9" w:rsidRDefault="00FE0CC9" w:rsidP="00FE0CC9">
      <w:pPr>
        <w:spacing w:line="360" w:lineRule="auto"/>
        <w:jc w:val="both"/>
        <w:rPr>
          <w:rFonts w:ascii="Arial" w:hAnsi="Arial" w:cs="Arial"/>
          <w:bCs/>
          <w:sz w:val="24"/>
          <w:szCs w:val="24"/>
        </w:rPr>
      </w:pPr>
    </w:p>
    <w:p w14:paraId="1485C2C1" w14:textId="7CE44FED" w:rsidR="00FE0CC9" w:rsidRPr="00EE67C9" w:rsidRDefault="00FE0CC9" w:rsidP="00FE0CC9">
      <w:pPr>
        <w:spacing w:line="360" w:lineRule="auto"/>
        <w:jc w:val="both"/>
        <w:rPr>
          <w:rFonts w:ascii="Arial" w:hAnsi="Arial" w:cs="Arial"/>
          <w:sz w:val="24"/>
          <w:szCs w:val="24"/>
        </w:rPr>
      </w:pPr>
      <w:r w:rsidRPr="00EE67C9">
        <w:rPr>
          <w:rFonts w:ascii="Arial" w:hAnsi="Arial" w:cs="Arial"/>
          <w:b/>
          <w:sz w:val="24"/>
          <w:szCs w:val="24"/>
        </w:rPr>
        <w:t xml:space="preserve">         CUARTO.- </w:t>
      </w:r>
      <w:r w:rsidRPr="00EE67C9">
        <w:rPr>
          <w:rFonts w:ascii="Arial" w:hAnsi="Arial" w:cs="Arial"/>
          <w:sz w:val="24"/>
          <w:szCs w:val="24"/>
        </w:rPr>
        <w:t>P</w:t>
      </w:r>
      <w:r w:rsidRPr="00EE67C9">
        <w:rPr>
          <w:rFonts w:ascii="Arial" w:hAnsi="Arial" w:cs="Arial"/>
          <w:bCs/>
          <w:sz w:val="24"/>
          <w:szCs w:val="24"/>
        </w:rPr>
        <w:t xml:space="preserve">or auto de fecha veintiséis de octubre del año dos mil dieciocho (26/10/2018), en virtud de que el actor no amplió su demanda en dentro del plazo concedido, se </w:t>
      </w:r>
      <w:r w:rsidRPr="00EE67C9">
        <w:rPr>
          <w:rFonts w:ascii="Arial" w:hAnsi="Arial" w:cs="Arial"/>
          <w:sz w:val="24"/>
          <w:szCs w:val="24"/>
        </w:rPr>
        <w:t xml:space="preserve">declaró precluido su derecho. Señalándose </w:t>
      </w:r>
      <w:r w:rsidRPr="00EE67C9">
        <w:rPr>
          <w:rFonts w:ascii="Arial" w:hAnsi="Arial" w:cs="Arial"/>
          <w:bCs/>
          <w:sz w:val="24"/>
          <w:szCs w:val="24"/>
        </w:rPr>
        <w:t xml:space="preserve">día y hora para que tuviera verificativo la audiencia final. - - - - - - - - - - - - - - - - - - - - - - - - - - - - - - - - - - </w:t>
      </w:r>
    </w:p>
    <w:p w14:paraId="6A8D27F9" w14:textId="77777777" w:rsidR="00FE0CC9" w:rsidRPr="00EE67C9" w:rsidRDefault="00FE0CC9" w:rsidP="00FE0CC9">
      <w:pPr>
        <w:spacing w:line="360" w:lineRule="auto"/>
        <w:jc w:val="both"/>
        <w:rPr>
          <w:rFonts w:ascii="Arial" w:hAnsi="Arial" w:cs="Arial"/>
          <w:bCs/>
          <w:sz w:val="24"/>
          <w:szCs w:val="24"/>
        </w:rPr>
      </w:pPr>
    </w:p>
    <w:p w14:paraId="44436EB2" w14:textId="761B8960" w:rsidR="00FE0CC9" w:rsidRPr="00EE67C9" w:rsidRDefault="00FE0CC9" w:rsidP="00FE0CC9">
      <w:pPr>
        <w:spacing w:line="360" w:lineRule="auto"/>
        <w:ind w:right="51" w:firstLine="567"/>
        <w:jc w:val="both"/>
        <w:rPr>
          <w:rFonts w:ascii="Arial" w:hAnsi="Arial" w:cs="Arial"/>
          <w:bCs/>
          <w:sz w:val="24"/>
          <w:szCs w:val="24"/>
        </w:rPr>
      </w:pPr>
      <w:r w:rsidRPr="00EE67C9">
        <w:rPr>
          <w:rFonts w:ascii="Arial" w:hAnsi="Arial" w:cs="Arial"/>
          <w:b/>
          <w:bCs/>
          <w:sz w:val="24"/>
          <w:szCs w:val="24"/>
        </w:rPr>
        <w:t xml:space="preserve">QUINTO.- </w:t>
      </w:r>
      <w:r w:rsidRPr="00EE67C9">
        <w:rPr>
          <w:rFonts w:ascii="Arial" w:hAnsi="Arial" w:cs="Arial"/>
          <w:bCs/>
          <w:sz w:val="24"/>
          <w:szCs w:val="24"/>
        </w:rPr>
        <w:t xml:space="preserve">El día veintiuno de noviembre del año dos mil dieciocho (21/11/2018), se llevó a cabo la audiencia final, sin asistencia de las partes, ni persona alguna que legalmente las representara, en la cual se desahogaron las pruebas ofrecidas y admitidas en el juicio; dando cuenta la Secretaria de Acuerdos que ninguna de las partes formulo alegatos y al no existir cuestión alguna pendiente por desahogar se ordenó turnar los autos para el dictado de la sentencia correspondiente, la que ahora se pronuncia, y; - - - - - - - - - - - - - - - - - - </w:t>
      </w:r>
    </w:p>
    <w:p w14:paraId="69FA8A70" w14:textId="77777777" w:rsidR="00FE0CC9" w:rsidRPr="00EE67C9" w:rsidRDefault="00FE0CC9" w:rsidP="00FE0CC9">
      <w:pPr>
        <w:spacing w:line="360" w:lineRule="auto"/>
        <w:ind w:right="51" w:firstLine="567"/>
        <w:jc w:val="both"/>
        <w:rPr>
          <w:rFonts w:ascii="Arial" w:hAnsi="Arial" w:cs="Arial"/>
          <w:bCs/>
          <w:sz w:val="24"/>
          <w:szCs w:val="24"/>
        </w:rPr>
      </w:pPr>
    </w:p>
    <w:p w14:paraId="047F9AA2" w14:textId="77777777" w:rsidR="00FE0CC9" w:rsidRPr="00EE67C9" w:rsidRDefault="00FE0CC9" w:rsidP="00FE0CC9">
      <w:pPr>
        <w:spacing w:line="360" w:lineRule="auto"/>
        <w:ind w:right="51" w:firstLine="567"/>
        <w:jc w:val="both"/>
        <w:rPr>
          <w:rFonts w:ascii="Arial" w:hAnsi="Arial" w:cs="Arial"/>
          <w:bCs/>
          <w:sz w:val="24"/>
          <w:szCs w:val="24"/>
        </w:rPr>
      </w:pPr>
    </w:p>
    <w:p w14:paraId="4B9DDA7B" w14:textId="77777777" w:rsidR="00FE0CC9" w:rsidRPr="00EE67C9" w:rsidRDefault="00FE0CC9" w:rsidP="00FE0CC9">
      <w:pPr>
        <w:spacing w:line="360" w:lineRule="auto"/>
        <w:jc w:val="both"/>
        <w:rPr>
          <w:rFonts w:ascii="Arial" w:hAnsi="Arial" w:cs="Arial"/>
          <w:b/>
          <w:spacing w:val="-3"/>
          <w:sz w:val="24"/>
          <w:szCs w:val="24"/>
          <w:lang w:val="es-ES_tradnl"/>
        </w:rPr>
      </w:pPr>
      <w:r w:rsidRPr="00EE67C9">
        <w:rPr>
          <w:rFonts w:ascii="Arial" w:hAnsi="Arial" w:cs="Arial"/>
          <w:b/>
          <w:spacing w:val="-3"/>
          <w:sz w:val="24"/>
          <w:szCs w:val="24"/>
          <w:lang w:val="es-ES_tradnl"/>
        </w:rPr>
        <w:t xml:space="preserve"> </w:t>
      </w:r>
      <w:r w:rsidRPr="00EE67C9">
        <w:rPr>
          <w:rFonts w:ascii="Arial" w:hAnsi="Arial" w:cs="Arial"/>
          <w:b/>
          <w:spacing w:val="-3"/>
          <w:sz w:val="24"/>
          <w:szCs w:val="24"/>
          <w:lang w:val="es-ES_tradnl"/>
        </w:rPr>
        <w:tab/>
      </w:r>
      <w:r w:rsidRPr="00EE67C9">
        <w:rPr>
          <w:rFonts w:ascii="Arial" w:hAnsi="Arial" w:cs="Arial"/>
          <w:b/>
          <w:spacing w:val="-3"/>
          <w:sz w:val="24"/>
          <w:szCs w:val="24"/>
          <w:lang w:val="es-ES_tradnl"/>
        </w:rPr>
        <w:tab/>
      </w:r>
      <w:r w:rsidRPr="00EE67C9">
        <w:rPr>
          <w:rFonts w:ascii="Arial" w:hAnsi="Arial" w:cs="Arial"/>
          <w:b/>
          <w:spacing w:val="-3"/>
          <w:sz w:val="24"/>
          <w:szCs w:val="24"/>
          <w:lang w:val="es-ES_tradnl"/>
        </w:rPr>
        <w:tab/>
      </w:r>
      <w:r w:rsidRPr="00EE67C9">
        <w:rPr>
          <w:rFonts w:ascii="Arial" w:hAnsi="Arial" w:cs="Arial"/>
          <w:b/>
          <w:spacing w:val="-3"/>
          <w:sz w:val="24"/>
          <w:szCs w:val="24"/>
          <w:lang w:val="es-ES_tradnl"/>
        </w:rPr>
        <w:tab/>
        <w:t>C O N S I D E R A N D O:</w:t>
      </w:r>
    </w:p>
    <w:p w14:paraId="01D37AD4" w14:textId="77777777" w:rsidR="00FE0CC9" w:rsidRPr="00EE67C9" w:rsidRDefault="00FE0CC9" w:rsidP="00FE0CC9">
      <w:pPr>
        <w:spacing w:line="360" w:lineRule="auto"/>
        <w:jc w:val="right"/>
        <w:rPr>
          <w:rFonts w:ascii="Arial" w:hAnsi="Arial" w:cs="Arial"/>
          <w:b/>
          <w:spacing w:val="-3"/>
          <w:sz w:val="24"/>
          <w:szCs w:val="24"/>
          <w:lang w:val="es-ES_tradnl"/>
        </w:rPr>
      </w:pPr>
    </w:p>
    <w:p w14:paraId="291BB7D6" w14:textId="197214D3" w:rsidR="00FE0CC9" w:rsidRPr="00EE67C9" w:rsidRDefault="00FE0CC9" w:rsidP="00FE0CC9">
      <w:pPr>
        <w:spacing w:line="360" w:lineRule="auto"/>
        <w:ind w:hanging="426"/>
        <w:jc w:val="both"/>
        <w:rPr>
          <w:rFonts w:ascii="Arial" w:hAnsi="Arial" w:cs="Arial"/>
          <w:sz w:val="24"/>
          <w:szCs w:val="24"/>
        </w:rPr>
      </w:pPr>
      <w:r w:rsidRPr="00EE67C9">
        <w:rPr>
          <w:rFonts w:ascii="Arial" w:hAnsi="Arial" w:cs="Arial"/>
          <w:b/>
          <w:sz w:val="24"/>
          <w:szCs w:val="24"/>
          <w:lang w:val="es-ES_tradnl"/>
        </w:rPr>
        <w:tab/>
        <w:t xml:space="preserve">          </w:t>
      </w:r>
      <w:r w:rsidRPr="00EE67C9">
        <w:rPr>
          <w:rFonts w:ascii="Arial" w:hAnsi="Arial" w:cs="Arial"/>
          <w:b/>
          <w:sz w:val="24"/>
          <w:szCs w:val="24"/>
        </w:rPr>
        <w:t xml:space="preserve">PRIMERO.- </w:t>
      </w:r>
      <w:r w:rsidRPr="00EE67C9">
        <w:rPr>
          <w:rFonts w:ascii="Arial" w:hAnsi="Arial" w:cs="Arial"/>
          <w:sz w:val="24"/>
          <w:szCs w:val="24"/>
        </w:rPr>
        <w:t xml:space="preserve">Esta Quinta Sala Unitaria de Primera Instancia del Tribunal de Justicia Administrativa del Estado de Oaxaca, es competente para conocer y resolver el presente juicio de nulidad promovido en contra de una resolución atribuida a una autoridad administrativa de carácter Estatal, con fundamento en el artículo 114 QUATER, párrafo primero, inciso B, de la Constitución Política del Estado Libre y Soberano de Oaxaca; 146 y 147 de la Ley de Procedimiento y Justicia Administrativa para el Estado de Oaxaca. - - - - - - - - - - - - - - - - - - - - - - - - </w:t>
      </w:r>
    </w:p>
    <w:p w14:paraId="276855A7" w14:textId="77777777" w:rsidR="00FE0CC9" w:rsidRPr="00EE67C9" w:rsidRDefault="00FE0CC9" w:rsidP="00FE0CC9">
      <w:pPr>
        <w:spacing w:line="360" w:lineRule="auto"/>
        <w:ind w:hanging="426"/>
        <w:jc w:val="both"/>
        <w:rPr>
          <w:rFonts w:ascii="Arial" w:hAnsi="Arial" w:cs="Arial"/>
          <w:sz w:val="24"/>
          <w:szCs w:val="24"/>
        </w:rPr>
      </w:pPr>
    </w:p>
    <w:p w14:paraId="68AAA807" w14:textId="2E4E3A6B" w:rsidR="00FE0CC9" w:rsidRPr="00EE67C9" w:rsidRDefault="00FE0CC9" w:rsidP="00FE0CC9">
      <w:pPr>
        <w:spacing w:line="360" w:lineRule="auto"/>
        <w:jc w:val="both"/>
        <w:rPr>
          <w:rFonts w:ascii="Arial" w:hAnsi="Arial" w:cs="Arial"/>
          <w:sz w:val="24"/>
          <w:szCs w:val="24"/>
        </w:rPr>
      </w:pPr>
      <w:r w:rsidRPr="00EE67C9">
        <w:rPr>
          <w:rFonts w:ascii="Arial" w:hAnsi="Arial" w:cs="Arial"/>
          <w:b/>
          <w:snapToGrid w:val="0"/>
          <w:sz w:val="24"/>
          <w:szCs w:val="24"/>
        </w:rPr>
        <w:t xml:space="preserve">         SEGUNDO.- </w:t>
      </w:r>
      <w:r w:rsidRPr="00EE67C9">
        <w:rPr>
          <w:rFonts w:ascii="Arial" w:hAnsi="Arial" w:cs="Arial"/>
          <w:sz w:val="24"/>
          <w:szCs w:val="24"/>
        </w:rPr>
        <w:t xml:space="preserve">La personalidad de las partes quedó acreditada en autos, en términos del artículo </w:t>
      </w:r>
      <w:r w:rsidRPr="00EE67C9">
        <w:rPr>
          <w:rFonts w:ascii="Arial" w:hAnsi="Arial" w:cs="Arial"/>
          <w:snapToGrid w:val="0"/>
          <w:sz w:val="24"/>
          <w:szCs w:val="24"/>
        </w:rPr>
        <w:t>150 de la Ley de Procedimiento y Justicia Administrativa para el Estado de Oaxaca,</w:t>
      </w:r>
      <w:r w:rsidRPr="00EE67C9">
        <w:rPr>
          <w:rFonts w:ascii="Arial" w:hAnsi="Arial" w:cs="Arial"/>
          <w:snapToGrid w:val="0"/>
          <w:sz w:val="23"/>
          <w:szCs w:val="23"/>
        </w:rPr>
        <w:t xml:space="preserve"> </w:t>
      </w:r>
      <w:r w:rsidRPr="00EE67C9">
        <w:rPr>
          <w:rFonts w:ascii="Arial" w:hAnsi="Arial" w:cs="Arial"/>
          <w:sz w:val="24"/>
          <w:szCs w:val="24"/>
        </w:rPr>
        <w:t xml:space="preserve">ya que el actor promueve  como apoderado legal exhibiendo, y la autoridad enjuiciada a través de la </w:t>
      </w:r>
      <w:r w:rsidR="00184510" w:rsidRPr="00EE67C9">
        <w:rPr>
          <w:rFonts w:ascii="Arial" w:hAnsi="Arial" w:cs="Arial"/>
          <w:b/>
          <w:sz w:val="24"/>
          <w:szCs w:val="24"/>
        </w:rPr>
        <w:t>**********</w:t>
      </w:r>
      <w:r w:rsidRPr="00EE67C9">
        <w:rPr>
          <w:rFonts w:ascii="Arial" w:hAnsi="Arial" w:cs="Arial"/>
          <w:sz w:val="24"/>
          <w:szCs w:val="24"/>
        </w:rPr>
        <w:t xml:space="preserve">, y para lo cual exhibió copia debidamente certificada de su nombramiento, documentales que adquieren valor probatorio pleno en términos del artículo 203 fracción I, de la Ley que rige a este Tribunal. - - - - - - - - - - - - - - - - - - - - - - - - - - - - </w:t>
      </w:r>
      <w:r w:rsidR="00EE67C9" w:rsidRPr="00EE67C9">
        <w:rPr>
          <w:rFonts w:ascii="Arial" w:hAnsi="Arial" w:cs="Arial"/>
          <w:sz w:val="24"/>
          <w:szCs w:val="24"/>
          <w:lang w:val="es-ES_tradnl" w:eastAsia="es-ES"/>
        </w:rPr>
        <w:t xml:space="preserve">- - - - - - - - - - - </w:t>
      </w:r>
      <w:r w:rsidR="00EE67C9">
        <w:rPr>
          <w:rFonts w:ascii="Arial" w:hAnsi="Arial" w:cs="Arial"/>
          <w:sz w:val="24"/>
          <w:szCs w:val="24"/>
          <w:lang w:val="es-ES_tradnl" w:eastAsia="es-ES"/>
        </w:rPr>
        <w:t xml:space="preserve">- - - - - - - - - - - </w:t>
      </w:r>
    </w:p>
    <w:p w14:paraId="75FD15DE" w14:textId="77777777" w:rsidR="00FE0CC9" w:rsidRPr="00EE67C9" w:rsidRDefault="00FE0CC9" w:rsidP="00FE0CC9">
      <w:pPr>
        <w:spacing w:line="360" w:lineRule="auto"/>
        <w:ind w:right="51"/>
        <w:jc w:val="both"/>
        <w:rPr>
          <w:rFonts w:ascii="Arial" w:hAnsi="Arial" w:cs="Arial"/>
          <w:sz w:val="24"/>
          <w:szCs w:val="24"/>
          <w:lang w:val="es-ES_tradnl" w:eastAsia="es-ES"/>
        </w:rPr>
      </w:pPr>
      <w:r w:rsidRPr="00EE67C9">
        <w:rPr>
          <w:rFonts w:ascii="Arial" w:hAnsi="Arial" w:cs="Arial"/>
          <w:b/>
          <w:snapToGrid w:val="0"/>
          <w:sz w:val="24"/>
          <w:szCs w:val="24"/>
          <w:lang w:val="es-ES_tradnl" w:eastAsia="es-ES"/>
        </w:rPr>
        <w:t xml:space="preserve">            </w:t>
      </w:r>
    </w:p>
    <w:p w14:paraId="6C87302A" w14:textId="77777777" w:rsidR="00FE0CC9" w:rsidRPr="00EE67C9" w:rsidRDefault="00FE0CC9" w:rsidP="00FE0CC9">
      <w:pPr>
        <w:spacing w:line="360" w:lineRule="auto"/>
        <w:ind w:right="51"/>
        <w:jc w:val="both"/>
        <w:rPr>
          <w:rFonts w:ascii="Arial" w:hAnsi="Arial" w:cs="Arial"/>
          <w:sz w:val="24"/>
          <w:szCs w:val="24"/>
          <w:lang w:val="es-ES_tradnl" w:eastAsia="es-ES"/>
        </w:rPr>
      </w:pPr>
      <w:r w:rsidRPr="00EE67C9">
        <w:rPr>
          <w:rFonts w:ascii="Arial" w:hAnsi="Arial" w:cs="Arial"/>
          <w:b/>
          <w:sz w:val="24"/>
          <w:szCs w:val="24"/>
          <w:lang w:val="es-ES_tradnl" w:eastAsia="es-ES"/>
        </w:rPr>
        <w:t xml:space="preserve">         TERCERO</w:t>
      </w:r>
      <w:r w:rsidRPr="00EE67C9">
        <w:rPr>
          <w:rFonts w:ascii="Arial" w:hAnsi="Arial" w:cs="Arial"/>
          <w:sz w:val="24"/>
          <w:szCs w:val="24"/>
          <w:lang w:val="es-ES_tradnl" w:eastAsia="es-ES"/>
        </w:rPr>
        <w:t xml:space="preserve">.-Previo al estudio de fondo es menester que esta Quinta Sala Unitaria de Primera Instancia de este Tribunal de Justicia Administrativa del Estado de Oaxaca, analizar, si en la especie se actualiza alguna causal de improcedencia del juicio de nulidad, ya sea invocada por las partes o bien, alguna que se advierta oficiosamente que impida la resolución del fondo del asunto y </w:t>
      </w:r>
      <w:r w:rsidRPr="00EE67C9">
        <w:rPr>
          <w:rFonts w:ascii="Arial" w:hAnsi="Arial" w:cs="Arial"/>
          <w:sz w:val="24"/>
          <w:szCs w:val="24"/>
          <w:lang w:val="es-ES_tradnl" w:eastAsia="es-ES"/>
        </w:rPr>
        <w:lastRenderedPageBreak/>
        <w:t>deba decretarse su sobreseimiento en términos de los artículos 161 y 162 de la Ley de Procedimiento y Justicia Administrativa para el Estado de Oaxaca.</w:t>
      </w:r>
    </w:p>
    <w:p w14:paraId="1B3C6E3F" w14:textId="54D65CBD" w:rsidR="00FE0CC9" w:rsidRPr="00EE67C9" w:rsidRDefault="00FE0CC9" w:rsidP="00FE0CC9">
      <w:pPr>
        <w:spacing w:line="360" w:lineRule="auto"/>
        <w:ind w:right="51"/>
        <w:jc w:val="both"/>
        <w:rPr>
          <w:rFonts w:ascii="Arial" w:hAnsi="Arial" w:cs="Arial"/>
          <w:sz w:val="24"/>
          <w:szCs w:val="24"/>
          <w:lang w:val="es-ES_tradnl" w:eastAsia="es-ES"/>
        </w:rPr>
      </w:pPr>
      <w:r w:rsidRPr="00EE67C9">
        <w:rPr>
          <w:rFonts w:ascii="Arial" w:hAnsi="Arial" w:cs="Arial"/>
          <w:sz w:val="24"/>
          <w:szCs w:val="24"/>
          <w:lang w:val="es-ES_tradnl" w:eastAsia="es-ES"/>
        </w:rPr>
        <w:t xml:space="preserve"> La enjuiciada en su oficio de contestación de demanda en el apartado denominado “CONTESTACIÓN A LOS HECHOS”, señaló como falso él hecho 2) del escrito inicial de demanda de la actora toda vez que a decir de la enjuiciada la fecha de notificación de  la multa materia del presente juicio fue con data diecisiete de agosto del año dos mil dieciocho (17-08-2018) y  para probar su dicho anexó a su contestación de demanda copia certificada por funcionario público de la constancia de notificación por correo certificado  con acuse de recibo marcada para su control interno del Servicio Postal Mexicano con código de barras y número de control </w:t>
      </w:r>
      <w:r w:rsidR="00EE67C9" w:rsidRPr="00EE67C9">
        <w:rPr>
          <w:rFonts w:ascii="Arial" w:hAnsi="Arial" w:cs="Arial"/>
          <w:sz w:val="24"/>
          <w:szCs w:val="24"/>
        </w:rPr>
        <w:t>**********</w:t>
      </w:r>
      <w:r w:rsidRPr="00EE67C9">
        <w:rPr>
          <w:rFonts w:ascii="Arial" w:hAnsi="Arial" w:cs="Arial"/>
          <w:sz w:val="24"/>
          <w:szCs w:val="24"/>
          <w:lang w:val="es-ES_tradnl" w:eastAsia="es-ES"/>
        </w:rPr>
        <w:t xml:space="preserve">, de cuyo del análisis a la misma se observó que en su contenido relativo al apartado de información de </w:t>
      </w:r>
      <w:r w:rsidRPr="00EE67C9">
        <w:rPr>
          <w:rFonts w:ascii="Arial" w:hAnsi="Arial" w:cs="Arial"/>
          <w:b/>
          <w:sz w:val="24"/>
          <w:szCs w:val="24"/>
          <w:lang w:val="es-ES_tradnl" w:eastAsia="es-ES"/>
        </w:rPr>
        <w:t>Lugar y Fecha</w:t>
      </w:r>
      <w:r w:rsidRPr="00EE67C9">
        <w:rPr>
          <w:rFonts w:ascii="Arial" w:hAnsi="Arial" w:cs="Arial"/>
          <w:sz w:val="24"/>
          <w:szCs w:val="24"/>
          <w:lang w:val="es-ES_tradnl" w:eastAsia="es-ES"/>
        </w:rPr>
        <w:t xml:space="preserve"> se asienta la siguiente leyenda: “</w:t>
      </w:r>
      <w:r w:rsidRPr="00EE67C9">
        <w:rPr>
          <w:rFonts w:ascii="Arial" w:hAnsi="Arial" w:cs="Arial"/>
          <w:sz w:val="24"/>
          <w:szCs w:val="24"/>
          <w:u w:val="single"/>
          <w:lang w:val="es-ES_tradnl" w:eastAsia="es-ES"/>
        </w:rPr>
        <w:t>17/08/18”</w:t>
      </w:r>
      <w:r w:rsidRPr="00EE67C9">
        <w:rPr>
          <w:rFonts w:ascii="Arial" w:hAnsi="Arial" w:cs="Arial"/>
          <w:sz w:val="24"/>
          <w:szCs w:val="24"/>
          <w:lang w:val="es-ES_tradnl" w:eastAsia="es-ES"/>
        </w:rPr>
        <w:t xml:space="preserve">., y en la citada constancia de notificación continúa el apartado de información relativo al </w:t>
      </w:r>
      <w:r w:rsidRPr="00EE67C9">
        <w:rPr>
          <w:rFonts w:ascii="Arial" w:hAnsi="Arial" w:cs="Arial"/>
          <w:b/>
          <w:sz w:val="24"/>
          <w:szCs w:val="24"/>
          <w:lang w:val="es-ES_tradnl" w:eastAsia="es-ES"/>
        </w:rPr>
        <w:t>Nombre y Firma</w:t>
      </w:r>
      <w:r w:rsidRPr="00EE67C9">
        <w:rPr>
          <w:rFonts w:ascii="Arial" w:hAnsi="Arial" w:cs="Arial"/>
          <w:sz w:val="24"/>
          <w:szCs w:val="24"/>
          <w:lang w:val="es-ES_tradnl" w:eastAsia="es-ES"/>
        </w:rPr>
        <w:t xml:space="preserve"> y en el cual se asienta la siguiente leyenda: </w:t>
      </w:r>
      <w:r w:rsidRPr="00EE67C9">
        <w:rPr>
          <w:rFonts w:ascii="Arial" w:hAnsi="Arial" w:cs="Arial"/>
          <w:sz w:val="24"/>
          <w:szCs w:val="24"/>
          <w:u w:val="single"/>
          <w:lang w:val="es-ES_tradnl" w:eastAsia="es-ES"/>
        </w:rPr>
        <w:t xml:space="preserve">“ SOLIS y rubrica, </w:t>
      </w:r>
      <w:r w:rsidRPr="00EE67C9">
        <w:rPr>
          <w:rFonts w:ascii="Arial" w:hAnsi="Arial" w:cs="Arial"/>
          <w:sz w:val="24"/>
          <w:szCs w:val="24"/>
          <w:lang w:val="es-ES_tradnl" w:eastAsia="es-ES"/>
        </w:rPr>
        <w:t xml:space="preserve">por lo que  con ello </w:t>
      </w:r>
      <w:r w:rsidRPr="00EE67C9">
        <w:rPr>
          <w:rFonts w:ascii="Arial" w:hAnsi="Arial" w:cs="Arial"/>
          <w:b/>
          <w:sz w:val="24"/>
          <w:szCs w:val="24"/>
          <w:lang w:val="es-ES_tradnl" w:eastAsia="es-ES"/>
        </w:rPr>
        <w:t xml:space="preserve">no demuestra que la notificación se haya realizado de manera legal, ya que  no consta  que la notificación se entendió personalmente con el destinatario cuyo nombre es  </w:t>
      </w:r>
      <w:r w:rsidR="00184510" w:rsidRPr="00EE67C9">
        <w:rPr>
          <w:rFonts w:ascii="Arial" w:hAnsi="Arial" w:cs="Arial"/>
          <w:b/>
          <w:sz w:val="24"/>
          <w:szCs w:val="24"/>
        </w:rPr>
        <w:t>**********</w:t>
      </w:r>
      <w:r w:rsidRPr="00EE67C9">
        <w:rPr>
          <w:rFonts w:ascii="Arial" w:hAnsi="Arial" w:cs="Arial"/>
          <w:b/>
          <w:sz w:val="24"/>
          <w:szCs w:val="24"/>
          <w:lang w:val="es-ES_tradnl" w:eastAsia="es-ES"/>
        </w:rPr>
        <w:t>.,</w:t>
      </w:r>
      <w:r w:rsidRPr="00EE67C9">
        <w:rPr>
          <w:rFonts w:ascii="Arial" w:hAnsi="Arial" w:cs="Arial"/>
          <w:sz w:val="24"/>
          <w:szCs w:val="24"/>
          <w:lang w:val="es-ES_tradnl" w:eastAsia="es-ES"/>
        </w:rPr>
        <w:t xml:space="preserve"> y  al no ajustarse a lo establecido en los artículos </w:t>
      </w:r>
      <w:hyperlink r:id="rId7" w:history="1">
        <w:r w:rsidRPr="00EE67C9">
          <w:rPr>
            <w:rFonts w:ascii="Arial" w:hAnsi="Arial" w:cs="Arial"/>
            <w:sz w:val="24"/>
            <w:szCs w:val="24"/>
            <w:u w:val="single"/>
            <w:bdr w:val="none" w:sz="0" w:space="0" w:color="auto" w:frame="1"/>
            <w:lang w:val="es-ES_tradnl" w:eastAsia="es-ES"/>
          </w:rPr>
          <w:t>42</w:t>
        </w:r>
      </w:hyperlink>
      <w:r w:rsidRPr="00EE67C9">
        <w:rPr>
          <w:rFonts w:ascii="Arial" w:hAnsi="Arial" w:cs="Arial"/>
          <w:sz w:val="24"/>
          <w:szCs w:val="24"/>
          <w:lang w:val="es-ES_tradnl" w:eastAsia="es-ES"/>
        </w:rPr>
        <w:t>, </w:t>
      </w:r>
      <w:hyperlink r:id="rId8" w:history="1">
        <w:r w:rsidRPr="00EE67C9">
          <w:rPr>
            <w:rFonts w:ascii="Arial" w:hAnsi="Arial" w:cs="Arial"/>
            <w:sz w:val="24"/>
            <w:szCs w:val="24"/>
            <w:u w:val="single"/>
            <w:bdr w:val="none" w:sz="0" w:space="0" w:color="auto" w:frame="1"/>
            <w:lang w:val="es-ES_tradnl" w:eastAsia="es-ES"/>
          </w:rPr>
          <w:t>59, fracción I</w:t>
        </w:r>
      </w:hyperlink>
      <w:r w:rsidRPr="00EE67C9">
        <w:rPr>
          <w:rFonts w:ascii="Arial" w:hAnsi="Arial" w:cs="Arial"/>
          <w:sz w:val="24"/>
          <w:szCs w:val="24"/>
          <w:lang w:val="es-ES_tradnl" w:eastAsia="es-ES"/>
        </w:rPr>
        <w:t> y </w:t>
      </w:r>
      <w:hyperlink r:id="rId9" w:history="1">
        <w:r w:rsidRPr="00EE67C9">
          <w:rPr>
            <w:rFonts w:ascii="Arial" w:hAnsi="Arial" w:cs="Arial"/>
            <w:sz w:val="24"/>
            <w:szCs w:val="24"/>
            <w:u w:val="single"/>
            <w:bdr w:val="none" w:sz="0" w:space="0" w:color="auto" w:frame="1"/>
            <w:lang w:val="es-ES_tradnl" w:eastAsia="es-ES"/>
          </w:rPr>
          <w:t>61, fracción I, de la Ley del Servicio Postal Mexicano</w:t>
        </w:r>
      </w:hyperlink>
      <w:r w:rsidRPr="00EE67C9">
        <w:rPr>
          <w:rFonts w:ascii="Arial" w:hAnsi="Arial" w:cs="Arial"/>
          <w:sz w:val="24"/>
          <w:szCs w:val="24"/>
          <w:lang w:val="es-ES_tradnl" w:eastAsia="es-ES"/>
        </w:rPr>
        <w:t xml:space="preserve">, es decir, que la correspondencia registrada sea entregada únicamente al destinatario </w:t>
      </w:r>
      <w:r w:rsidRPr="00EE67C9">
        <w:rPr>
          <w:rFonts w:ascii="Arial" w:hAnsi="Arial" w:cs="Arial"/>
          <w:b/>
          <w:sz w:val="24"/>
          <w:szCs w:val="24"/>
          <w:lang w:val="es-ES_tradnl" w:eastAsia="es-ES"/>
        </w:rPr>
        <w:t>o a su representante legal</w:t>
      </w:r>
      <w:r w:rsidRPr="00EE67C9">
        <w:rPr>
          <w:rFonts w:ascii="Arial" w:hAnsi="Arial" w:cs="Arial"/>
          <w:sz w:val="24"/>
          <w:szCs w:val="24"/>
          <w:lang w:val="es-ES_tradnl" w:eastAsia="es-ES"/>
        </w:rPr>
        <w:t xml:space="preserve"> y que recibida por cualquiera de esas dos personas sea recabada en un documento especial la firma de recepción, que se entregará a su vez al remitente, como constancia, ya que sólo de esa manera puede conseguirse la finalidad de la notificación por correo certificado, que garantiza la mejor manera posible que la pieza postal sea del conocimiento del destinatario, tomando en consideración el específico tratamiento que esta forma de comunicación implica, es decir, que la correspondencia registrada, a diferencia del correo ordinario, </w:t>
      </w:r>
      <w:r w:rsidRPr="00EE67C9">
        <w:rPr>
          <w:rFonts w:ascii="Arial" w:hAnsi="Arial" w:cs="Arial"/>
          <w:b/>
          <w:sz w:val="24"/>
          <w:szCs w:val="24"/>
          <w:lang w:val="es-ES_tradnl" w:eastAsia="es-ES"/>
        </w:rPr>
        <w:t>habrá de ser entregada precisamente a quien sea dirigida y no a  persona ajena, y en el caso particular al ser dirigida a una persona moral  debió ser atendida con su representante legal acreditando su representación  con instrumento notarial que lo acredite con tal carácter,  y al no plasmarse en el cuerpo del acuse de recibo  constancia que demuestre tal supuesto, es ilegal la notificación</w:t>
      </w:r>
      <w:r w:rsidRPr="00EE67C9">
        <w:rPr>
          <w:rFonts w:ascii="Arial" w:hAnsi="Arial" w:cs="Arial"/>
          <w:sz w:val="24"/>
          <w:szCs w:val="24"/>
          <w:lang w:val="es-ES_tradnl" w:eastAsia="es-ES"/>
        </w:rPr>
        <w:t xml:space="preserve"> al  violar lo estatuido en los artículos </w:t>
      </w:r>
      <w:hyperlink r:id="rId10" w:history="1">
        <w:r w:rsidRPr="00EE67C9">
          <w:rPr>
            <w:rFonts w:ascii="Arial" w:hAnsi="Arial" w:cs="Arial"/>
            <w:sz w:val="24"/>
            <w:szCs w:val="24"/>
            <w:bdr w:val="none" w:sz="0" w:space="0" w:color="auto" w:frame="1"/>
            <w:lang w:val="es-ES_tradnl" w:eastAsia="es-ES"/>
          </w:rPr>
          <w:t>42</w:t>
        </w:r>
      </w:hyperlink>
      <w:r w:rsidRPr="00EE67C9">
        <w:rPr>
          <w:rFonts w:ascii="Arial" w:hAnsi="Arial" w:cs="Arial"/>
          <w:sz w:val="24"/>
          <w:szCs w:val="24"/>
          <w:lang w:val="es-ES_tradnl" w:eastAsia="es-ES"/>
        </w:rPr>
        <w:t> de la Ley del Servicio Postal Mexicano y </w:t>
      </w:r>
      <w:hyperlink r:id="rId11" w:history="1">
        <w:r w:rsidRPr="00EE67C9">
          <w:rPr>
            <w:rFonts w:ascii="Arial" w:hAnsi="Arial" w:cs="Arial"/>
            <w:sz w:val="24"/>
            <w:szCs w:val="24"/>
            <w:bdr w:val="none" w:sz="0" w:space="0" w:color="auto" w:frame="1"/>
            <w:lang w:val="es-ES_tradnl" w:eastAsia="es-ES"/>
          </w:rPr>
          <w:t>31 del Reglamento para la Operación del Organismo Servicio Postal Mexicano</w:t>
        </w:r>
      </w:hyperlink>
      <w:r w:rsidRPr="00EE67C9">
        <w:rPr>
          <w:rFonts w:ascii="Arial" w:hAnsi="Arial" w:cs="Arial"/>
          <w:sz w:val="24"/>
          <w:szCs w:val="24"/>
          <w:lang w:val="es-ES_tradnl" w:eastAsia="es-ES"/>
        </w:rPr>
        <w:t xml:space="preserve">, por lo que en términos del artículo 53 de la Ley de Procedimiento y  Justicia Administrativa para el Estado de Oaxaca,  </w:t>
      </w:r>
      <w:r w:rsidRPr="00EE67C9">
        <w:rPr>
          <w:rFonts w:ascii="Arial" w:hAnsi="Arial" w:cs="Arial"/>
          <w:b/>
          <w:sz w:val="24"/>
          <w:szCs w:val="24"/>
          <w:lang w:val="es-ES_tradnl" w:eastAsia="es-ES"/>
        </w:rPr>
        <w:t>por lo que</w:t>
      </w:r>
      <w:r w:rsidRPr="00EE67C9">
        <w:rPr>
          <w:rFonts w:ascii="Arial" w:hAnsi="Arial" w:cs="Arial"/>
          <w:sz w:val="24"/>
          <w:szCs w:val="24"/>
          <w:lang w:val="es-ES_tradnl" w:eastAsia="es-ES"/>
        </w:rPr>
        <w:t xml:space="preserve"> se le debe tener al actor como conocedor de la resolución en la fecha que se manifestó sabedor de esta, es decir,  diecisiete de septiembre </w:t>
      </w:r>
      <w:r w:rsidRPr="00EE67C9">
        <w:rPr>
          <w:rFonts w:ascii="Arial" w:hAnsi="Arial" w:cs="Arial"/>
          <w:b/>
          <w:sz w:val="24"/>
          <w:szCs w:val="24"/>
          <w:lang w:val="es-ES_tradnl" w:eastAsia="es-ES"/>
        </w:rPr>
        <w:t>del año dos mil dieciocho (17/09/2018</w:t>
      </w:r>
      <w:r w:rsidRPr="00EE67C9">
        <w:rPr>
          <w:rFonts w:ascii="Arial" w:hAnsi="Arial" w:cs="Arial"/>
          <w:sz w:val="24"/>
          <w:szCs w:val="24"/>
          <w:lang w:val="es-ES_tradnl" w:eastAsia="es-ES"/>
        </w:rPr>
        <w:t xml:space="preserve">), y toda vez que se realizó el cómputo del plazo de treinta días mismo que comenzó el transcurrir del  diecinueve de septiembre de dos mil dos mil dieciocho (19/09/18) y feneció el  treinta y uno de octubre de dos mil diecinueve (31/10/18) descontándose los días sábados y domingos, diecinueve de </w:t>
      </w:r>
      <w:r w:rsidRPr="00EE67C9">
        <w:rPr>
          <w:rFonts w:ascii="Arial" w:hAnsi="Arial" w:cs="Arial"/>
          <w:sz w:val="24"/>
          <w:szCs w:val="24"/>
          <w:lang w:val="es-ES_tradnl" w:eastAsia="es-ES"/>
        </w:rPr>
        <w:lastRenderedPageBreak/>
        <w:t>noviembre del año dos mil dieciocho (19/11/2018),</w:t>
      </w:r>
      <w:r w:rsidR="00883EA3" w:rsidRPr="00EE67C9">
        <w:rPr>
          <w:rFonts w:ascii="Arial" w:hAnsi="Arial" w:cs="Arial"/>
          <w:sz w:val="24"/>
          <w:szCs w:val="24"/>
          <w:lang w:val="es-ES_tradnl" w:eastAsia="es-ES"/>
        </w:rPr>
        <w:t xml:space="preserve"> </w:t>
      </w:r>
      <w:r w:rsidRPr="00EE67C9">
        <w:rPr>
          <w:rFonts w:ascii="Arial" w:hAnsi="Arial" w:cs="Arial"/>
          <w:sz w:val="24"/>
          <w:szCs w:val="24"/>
          <w:lang w:val="es-ES_tradnl" w:eastAsia="es-ES"/>
        </w:rPr>
        <w:t xml:space="preserve">por ser inhábiles de conformidad con lo establecido en los artículos 165, 166 y 168 de la Ley Procedimiento y Justicia Administrativa para el Estado de Oaxaca y Calendario Oficial aprobado mediante Acuerdo General AG/TJAO/04/2018 por los integrantes de la Sala Superior de este Tribunal. - - - - </w:t>
      </w:r>
      <w:r w:rsidR="00883EA3" w:rsidRPr="00EE67C9">
        <w:rPr>
          <w:rFonts w:ascii="Arial" w:hAnsi="Arial" w:cs="Arial"/>
          <w:sz w:val="24"/>
          <w:szCs w:val="24"/>
          <w:lang w:val="es-ES_tradnl" w:eastAsia="es-ES"/>
        </w:rPr>
        <w:t>-</w:t>
      </w:r>
      <w:r w:rsidR="00EE67C9">
        <w:rPr>
          <w:rFonts w:ascii="Arial" w:hAnsi="Arial" w:cs="Arial"/>
          <w:sz w:val="24"/>
          <w:szCs w:val="24"/>
          <w:lang w:val="es-ES_tradnl" w:eastAsia="es-ES"/>
        </w:rPr>
        <w:t xml:space="preserve"> </w:t>
      </w:r>
      <w:r w:rsidR="00EE67C9" w:rsidRPr="00EE67C9">
        <w:rPr>
          <w:rFonts w:ascii="Arial" w:hAnsi="Arial" w:cs="Arial"/>
          <w:sz w:val="24"/>
          <w:szCs w:val="24"/>
          <w:lang w:val="es-ES_tradnl" w:eastAsia="es-ES"/>
        </w:rPr>
        <w:t xml:space="preserve">- - - - - - - - - - - </w:t>
      </w:r>
      <w:r w:rsidR="00EE67C9">
        <w:rPr>
          <w:rFonts w:ascii="Arial" w:hAnsi="Arial" w:cs="Arial"/>
          <w:sz w:val="24"/>
          <w:szCs w:val="24"/>
          <w:lang w:val="es-ES_tradnl" w:eastAsia="es-ES"/>
        </w:rPr>
        <w:t xml:space="preserve">- - - - - - - - - - - - - - - - - </w:t>
      </w:r>
    </w:p>
    <w:p w14:paraId="785E200E" w14:textId="77777777" w:rsidR="00FE0CC9" w:rsidRPr="00EE67C9" w:rsidRDefault="00FE0CC9" w:rsidP="00FE0CC9">
      <w:pPr>
        <w:spacing w:line="360" w:lineRule="auto"/>
        <w:ind w:right="51"/>
        <w:jc w:val="both"/>
        <w:rPr>
          <w:rFonts w:ascii="Arial" w:hAnsi="Arial" w:cs="Arial"/>
          <w:b/>
          <w:sz w:val="24"/>
          <w:szCs w:val="24"/>
          <w:lang w:val="es-ES_tradnl" w:eastAsia="es-ES"/>
        </w:rPr>
      </w:pPr>
      <w:r w:rsidRPr="00EE67C9">
        <w:rPr>
          <w:rFonts w:ascii="Arial" w:hAnsi="Arial" w:cs="Arial"/>
          <w:sz w:val="24"/>
          <w:szCs w:val="24"/>
          <w:lang w:val="es-ES_tradnl" w:eastAsia="es-ES"/>
        </w:rPr>
        <w:t xml:space="preserve"> </w:t>
      </w:r>
    </w:p>
    <w:p w14:paraId="4E00A9A1" w14:textId="77777777" w:rsidR="00FE0CC9" w:rsidRPr="00EE67C9" w:rsidRDefault="00FE0CC9" w:rsidP="00FE0CC9">
      <w:pPr>
        <w:spacing w:line="360" w:lineRule="auto"/>
        <w:ind w:right="51"/>
        <w:jc w:val="both"/>
        <w:rPr>
          <w:rFonts w:ascii="Arial" w:hAnsi="Arial" w:cs="Arial"/>
          <w:sz w:val="24"/>
          <w:szCs w:val="24"/>
          <w:lang w:val="es-ES_tradnl" w:eastAsia="es-ES"/>
        </w:rPr>
      </w:pPr>
      <w:r w:rsidRPr="00EE67C9">
        <w:rPr>
          <w:rFonts w:ascii="Arial" w:hAnsi="Arial" w:cs="Arial"/>
          <w:sz w:val="24"/>
          <w:szCs w:val="24"/>
          <w:lang w:val="es-MX" w:eastAsia="es-ES"/>
        </w:rPr>
        <w:t xml:space="preserve">Sirve de apoyo como criterio orientador la </w:t>
      </w:r>
      <w:r w:rsidRPr="00EE67C9">
        <w:rPr>
          <w:rFonts w:ascii="Arial" w:hAnsi="Arial" w:cs="Arial"/>
          <w:sz w:val="24"/>
          <w:szCs w:val="24"/>
          <w:lang w:val="es-ES_tradnl" w:eastAsia="es-ES"/>
        </w:rPr>
        <w:t xml:space="preserve">Tesis número </w:t>
      </w:r>
      <w:r w:rsidRPr="00EE67C9">
        <w:rPr>
          <w:rFonts w:ascii="Arial" w:hAnsi="Arial" w:cs="Arial"/>
          <w:sz w:val="24"/>
          <w:szCs w:val="24"/>
          <w:lang w:val="es-MX" w:eastAsia="es-ES"/>
        </w:rPr>
        <w:t>II.1o.A.91 A</w:t>
      </w:r>
      <w:r w:rsidRPr="00EE67C9">
        <w:rPr>
          <w:rFonts w:ascii="Arial" w:hAnsi="Arial" w:cs="Arial"/>
          <w:sz w:val="24"/>
          <w:szCs w:val="24"/>
          <w:lang w:val="es-ES_tradnl" w:eastAsia="es-ES"/>
        </w:rPr>
        <w:t xml:space="preserve"> de dictada por el Primer Tribunal Colegiado en Materia Administrativa del Segundo Circuito y publicada en el Semanario Judicial de la Federación y su Gaceta Tomo XVI, Agosto de 2002 pág.1327. </w:t>
      </w:r>
    </w:p>
    <w:p w14:paraId="0A7858BD" w14:textId="77777777" w:rsidR="00FE0CC9" w:rsidRPr="00EE67C9" w:rsidRDefault="00FE0CC9" w:rsidP="00FE0CC9">
      <w:pPr>
        <w:ind w:left="1276" w:right="1327"/>
        <w:jc w:val="both"/>
        <w:textAlignment w:val="baseline"/>
        <w:rPr>
          <w:rFonts w:ascii="Calibri" w:hAnsi="Calibri" w:cs="Calibri"/>
          <w:b/>
          <w:bCs/>
          <w:sz w:val="22"/>
          <w:szCs w:val="22"/>
        </w:rPr>
      </w:pPr>
    </w:p>
    <w:p w14:paraId="45F0F691" w14:textId="77777777" w:rsidR="00FE0CC9" w:rsidRPr="00EE67C9" w:rsidRDefault="00FE0CC9" w:rsidP="00FE0CC9">
      <w:pPr>
        <w:ind w:left="1276" w:right="1327"/>
        <w:jc w:val="both"/>
        <w:textAlignment w:val="baseline"/>
        <w:rPr>
          <w:rFonts w:ascii="Calibri" w:hAnsi="Calibri" w:cs="Calibri"/>
          <w:b/>
          <w:bCs/>
          <w:sz w:val="22"/>
          <w:szCs w:val="22"/>
          <w:lang w:val="es-MX"/>
        </w:rPr>
      </w:pPr>
      <w:r w:rsidRPr="00EE67C9">
        <w:rPr>
          <w:rFonts w:ascii="Calibri" w:hAnsi="Calibri" w:cs="Calibri"/>
          <w:b/>
          <w:bCs/>
          <w:sz w:val="22"/>
          <w:szCs w:val="22"/>
        </w:rPr>
        <w:t>NOTIFICACIONES POR CORREO CERTIFICADO CON ACUSE DE RECIBO.</w:t>
      </w:r>
    </w:p>
    <w:p w14:paraId="48300373" w14:textId="77777777" w:rsidR="00FE0CC9" w:rsidRPr="00EE67C9" w:rsidRDefault="00FE0CC9" w:rsidP="00FE0CC9">
      <w:pPr>
        <w:ind w:left="1276" w:right="1327"/>
        <w:rPr>
          <w:sz w:val="22"/>
          <w:szCs w:val="22"/>
        </w:rPr>
      </w:pPr>
    </w:p>
    <w:p w14:paraId="75012665" w14:textId="77777777" w:rsidR="00FE0CC9" w:rsidRPr="00EE67C9" w:rsidRDefault="00FE0CC9" w:rsidP="00FE0CC9">
      <w:pPr>
        <w:ind w:left="1276" w:right="1327"/>
        <w:jc w:val="both"/>
        <w:textAlignment w:val="baseline"/>
        <w:rPr>
          <w:rFonts w:ascii="Calibri" w:hAnsi="Calibri" w:cs="Calibri"/>
          <w:sz w:val="26"/>
          <w:szCs w:val="26"/>
        </w:rPr>
      </w:pPr>
      <w:r w:rsidRPr="00EE67C9">
        <w:rPr>
          <w:rFonts w:ascii="Calibri" w:hAnsi="Calibri" w:cs="Calibri"/>
          <w:sz w:val="22"/>
          <w:szCs w:val="22"/>
        </w:rPr>
        <w:t>El término notificación se ha definido como el acto de hacer saber alguna cosa jurídicamente, para que la noticia dada a la parte que le pare perjuicio en la omisión de lo que se le manda o intima, o para que le corra término; luego entonces, por notificación debe entenderse el acto del órgano jurisdiccional por el que se hace del conocimiento de las partes las determinaciones dictadas en el juicio, mismas que deben realizarse de conformidad con las formalidades establecidas por la ley, a fin de que éstas estén en aptitud de alegar y realizar lo que a su derecho convenga; por tanto, si de conformidad con el artículo </w:t>
      </w:r>
      <w:hyperlink r:id="rId12" w:history="1">
        <w:r w:rsidRPr="00EE67C9">
          <w:rPr>
            <w:rFonts w:ascii="Calibri" w:hAnsi="Calibri" w:cs="Calibri"/>
            <w:sz w:val="22"/>
            <w:szCs w:val="22"/>
            <w:u w:val="single"/>
            <w:bdr w:val="none" w:sz="0" w:space="0" w:color="auto" w:frame="1"/>
          </w:rPr>
          <w:t>253, párrafo segundo, fracción I, del Código Fiscal de la Federación</w:t>
        </w:r>
      </w:hyperlink>
      <w:r w:rsidRPr="00EE67C9">
        <w:rPr>
          <w:rFonts w:ascii="Calibri" w:hAnsi="Calibri" w:cs="Calibri"/>
          <w:sz w:val="22"/>
          <w:szCs w:val="22"/>
        </w:rPr>
        <w:t>, en lo que respecta a las notificaciones personales por correo certificado cuando el particular no se presente a oír y recibir notificaciones, se harán personalmente o por correo certificado con acuse de recibo siempre que se conozca su domicilio o que éste o el de su representante se encuentre en territorio nacional, tratándose de: I. La que corra traslado de la demanda, de la contestación y, en su caso, de la ampliación; y el artículo </w:t>
      </w:r>
      <w:hyperlink r:id="rId13" w:history="1">
        <w:r w:rsidRPr="00EE67C9">
          <w:rPr>
            <w:rFonts w:ascii="Calibri" w:hAnsi="Calibri" w:cs="Calibri"/>
            <w:sz w:val="22"/>
            <w:szCs w:val="22"/>
            <w:u w:val="single"/>
            <w:bdr w:val="none" w:sz="0" w:space="0" w:color="auto" w:frame="1"/>
          </w:rPr>
          <w:t>42</w:t>
        </w:r>
      </w:hyperlink>
      <w:r w:rsidRPr="00EE67C9">
        <w:rPr>
          <w:rFonts w:ascii="Calibri" w:hAnsi="Calibri" w:cs="Calibri"/>
          <w:sz w:val="22"/>
          <w:szCs w:val="22"/>
        </w:rPr>
        <w:t> de la Ley del Servicio Postal Mexicano dispone que el servicio de acuse de recibo de envíos o correspondencia registrados, consiste en recabar en un documento especial la firma de recepción del destinatario o de su representante legal y entregar ese documento al remitente como constancia, en caso de que por causas ajenas al organismo no pueda recabarse la firma del documento se procederá conforme a las disposiciones reglamentarias. En tanto que el diverso artículo </w:t>
      </w:r>
      <w:hyperlink r:id="rId14" w:history="1">
        <w:r w:rsidRPr="00EE67C9">
          <w:rPr>
            <w:rFonts w:ascii="Calibri" w:hAnsi="Calibri" w:cs="Calibri"/>
            <w:sz w:val="22"/>
            <w:szCs w:val="22"/>
            <w:u w:val="single"/>
            <w:bdr w:val="none" w:sz="0" w:space="0" w:color="auto" w:frame="1"/>
          </w:rPr>
          <w:t>59, fracción I</w:t>
        </w:r>
      </w:hyperlink>
      <w:r w:rsidRPr="00EE67C9">
        <w:rPr>
          <w:rFonts w:ascii="Calibri" w:hAnsi="Calibri" w:cs="Calibri"/>
          <w:sz w:val="22"/>
          <w:szCs w:val="22"/>
        </w:rPr>
        <w:t>, de la citada ley, precisa que los remitentes de correspondencia y envíos tienen como derechos: I. Que la correspondencia y envíos se entreguen a sus destinatarios. Asimismo, el diverso numeral 61, fracción I, de dicha ley, indica que los destinatarios de correspondencia y envíos tienen como derechos: I. Recibir correspondencia y envíos que le sean destinados. Además de que el diverso artículo </w:t>
      </w:r>
      <w:hyperlink r:id="rId15" w:history="1">
        <w:r w:rsidRPr="00EE67C9">
          <w:rPr>
            <w:rFonts w:ascii="Calibri" w:hAnsi="Calibri" w:cs="Calibri"/>
            <w:sz w:val="22"/>
            <w:szCs w:val="22"/>
            <w:u w:val="single"/>
            <w:bdr w:val="none" w:sz="0" w:space="0" w:color="auto" w:frame="1"/>
          </w:rPr>
          <w:t>31 del Reglamento para la Operación del Organismo Servicio Postal Mexicano</w:t>
        </w:r>
      </w:hyperlink>
      <w:r w:rsidRPr="00EE67C9">
        <w:rPr>
          <w:rFonts w:ascii="Calibri" w:hAnsi="Calibri" w:cs="Calibri"/>
          <w:sz w:val="22"/>
          <w:szCs w:val="22"/>
        </w:rPr>
        <w:t>, establece que el servicio de acuse de recibo de envíos o correspondencia registrada, deberá solicitarse en el momento del depósito y consiste en recabar en un documento especial la firma de recepción del destinatario o de su representante legal y entregar ese documento al remitente como constancia, y el diverso numeral </w:t>
      </w:r>
      <w:hyperlink r:id="rId16" w:history="1">
        <w:r w:rsidRPr="00EE67C9">
          <w:rPr>
            <w:rFonts w:ascii="Calibri" w:hAnsi="Calibri" w:cs="Calibri"/>
            <w:sz w:val="22"/>
            <w:szCs w:val="22"/>
            <w:u w:val="single"/>
            <w:bdr w:val="none" w:sz="0" w:space="0" w:color="auto" w:frame="1"/>
          </w:rPr>
          <w:t>33</w:t>
        </w:r>
      </w:hyperlink>
      <w:r w:rsidRPr="00EE67C9">
        <w:rPr>
          <w:rFonts w:ascii="Calibri" w:hAnsi="Calibri" w:cs="Calibri"/>
          <w:sz w:val="22"/>
          <w:szCs w:val="22"/>
        </w:rPr>
        <w:t xml:space="preserve"> de dicho reglamento precisa que en los casos en que el destinatario se niegue a firmar el documento de constancia o no se encuentre en el domicilio en un plazo de diez días contados a partir del aviso escrito, o no acuda a la oficina correspondiente a recoger la pieza postal, ésta será devuelta al remitente a su costa y sin responsabilidad para el organismo. </w:t>
      </w:r>
      <w:r w:rsidRPr="00EE67C9">
        <w:rPr>
          <w:rFonts w:ascii="Calibri" w:hAnsi="Calibri" w:cs="Calibri"/>
          <w:b/>
          <w:sz w:val="22"/>
          <w:szCs w:val="22"/>
        </w:rPr>
        <w:t xml:space="preserve">De ahí que para que las notificaciones que en términos de la legislación tributaria puedan hacerse por correo certificado con acuse de recibo tengan eficacia jurídica, es necesario que éstas se ajusten a lo establecido en los </w:t>
      </w:r>
      <w:r w:rsidRPr="00EE67C9">
        <w:rPr>
          <w:rFonts w:ascii="Calibri" w:hAnsi="Calibri" w:cs="Calibri"/>
          <w:b/>
          <w:sz w:val="22"/>
          <w:szCs w:val="22"/>
        </w:rPr>
        <w:lastRenderedPageBreak/>
        <w:t>artículos </w:t>
      </w:r>
      <w:hyperlink r:id="rId17" w:history="1">
        <w:r w:rsidRPr="00EE67C9">
          <w:rPr>
            <w:rFonts w:ascii="Calibri" w:hAnsi="Calibri" w:cs="Calibri"/>
            <w:b/>
            <w:sz w:val="22"/>
            <w:szCs w:val="22"/>
            <w:u w:val="single"/>
            <w:bdr w:val="none" w:sz="0" w:space="0" w:color="auto" w:frame="1"/>
          </w:rPr>
          <w:t>42</w:t>
        </w:r>
      </w:hyperlink>
      <w:r w:rsidRPr="00EE67C9">
        <w:rPr>
          <w:rFonts w:ascii="Calibri" w:hAnsi="Calibri" w:cs="Calibri"/>
          <w:b/>
          <w:sz w:val="22"/>
          <w:szCs w:val="22"/>
        </w:rPr>
        <w:t>, </w:t>
      </w:r>
      <w:hyperlink r:id="rId18" w:history="1">
        <w:r w:rsidRPr="00EE67C9">
          <w:rPr>
            <w:rFonts w:ascii="Calibri" w:hAnsi="Calibri" w:cs="Calibri"/>
            <w:b/>
            <w:sz w:val="22"/>
            <w:szCs w:val="22"/>
            <w:u w:val="single"/>
            <w:bdr w:val="none" w:sz="0" w:space="0" w:color="auto" w:frame="1"/>
          </w:rPr>
          <w:t>59, fracción I</w:t>
        </w:r>
      </w:hyperlink>
      <w:r w:rsidRPr="00EE67C9">
        <w:rPr>
          <w:rFonts w:ascii="Calibri" w:hAnsi="Calibri" w:cs="Calibri"/>
          <w:b/>
          <w:sz w:val="22"/>
          <w:szCs w:val="22"/>
        </w:rPr>
        <w:t> y </w:t>
      </w:r>
      <w:hyperlink r:id="rId19" w:history="1">
        <w:r w:rsidRPr="00EE67C9">
          <w:rPr>
            <w:rFonts w:ascii="Calibri" w:hAnsi="Calibri" w:cs="Calibri"/>
            <w:b/>
            <w:sz w:val="22"/>
            <w:szCs w:val="22"/>
            <w:u w:val="single"/>
            <w:bdr w:val="none" w:sz="0" w:space="0" w:color="auto" w:frame="1"/>
          </w:rPr>
          <w:t>61, fracción I, de la Ley del Servicio Postal Mexicano</w:t>
        </w:r>
      </w:hyperlink>
      <w:r w:rsidRPr="00EE67C9">
        <w:rPr>
          <w:rFonts w:ascii="Calibri" w:hAnsi="Calibri" w:cs="Calibri"/>
          <w:b/>
          <w:sz w:val="22"/>
          <w:szCs w:val="22"/>
        </w:rPr>
        <w:t>, es decir, que la correspondencia registrada sea entregada únicamente al destinatario o a su representante legal y que recibida por cualquiera de esas dos personas sea recabada en un documento especial la firma de recepción, que se entregará a su vez al remitente, como constancia, ya que sólo de esa manera puede conseguirse la finalidad de la notificación por correo certificado, que garantiza la mejor manera posible que la pieza postal sea del conocimiento del destinatario, tomando en consideración el específico tratamiento que esta forma de comunicación implica, es decir, que la correspondencia registrada, a diferencia del correo ordinario, habrá de ser entregada precisamente a quien sea dirigida y no a otra persona ajena. Por lo que si la notificación se realiza en contravención a lo dispuesto por el artículo 253, fracción I, del Código Fiscal de la Federación, en virtud de que la notificación personal realizada mediante acuse de recibo no se entrega al destinatario o a su representante legal, se contraviene lo estatuido en los artículos </w:t>
      </w:r>
      <w:hyperlink r:id="rId20" w:history="1">
        <w:r w:rsidRPr="00EE67C9">
          <w:rPr>
            <w:rFonts w:ascii="Calibri" w:hAnsi="Calibri" w:cs="Calibri"/>
            <w:b/>
            <w:sz w:val="22"/>
            <w:szCs w:val="22"/>
            <w:u w:val="single"/>
            <w:bdr w:val="none" w:sz="0" w:space="0" w:color="auto" w:frame="1"/>
          </w:rPr>
          <w:t>42</w:t>
        </w:r>
      </w:hyperlink>
      <w:r w:rsidRPr="00EE67C9">
        <w:rPr>
          <w:rFonts w:ascii="Calibri" w:hAnsi="Calibri" w:cs="Calibri"/>
          <w:b/>
          <w:sz w:val="22"/>
          <w:szCs w:val="22"/>
        </w:rPr>
        <w:t> de la Ley del Servicio Postal Mexicano y </w:t>
      </w:r>
      <w:hyperlink r:id="rId21" w:history="1">
        <w:r w:rsidRPr="00EE67C9">
          <w:rPr>
            <w:rFonts w:ascii="Calibri" w:hAnsi="Calibri" w:cs="Calibri"/>
            <w:b/>
            <w:sz w:val="22"/>
            <w:szCs w:val="22"/>
            <w:u w:val="single"/>
            <w:bdr w:val="none" w:sz="0" w:space="0" w:color="auto" w:frame="1"/>
          </w:rPr>
          <w:t>31 del Reglamento para la Operación del Organismo Servicio Postal Mexicano</w:t>
        </w:r>
      </w:hyperlink>
      <w:r w:rsidRPr="00EE67C9">
        <w:rPr>
          <w:rFonts w:ascii="Calibri" w:hAnsi="Calibri" w:cs="Calibri"/>
          <w:b/>
          <w:sz w:val="22"/>
          <w:szCs w:val="22"/>
        </w:rPr>
        <w:t>, siendo inconcuso que se violan garantías individuales y se deja en evidente estado de indefensión a la parte quejosa.</w:t>
      </w:r>
      <w:r w:rsidRPr="00EE67C9">
        <w:rPr>
          <w:rFonts w:ascii="Calibri" w:hAnsi="Calibri" w:cs="Calibri"/>
          <w:b/>
          <w:sz w:val="26"/>
          <w:szCs w:val="26"/>
        </w:rPr>
        <w:br/>
      </w:r>
    </w:p>
    <w:p w14:paraId="482AE5CE" w14:textId="77777777" w:rsidR="00FE0CC9" w:rsidRPr="00EE67C9" w:rsidRDefault="00FE0CC9" w:rsidP="00FE0CC9">
      <w:pPr>
        <w:autoSpaceDE w:val="0"/>
        <w:autoSpaceDN w:val="0"/>
        <w:adjustRightInd w:val="0"/>
        <w:spacing w:line="360" w:lineRule="auto"/>
        <w:jc w:val="both"/>
        <w:rPr>
          <w:rFonts w:ascii="Arial" w:hAnsi="Arial" w:cs="Arial"/>
          <w:sz w:val="24"/>
          <w:szCs w:val="24"/>
        </w:rPr>
      </w:pPr>
      <w:r w:rsidRPr="00EE67C9">
        <w:rPr>
          <w:rFonts w:ascii="Arial" w:hAnsi="Arial" w:cs="Arial"/>
          <w:sz w:val="24"/>
          <w:szCs w:val="24"/>
        </w:rPr>
        <w:t xml:space="preserve">    </w:t>
      </w:r>
    </w:p>
    <w:p w14:paraId="30BEE614" w14:textId="2C221FA4" w:rsidR="00FE0CC9" w:rsidRPr="00EE67C9" w:rsidRDefault="00FE0CC9" w:rsidP="00FE0CC9">
      <w:pPr>
        <w:spacing w:line="360" w:lineRule="auto"/>
        <w:ind w:right="51" w:hanging="567"/>
        <w:jc w:val="both"/>
        <w:rPr>
          <w:rFonts w:ascii="Arial" w:hAnsi="Arial" w:cs="Arial"/>
          <w:sz w:val="24"/>
          <w:szCs w:val="24"/>
          <w:lang w:val="es-ES_tradnl" w:eastAsia="es-ES"/>
        </w:rPr>
      </w:pPr>
      <w:r w:rsidRPr="00EE67C9">
        <w:rPr>
          <w:rFonts w:ascii="Arial" w:hAnsi="Arial" w:cs="Arial"/>
          <w:sz w:val="24"/>
          <w:szCs w:val="24"/>
          <w:lang w:val="es-ES_tradnl" w:eastAsia="es-ES"/>
        </w:rPr>
        <w:t xml:space="preserve">         Así las cosas, si la demanda fue ingresada el dieciocho de septiembre del año dos mil dieciocho (18/09/2018), se le tuvo interpuesta al actor en tiempo, al estar dentro del plazo de treinta días que establece el artículo 166 de la Ley Procedimiento y Justicia Administrativa para el Estado de Oaxaca. Y por ello, en el caso se estima que no se actualiza alguna de las hipótesis previstas en la Ley que rige a este Tribunal, por lo tanto, NO SE SOBRESEE EL PRESENTE J</w:t>
      </w:r>
      <w:r w:rsidR="00883EA3" w:rsidRPr="00EE67C9">
        <w:rPr>
          <w:rFonts w:ascii="Arial" w:hAnsi="Arial" w:cs="Arial"/>
          <w:sz w:val="24"/>
          <w:szCs w:val="24"/>
          <w:lang w:val="es-ES_tradnl" w:eastAsia="es-ES"/>
        </w:rPr>
        <w:t xml:space="preserve">UICIO.- - - - - - - - - - - - </w:t>
      </w:r>
      <w:r w:rsidR="00EE67C9" w:rsidRPr="00EE67C9">
        <w:rPr>
          <w:rFonts w:ascii="Arial" w:hAnsi="Arial" w:cs="Arial"/>
          <w:sz w:val="24"/>
          <w:szCs w:val="24"/>
          <w:lang w:val="es-ES_tradnl" w:eastAsia="es-ES"/>
        </w:rPr>
        <w:t xml:space="preserve">- - - - - - - - - - - </w:t>
      </w:r>
      <w:r w:rsidR="00EE67C9">
        <w:rPr>
          <w:rFonts w:ascii="Arial" w:hAnsi="Arial" w:cs="Arial"/>
          <w:sz w:val="24"/>
          <w:szCs w:val="24"/>
          <w:lang w:val="es-ES_tradnl" w:eastAsia="es-ES"/>
        </w:rPr>
        <w:t xml:space="preserve">- - - - - - - - - - - - - - - - - - - - - - - - - - </w:t>
      </w:r>
      <w:r w:rsidR="00EE67C9">
        <w:rPr>
          <w:rFonts w:ascii="Arial" w:hAnsi="Arial" w:cs="Arial"/>
          <w:sz w:val="24"/>
          <w:szCs w:val="24"/>
          <w:lang w:val="es-ES_tradnl" w:eastAsia="es-ES"/>
        </w:rPr>
        <w:t xml:space="preserve"> </w:t>
      </w:r>
      <w:r w:rsidR="00EE67C9" w:rsidRPr="00EE67C9">
        <w:rPr>
          <w:rFonts w:ascii="Arial" w:hAnsi="Arial" w:cs="Arial"/>
          <w:sz w:val="24"/>
          <w:szCs w:val="24"/>
          <w:lang w:val="es-ES_tradnl" w:eastAsia="es-ES"/>
        </w:rPr>
        <w:t xml:space="preserve">- - - - - </w:t>
      </w:r>
    </w:p>
    <w:p w14:paraId="268D69BB" w14:textId="77777777" w:rsidR="00FE0CC9" w:rsidRPr="00EE67C9" w:rsidRDefault="00FE0CC9" w:rsidP="00FE0CC9">
      <w:pPr>
        <w:spacing w:line="360" w:lineRule="auto"/>
        <w:ind w:right="51"/>
        <w:jc w:val="both"/>
        <w:rPr>
          <w:rFonts w:ascii="Arial" w:hAnsi="Arial" w:cs="Arial"/>
          <w:sz w:val="24"/>
          <w:szCs w:val="24"/>
          <w:lang w:val="es-ES_tradnl" w:eastAsia="es-ES"/>
        </w:rPr>
      </w:pPr>
    </w:p>
    <w:p w14:paraId="1A1DE3F5" w14:textId="526933C5" w:rsidR="00FE0CC9" w:rsidRPr="00EE67C9" w:rsidRDefault="00FE0CC9" w:rsidP="00FE0CC9">
      <w:pPr>
        <w:spacing w:line="360" w:lineRule="auto"/>
        <w:jc w:val="both"/>
        <w:rPr>
          <w:rFonts w:ascii="Arial" w:hAnsi="Arial" w:cs="Arial"/>
          <w:sz w:val="24"/>
          <w:szCs w:val="24"/>
        </w:rPr>
      </w:pPr>
      <w:r w:rsidRPr="00EE67C9">
        <w:rPr>
          <w:rFonts w:ascii="Arial" w:hAnsi="Arial" w:cs="Arial"/>
          <w:b/>
          <w:sz w:val="24"/>
          <w:szCs w:val="24"/>
        </w:rPr>
        <w:t xml:space="preserve">         CUARTO</w:t>
      </w:r>
      <w:r w:rsidRPr="00EE67C9">
        <w:rPr>
          <w:rFonts w:ascii="Arial" w:hAnsi="Arial" w:cs="Arial"/>
          <w:sz w:val="24"/>
          <w:szCs w:val="24"/>
        </w:rPr>
        <w:t xml:space="preserve">.- </w:t>
      </w:r>
      <w:r w:rsidRPr="00EE67C9">
        <w:rPr>
          <w:rFonts w:ascii="Arial" w:hAnsi="Arial" w:cs="Arial"/>
          <w:bCs/>
          <w:sz w:val="24"/>
          <w:szCs w:val="24"/>
        </w:rPr>
        <w:t>Estudio de los Conceptos de Impugnación y pruebas ofrecidas por la parte actora. Los conceptos de impugnación hechos valer por el actor se encuentran expuestos en su escrito inicial de demanda, por lo que no existe necesidad de transcribirlos, al no transgredírsele derecho alguno, como tampoco se vulnera disposición expresa que imponga tal obligación</w:t>
      </w:r>
      <w:r w:rsidRPr="00EE67C9">
        <w:rPr>
          <w:rFonts w:ascii="Arial" w:hAnsi="Arial" w:cs="Arial"/>
          <w:sz w:val="24"/>
          <w:szCs w:val="24"/>
        </w:rPr>
        <w:t xml:space="preserve">; no obstante ello, serán valorados en el cuerpo de esta sentencia. - - - - - - - - - - - - - - - </w:t>
      </w:r>
      <w:r w:rsidR="00883EA3" w:rsidRPr="00EE67C9">
        <w:rPr>
          <w:rFonts w:ascii="Arial" w:hAnsi="Arial" w:cs="Arial"/>
          <w:sz w:val="24"/>
          <w:szCs w:val="24"/>
        </w:rPr>
        <w:t xml:space="preserve"> - - - - - - - - - - - - - - </w:t>
      </w:r>
    </w:p>
    <w:p w14:paraId="07BEEA40" w14:textId="77777777" w:rsidR="00FE0CC9" w:rsidRPr="00EE67C9" w:rsidRDefault="00FE0CC9" w:rsidP="00FE0CC9">
      <w:pPr>
        <w:spacing w:line="360" w:lineRule="auto"/>
        <w:jc w:val="both"/>
        <w:rPr>
          <w:rFonts w:ascii="Arial" w:hAnsi="Arial" w:cs="Arial"/>
          <w:sz w:val="24"/>
          <w:szCs w:val="24"/>
        </w:rPr>
      </w:pPr>
    </w:p>
    <w:p w14:paraId="422D4E39" w14:textId="77777777" w:rsidR="00FE0CC9" w:rsidRPr="00EE67C9" w:rsidRDefault="00FE0CC9" w:rsidP="00FE0CC9">
      <w:pPr>
        <w:widowControl w:val="0"/>
        <w:autoSpaceDE w:val="0"/>
        <w:autoSpaceDN w:val="0"/>
        <w:spacing w:line="360" w:lineRule="auto"/>
        <w:ind w:firstLine="708"/>
        <w:jc w:val="both"/>
        <w:rPr>
          <w:rFonts w:ascii="Arial" w:hAnsi="Arial" w:cs="Arial"/>
          <w:sz w:val="24"/>
          <w:szCs w:val="24"/>
        </w:rPr>
      </w:pPr>
      <w:r w:rsidRPr="00EE67C9">
        <w:rPr>
          <w:rFonts w:ascii="Arial" w:hAnsi="Arial" w:cs="Arial"/>
          <w:sz w:val="24"/>
          <w:szCs w:val="24"/>
          <w:lang w:val="es-MX"/>
        </w:rPr>
        <w:t>Al respecto resulta aplicable</w:t>
      </w:r>
      <w:r w:rsidRPr="00EE67C9">
        <w:rPr>
          <w:rFonts w:ascii="Arial" w:hAnsi="Arial" w:cs="Arial"/>
          <w:sz w:val="24"/>
          <w:szCs w:val="24"/>
        </w:rPr>
        <w:t xml:space="preserve"> la jurisprudencia por contradicción de tesis 2a./J. 58/2010, publicada en la Novena Época, por la Segunda Sala de la Suprema Corte de Justicia de la Nación, consultable en el </w:t>
      </w:r>
      <w:r w:rsidRPr="00EE67C9">
        <w:rPr>
          <w:rFonts w:ascii="Arial" w:hAnsi="Arial" w:cs="Arial"/>
          <w:i/>
          <w:sz w:val="24"/>
          <w:szCs w:val="24"/>
        </w:rPr>
        <w:t>Semanario Judicial de la Federación y su Gaceta</w:t>
      </w:r>
      <w:r w:rsidRPr="00EE67C9">
        <w:rPr>
          <w:rFonts w:ascii="Arial" w:hAnsi="Arial" w:cs="Arial"/>
          <w:sz w:val="24"/>
          <w:szCs w:val="24"/>
        </w:rPr>
        <w:t>, Tomo XXXI, mayo de 2010, página 830, de rubro:</w:t>
      </w:r>
    </w:p>
    <w:p w14:paraId="5F1ECAA7" w14:textId="77777777" w:rsidR="00FE0CC9" w:rsidRPr="00EE67C9" w:rsidRDefault="00FE0CC9" w:rsidP="00FE0CC9">
      <w:pPr>
        <w:widowControl w:val="0"/>
        <w:autoSpaceDE w:val="0"/>
        <w:autoSpaceDN w:val="0"/>
        <w:spacing w:line="276" w:lineRule="auto"/>
        <w:ind w:firstLine="708"/>
        <w:jc w:val="both"/>
        <w:rPr>
          <w:rFonts w:ascii="Arial" w:hAnsi="Arial" w:cs="Arial"/>
          <w:sz w:val="24"/>
          <w:szCs w:val="24"/>
        </w:rPr>
      </w:pPr>
    </w:p>
    <w:p w14:paraId="3B5162BA" w14:textId="77777777" w:rsidR="00FE0CC9" w:rsidRPr="00EE67C9" w:rsidRDefault="00FE0CC9" w:rsidP="00FE0CC9">
      <w:pPr>
        <w:widowControl w:val="0"/>
        <w:autoSpaceDE w:val="0"/>
        <w:autoSpaceDN w:val="0"/>
        <w:spacing w:line="360" w:lineRule="auto"/>
        <w:ind w:left="1701" w:right="1469"/>
        <w:jc w:val="both"/>
        <w:rPr>
          <w:rFonts w:ascii="Arial" w:hAnsi="Arial" w:cs="Arial"/>
          <w:b/>
          <w:sz w:val="18"/>
          <w:szCs w:val="18"/>
        </w:rPr>
      </w:pPr>
      <w:r w:rsidRPr="00EE67C9">
        <w:rPr>
          <w:rFonts w:ascii="Arial" w:hAnsi="Arial" w:cs="Arial"/>
          <w:sz w:val="24"/>
          <w:szCs w:val="24"/>
        </w:rPr>
        <w:t xml:space="preserve"> </w:t>
      </w:r>
      <w:r w:rsidRPr="00EE67C9">
        <w:rPr>
          <w:rFonts w:ascii="Arial" w:hAnsi="Arial" w:cs="Arial"/>
          <w:sz w:val="18"/>
          <w:szCs w:val="18"/>
        </w:rPr>
        <w:t>CONCEPTOS DE VIOLACIÓN O AGRAVIOS. PARA CUMPLIR CON LOS PRINCIPIOS DE CONGRUENCIA Y EXHAUSTIVIDAD EN LAS SENTENCIAS DE AMPARO ES INNECESARIA SU TRANSCRIPCIÓN</w:t>
      </w:r>
      <w:r w:rsidRPr="00EE67C9">
        <w:rPr>
          <w:rFonts w:ascii="Arial" w:hAnsi="Arial" w:cs="Arial"/>
          <w:b/>
          <w:sz w:val="18"/>
          <w:szCs w:val="18"/>
        </w:rPr>
        <w:t>.</w:t>
      </w:r>
    </w:p>
    <w:p w14:paraId="3C454F4A" w14:textId="77777777" w:rsidR="00FE0CC9" w:rsidRPr="00EE67C9" w:rsidRDefault="00FE0CC9" w:rsidP="00FE0CC9">
      <w:pPr>
        <w:widowControl w:val="0"/>
        <w:autoSpaceDE w:val="0"/>
        <w:autoSpaceDN w:val="0"/>
        <w:spacing w:line="360" w:lineRule="auto"/>
        <w:ind w:left="1701" w:right="1469"/>
        <w:jc w:val="right"/>
        <w:rPr>
          <w:rFonts w:ascii="Arial" w:hAnsi="Arial" w:cs="Arial"/>
          <w:sz w:val="24"/>
          <w:szCs w:val="24"/>
          <w:lang w:eastAsia="es-ES"/>
        </w:rPr>
      </w:pPr>
    </w:p>
    <w:p w14:paraId="49FF9BEE" w14:textId="362895E8" w:rsidR="00FE0CC9" w:rsidRPr="00EE67C9" w:rsidRDefault="00FE0CC9" w:rsidP="00FE0CC9">
      <w:pPr>
        <w:spacing w:line="360" w:lineRule="auto"/>
        <w:ind w:right="51" w:firstLine="708"/>
        <w:jc w:val="both"/>
        <w:rPr>
          <w:rFonts w:ascii="Arial" w:hAnsi="Arial" w:cs="Arial"/>
          <w:sz w:val="24"/>
          <w:szCs w:val="24"/>
          <w:lang w:eastAsia="es-ES"/>
        </w:rPr>
      </w:pPr>
      <w:r w:rsidRPr="00EE67C9">
        <w:rPr>
          <w:rFonts w:ascii="Arial" w:hAnsi="Arial" w:cs="Arial"/>
          <w:sz w:val="24"/>
          <w:szCs w:val="24"/>
          <w:lang w:eastAsia="es-ES"/>
        </w:rPr>
        <w:t xml:space="preserve">Ahora bien, esta Sala después de haber analizado la MULTA POR INFRACCIÓN RELACIONADA CON LA PRESENTACIÓN DE DECLARACIONES </w:t>
      </w:r>
      <w:r w:rsidRPr="00EE67C9">
        <w:rPr>
          <w:rFonts w:ascii="Arial" w:hAnsi="Arial" w:cs="Arial"/>
          <w:sz w:val="24"/>
          <w:szCs w:val="24"/>
          <w:lang w:eastAsia="es-ES"/>
        </w:rPr>
        <w:lastRenderedPageBreak/>
        <w:t xml:space="preserve">DEL IMPUESTO SOBRE EROGACIONES POR REMUNERACIONES AL TRABAJO PERSONAL, contenida en el oficio con número </w:t>
      </w:r>
      <w:r w:rsidRPr="00EE67C9">
        <w:rPr>
          <w:rFonts w:ascii="Arial" w:hAnsi="Arial" w:cs="Arial"/>
          <w:sz w:val="24"/>
          <w:szCs w:val="24"/>
        </w:rPr>
        <w:t xml:space="preserve">de control </w:t>
      </w:r>
      <w:r w:rsidR="0007616F" w:rsidRPr="00EE67C9">
        <w:rPr>
          <w:rFonts w:ascii="Arial" w:hAnsi="Arial" w:cs="Arial"/>
          <w:sz w:val="24"/>
          <w:szCs w:val="24"/>
        </w:rPr>
        <w:t>**********</w:t>
      </w:r>
      <w:r w:rsidRPr="00EE67C9">
        <w:rPr>
          <w:rFonts w:ascii="Arial" w:hAnsi="Arial" w:cs="Arial"/>
          <w:sz w:val="24"/>
          <w:szCs w:val="24"/>
        </w:rPr>
        <w:t xml:space="preserve"> de fecha veintisiete de julio de dos mil dieciocho (27/07/2018), signada por la </w:t>
      </w:r>
      <w:r w:rsidR="0007616F" w:rsidRPr="00EE67C9">
        <w:rPr>
          <w:rFonts w:ascii="Arial" w:hAnsi="Arial" w:cs="Arial"/>
          <w:sz w:val="24"/>
          <w:szCs w:val="24"/>
        </w:rPr>
        <w:t>**********</w:t>
      </w:r>
      <w:r w:rsidRPr="00EE67C9">
        <w:rPr>
          <w:rFonts w:ascii="Arial" w:hAnsi="Arial" w:cs="Arial"/>
          <w:sz w:val="24"/>
          <w:szCs w:val="24"/>
          <w:lang w:eastAsia="es-ES"/>
        </w:rPr>
        <w:t>y tomando en consideración los conceptos de impugnación hechos valer por el actor se advierte, que la enjuiciada señaló lo siguiente:</w:t>
      </w:r>
    </w:p>
    <w:p w14:paraId="6E0DCF54" w14:textId="77777777" w:rsidR="00FE0CC9" w:rsidRPr="00EE67C9" w:rsidRDefault="00FE0CC9" w:rsidP="00FE0CC9">
      <w:pPr>
        <w:spacing w:line="360" w:lineRule="auto"/>
        <w:ind w:right="51"/>
        <w:jc w:val="both"/>
        <w:rPr>
          <w:rFonts w:ascii="Arial" w:hAnsi="Arial" w:cs="Arial"/>
          <w:sz w:val="24"/>
          <w:szCs w:val="24"/>
          <w:lang w:eastAsia="es-ES"/>
        </w:rPr>
      </w:pPr>
    </w:p>
    <w:p w14:paraId="22D7A980" w14:textId="77777777" w:rsidR="00FE0CC9" w:rsidRPr="00EE67C9" w:rsidRDefault="00FE0CC9" w:rsidP="00FE0CC9">
      <w:pPr>
        <w:spacing w:line="360" w:lineRule="auto"/>
        <w:ind w:right="51"/>
        <w:jc w:val="both"/>
        <w:rPr>
          <w:rFonts w:ascii="Arial" w:hAnsi="Arial" w:cs="Arial"/>
          <w:i/>
          <w:sz w:val="24"/>
          <w:szCs w:val="24"/>
          <w:lang w:val="es-ES_tradnl" w:eastAsia="es-ES"/>
        </w:rPr>
      </w:pPr>
      <w:r w:rsidRPr="00EE67C9">
        <w:rPr>
          <w:rFonts w:ascii="Arial" w:hAnsi="Arial" w:cs="Arial"/>
          <w:sz w:val="24"/>
          <w:szCs w:val="24"/>
          <w:lang w:eastAsia="es-ES"/>
        </w:rPr>
        <w:t xml:space="preserve">          </w:t>
      </w:r>
      <w:r w:rsidRPr="00EE67C9">
        <w:rPr>
          <w:rFonts w:ascii="Arial" w:hAnsi="Arial" w:cs="Arial"/>
          <w:i/>
          <w:sz w:val="24"/>
          <w:szCs w:val="24"/>
          <w:lang w:eastAsia="es-ES"/>
        </w:rPr>
        <w:t>“Que en los artículos 61 párrafos primero y tercero del Código Fiscal para el Estado de Oaxaca vigente; 53,55 fracción I, II y III, y 56 fracción II del Reglamento del mismo ordenamiento legal, señalan que los contribuyentes que tengan obligación de presentar declaraciones periódicas de conformidad con las leyes fiscales respectivas, lo harán ante las autoridades fiscales y en las formas que siendo aprobadas y publicadas por la Secretaría de Finanzas, se expidan para tal efecto, mismas que deben realizarse dentro de los primeros 17 días del mes siguiente al periodo que se está declarando”</w:t>
      </w:r>
      <w:r w:rsidRPr="00EE67C9">
        <w:rPr>
          <w:rFonts w:ascii="Arial" w:hAnsi="Arial" w:cs="Arial"/>
          <w:sz w:val="24"/>
          <w:szCs w:val="24"/>
          <w:lang w:eastAsia="es-ES"/>
        </w:rPr>
        <w:t xml:space="preserve"> </w:t>
      </w:r>
      <w:r w:rsidRPr="00EE67C9">
        <w:rPr>
          <w:rFonts w:ascii="Arial" w:hAnsi="Arial" w:cs="Arial"/>
          <w:sz w:val="24"/>
          <w:szCs w:val="24"/>
          <w:lang w:val="es-ES_tradnl" w:eastAsia="es-ES"/>
        </w:rPr>
        <w:t xml:space="preserve">. </w:t>
      </w:r>
      <w:r w:rsidRPr="00EE67C9">
        <w:rPr>
          <w:rFonts w:ascii="Arial" w:hAnsi="Arial" w:cs="Arial"/>
          <w:i/>
          <w:sz w:val="24"/>
          <w:szCs w:val="24"/>
          <w:lang w:val="es-ES_tradnl" w:eastAsia="es-ES"/>
        </w:rPr>
        <w:t>“</w:t>
      </w:r>
      <w:r w:rsidRPr="00EE67C9">
        <w:rPr>
          <w:rFonts w:ascii="Arial" w:hAnsi="Arial" w:cs="Arial"/>
          <w:i/>
          <w:sz w:val="24"/>
          <w:szCs w:val="24"/>
          <w:lang w:eastAsia="es-ES"/>
        </w:rPr>
        <w:t xml:space="preserve">Atendiendo a lo anterior se realizó </w:t>
      </w:r>
      <w:r w:rsidRPr="00EE67C9">
        <w:rPr>
          <w:rFonts w:ascii="Arial" w:hAnsi="Arial" w:cs="Arial"/>
          <w:i/>
          <w:sz w:val="24"/>
          <w:szCs w:val="24"/>
          <w:lang w:val="es-ES_tradnl" w:eastAsia="es-ES"/>
        </w:rPr>
        <w:t>una revisión minuciosa en el Registro Estatal de Contribuyentes con que cuenta esta Secretaría de Finanzas; la cual contiene los registros contables en materia de declaraciones y pagos; y en ejercicio de las facultades de revisión al cumplimiento de las declaraciones y pagos, de los contribuyentes activos e inscritos en materia del Impuesto Sobre Erogaciones por Remuneraciones al Trabajo Personal, se le ha identificado como sujeto obligado  en materia del impuesto de referencia, y que ha  incurrido en el incumplimiento de su(s) obligación(es), toda vez que ha transcurrido en exceso el plazo a que se refiere el artículo 66 de la Ley de Estatal de Hacienda Vigente, para los ejercicios fiscales que se requieren, para la presentación de la(s) declaración(es) bimestral(es) definitiva(s) y enterar el impuesto que nos ocupa, conforme a lo siguiente:</w:t>
      </w:r>
    </w:p>
    <w:p w14:paraId="468E6133" w14:textId="77777777" w:rsidR="00FE0CC9" w:rsidRPr="00EE67C9" w:rsidRDefault="00FE0CC9" w:rsidP="00FE0CC9">
      <w:pPr>
        <w:spacing w:line="360" w:lineRule="auto"/>
        <w:ind w:right="51"/>
        <w:jc w:val="both"/>
        <w:rPr>
          <w:rFonts w:ascii="Arial" w:hAnsi="Arial" w:cs="Arial"/>
          <w:sz w:val="24"/>
          <w:szCs w:val="24"/>
          <w:lang w:val="es-ES_tradnl" w:eastAsia="es-ES"/>
        </w:rPr>
      </w:pPr>
    </w:p>
    <w:p w14:paraId="28F3FC49" w14:textId="77777777" w:rsidR="00883EA3" w:rsidRPr="00EE67C9" w:rsidRDefault="00883EA3" w:rsidP="00FE0CC9">
      <w:pPr>
        <w:spacing w:line="360" w:lineRule="auto"/>
        <w:ind w:right="51"/>
        <w:jc w:val="both"/>
        <w:rPr>
          <w:rFonts w:ascii="Arial" w:hAnsi="Arial" w:cs="Arial"/>
          <w:sz w:val="24"/>
          <w:szCs w:val="24"/>
          <w:lang w:val="es-ES_tradnl" w:eastAsia="es-ES"/>
        </w:rPr>
      </w:pPr>
    </w:p>
    <w:tbl>
      <w:tblPr>
        <w:tblW w:w="913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1"/>
        <w:gridCol w:w="1276"/>
        <w:gridCol w:w="1909"/>
        <w:gridCol w:w="1635"/>
        <w:gridCol w:w="2561"/>
      </w:tblGrid>
      <w:tr w:rsidR="00EE67C9" w:rsidRPr="00EE67C9" w14:paraId="07A3CCB9" w14:textId="77777777" w:rsidTr="00883EA3">
        <w:trPr>
          <w:trHeight w:val="153"/>
        </w:trPr>
        <w:tc>
          <w:tcPr>
            <w:tcW w:w="1751" w:type="dxa"/>
          </w:tcPr>
          <w:p w14:paraId="5F33C93A" w14:textId="77777777" w:rsidR="00FE0CC9" w:rsidRPr="00EE67C9" w:rsidRDefault="00FE0CC9" w:rsidP="00FE0CC9">
            <w:pPr>
              <w:spacing w:line="360" w:lineRule="auto"/>
              <w:ind w:right="51"/>
              <w:jc w:val="center"/>
              <w:rPr>
                <w:rFonts w:ascii="Arial" w:hAnsi="Arial" w:cs="Arial"/>
                <w:sz w:val="14"/>
                <w:szCs w:val="14"/>
                <w:lang w:val="es-ES_tradnl" w:eastAsia="es-ES"/>
              </w:rPr>
            </w:pPr>
            <w:r w:rsidRPr="00EE67C9">
              <w:rPr>
                <w:rFonts w:ascii="Arial" w:hAnsi="Arial" w:cs="Arial"/>
                <w:sz w:val="14"/>
                <w:szCs w:val="14"/>
                <w:lang w:val="es-ES_tradnl" w:eastAsia="es-ES"/>
              </w:rPr>
              <w:t>OBLIGACIÓN OMITIDA</w:t>
            </w:r>
          </w:p>
        </w:tc>
        <w:tc>
          <w:tcPr>
            <w:tcW w:w="1276" w:type="dxa"/>
          </w:tcPr>
          <w:p w14:paraId="60BB9EE5" w14:textId="77777777" w:rsidR="00FE0CC9" w:rsidRPr="00EE67C9" w:rsidRDefault="00FE0CC9" w:rsidP="00FE0CC9">
            <w:pPr>
              <w:spacing w:line="360" w:lineRule="auto"/>
              <w:ind w:right="51"/>
              <w:jc w:val="center"/>
              <w:rPr>
                <w:rFonts w:ascii="Arial" w:hAnsi="Arial" w:cs="Arial"/>
                <w:sz w:val="14"/>
                <w:szCs w:val="14"/>
                <w:lang w:val="es-ES_tradnl" w:eastAsia="es-ES"/>
              </w:rPr>
            </w:pPr>
            <w:r w:rsidRPr="00EE67C9">
              <w:rPr>
                <w:rFonts w:ascii="Arial" w:hAnsi="Arial" w:cs="Arial"/>
                <w:sz w:val="14"/>
                <w:szCs w:val="14"/>
                <w:lang w:val="es-ES_tradnl" w:eastAsia="es-ES"/>
              </w:rPr>
              <w:t>PERIODOS REQUERIDOS</w:t>
            </w:r>
          </w:p>
        </w:tc>
        <w:tc>
          <w:tcPr>
            <w:tcW w:w="1909" w:type="dxa"/>
          </w:tcPr>
          <w:p w14:paraId="18CB9574" w14:textId="77777777" w:rsidR="00FE0CC9" w:rsidRPr="00EE67C9" w:rsidRDefault="00FE0CC9" w:rsidP="00FE0CC9">
            <w:pPr>
              <w:spacing w:line="360" w:lineRule="auto"/>
              <w:ind w:right="51"/>
              <w:jc w:val="center"/>
              <w:rPr>
                <w:rFonts w:ascii="Arial" w:hAnsi="Arial" w:cs="Arial"/>
                <w:sz w:val="14"/>
                <w:szCs w:val="14"/>
                <w:lang w:val="es-ES_tradnl" w:eastAsia="es-ES"/>
              </w:rPr>
            </w:pPr>
            <w:r w:rsidRPr="00EE67C9">
              <w:rPr>
                <w:rFonts w:ascii="Arial" w:hAnsi="Arial" w:cs="Arial"/>
                <w:sz w:val="14"/>
                <w:szCs w:val="14"/>
                <w:lang w:val="es-ES_tradnl" w:eastAsia="es-ES"/>
              </w:rPr>
              <w:t>PLAZO PARA LA PRESENTACIÓN DE LAS DECLARACIONES OMITIDAS</w:t>
            </w:r>
          </w:p>
        </w:tc>
        <w:tc>
          <w:tcPr>
            <w:tcW w:w="1635" w:type="dxa"/>
          </w:tcPr>
          <w:p w14:paraId="553149F2" w14:textId="77777777" w:rsidR="00FE0CC9" w:rsidRPr="00EE67C9" w:rsidRDefault="00FE0CC9" w:rsidP="00FE0CC9">
            <w:pPr>
              <w:spacing w:line="360" w:lineRule="auto"/>
              <w:ind w:right="51"/>
              <w:jc w:val="center"/>
              <w:rPr>
                <w:rFonts w:ascii="Arial" w:hAnsi="Arial" w:cs="Arial"/>
                <w:sz w:val="14"/>
                <w:szCs w:val="14"/>
                <w:lang w:val="es-ES_tradnl" w:eastAsia="es-ES"/>
              </w:rPr>
            </w:pPr>
            <w:r w:rsidRPr="00EE67C9">
              <w:rPr>
                <w:rFonts w:ascii="Arial" w:hAnsi="Arial" w:cs="Arial"/>
                <w:sz w:val="14"/>
                <w:szCs w:val="14"/>
                <w:lang w:val="es-ES_tradnl" w:eastAsia="es-ES"/>
              </w:rPr>
              <w:t>FECHA DE VENCIMIENTO</w:t>
            </w:r>
          </w:p>
        </w:tc>
        <w:tc>
          <w:tcPr>
            <w:tcW w:w="2561" w:type="dxa"/>
          </w:tcPr>
          <w:p w14:paraId="5EEEBBB4" w14:textId="77777777" w:rsidR="00FE0CC9" w:rsidRPr="00EE67C9" w:rsidRDefault="00FE0CC9" w:rsidP="00FE0CC9">
            <w:pPr>
              <w:spacing w:line="360" w:lineRule="auto"/>
              <w:ind w:right="51"/>
              <w:jc w:val="center"/>
              <w:rPr>
                <w:rFonts w:ascii="Arial" w:hAnsi="Arial" w:cs="Arial"/>
                <w:sz w:val="14"/>
                <w:szCs w:val="14"/>
                <w:lang w:val="es-ES_tradnl" w:eastAsia="es-ES"/>
              </w:rPr>
            </w:pPr>
            <w:r w:rsidRPr="00EE67C9">
              <w:rPr>
                <w:rFonts w:ascii="Arial" w:hAnsi="Arial" w:cs="Arial"/>
                <w:sz w:val="14"/>
                <w:szCs w:val="14"/>
                <w:lang w:val="es-ES_tradnl" w:eastAsia="es-ES"/>
              </w:rPr>
              <w:t>FUNDAMENTO LEGAL</w:t>
            </w:r>
          </w:p>
        </w:tc>
      </w:tr>
      <w:tr w:rsidR="00EE67C9" w:rsidRPr="00EE67C9" w14:paraId="62D33F29" w14:textId="77777777" w:rsidTr="00384F84">
        <w:trPr>
          <w:trHeight w:val="1968"/>
        </w:trPr>
        <w:tc>
          <w:tcPr>
            <w:tcW w:w="1751" w:type="dxa"/>
          </w:tcPr>
          <w:p w14:paraId="31F19100" w14:textId="77777777" w:rsidR="00FE0CC9" w:rsidRPr="00EE67C9" w:rsidRDefault="00FE0CC9" w:rsidP="00FE0CC9">
            <w:pPr>
              <w:spacing w:line="360" w:lineRule="auto"/>
              <w:ind w:right="51"/>
              <w:jc w:val="both"/>
              <w:rPr>
                <w:rFonts w:ascii="Arial" w:hAnsi="Arial" w:cs="Arial"/>
                <w:sz w:val="14"/>
                <w:szCs w:val="14"/>
                <w:lang w:val="es-ES_tradnl" w:eastAsia="es-ES"/>
              </w:rPr>
            </w:pPr>
            <w:r w:rsidRPr="00EE67C9">
              <w:rPr>
                <w:rFonts w:ascii="Arial" w:hAnsi="Arial" w:cs="Arial"/>
                <w:sz w:val="14"/>
                <w:szCs w:val="14"/>
                <w:lang w:val="es-ES_tradnl" w:eastAsia="es-ES"/>
              </w:rPr>
              <w:t>Presentación de la (s) declaración(es) bimestral(es) definitiva(s) del Impuesto Sobre Erogaciones por Remuneraciones al Trabajo Personal.</w:t>
            </w:r>
          </w:p>
        </w:tc>
        <w:tc>
          <w:tcPr>
            <w:tcW w:w="1276" w:type="dxa"/>
          </w:tcPr>
          <w:p w14:paraId="1B5484E5"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1° bimestre 2014</w:t>
            </w:r>
          </w:p>
          <w:p w14:paraId="147AFB25"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2° bimestre 2014</w:t>
            </w:r>
          </w:p>
          <w:p w14:paraId="4D016586"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3° bimestre 2014</w:t>
            </w:r>
          </w:p>
          <w:p w14:paraId="49A0B087"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4° bimestre 2014</w:t>
            </w:r>
          </w:p>
          <w:p w14:paraId="34A105A2"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5° bimestre 2014</w:t>
            </w:r>
          </w:p>
          <w:p w14:paraId="2061E27B"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6° bimestre 2014</w:t>
            </w:r>
          </w:p>
          <w:p w14:paraId="663A5F39"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1° bimestre 2015</w:t>
            </w:r>
          </w:p>
          <w:p w14:paraId="6864060A"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2° bimestre 2015</w:t>
            </w:r>
          </w:p>
          <w:p w14:paraId="6048A2E5"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3° bimestre 2015</w:t>
            </w:r>
          </w:p>
          <w:p w14:paraId="5D9E0F4B"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4° bimestre 2015</w:t>
            </w:r>
          </w:p>
          <w:p w14:paraId="13BDA3DD"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5° bimestre 2015</w:t>
            </w:r>
          </w:p>
          <w:p w14:paraId="6D44132C"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6° bimestre 2015</w:t>
            </w:r>
          </w:p>
          <w:p w14:paraId="67A08089"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1° bimestre 2016</w:t>
            </w:r>
          </w:p>
          <w:p w14:paraId="136FE3DC"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2° bimestre 2016</w:t>
            </w:r>
          </w:p>
          <w:p w14:paraId="46852B77"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3° bimestre 2016</w:t>
            </w:r>
          </w:p>
          <w:p w14:paraId="7DE14513"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4° bimestre 2016</w:t>
            </w:r>
          </w:p>
          <w:p w14:paraId="4623E9BB"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5° bimestre 2016</w:t>
            </w:r>
          </w:p>
          <w:p w14:paraId="6ACA8046"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6° bimestre 2016</w:t>
            </w:r>
          </w:p>
          <w:p w14:paraId="75A7F95C"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1° bimestre 2017</w:t>
            </w:r>
          </w:p>
          <w:p w14:paraId="4816290B"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2° bimestre 2017</w:t>
            </w:r>
          </w:p>
          <w:p w14:paraId="1531771F"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3° bimestre 2017</w:t>
            </w:r>
          </w:p>
          <w:p w14:paraId="25B397DC"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4° bimestre 2017</w:t>
            </w:r>
          </w:p>
          <w:p w14:paraId="75D5A437"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5° bimestre 2017</w:t>
            </w:r>
          </w:p>
          <w:p w14:paraId="2009D542"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6° bimestre 2017</w:t>
            </w:r>
          </w:p>
          <w:p w14:paraId="34470172"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lastRenderedPageBreak/>
              <w:t>1° bimestre 2018</w:t>
            </w:r>
          </w:p>
          <w:p w14:paraId="230F3C4C"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2° bimestre 2018</w:t>
            </w:r>
          </w:p>
          <w:p w14:paraId="1A88E6D6" w14:textId="77777777" w:rsidR="00FE0CC9" w:rsidRPr="00EE67C9" w:rsidRDefault="00FE0CC9" w:rsidP="00FE0CC9">
            <w:pPr>
              <w:spacing w:line="360" w:lineRule="auto"/>
              <w:ind w:right="51"/>
              <w:jc w:val="center"/>
              <w:rPr>
                <w:rFonts w:ascii="Arial" w:hAnsi="Arial" w:cs="Arial"/>
                <w:sz w:val="14"/>
                <w:szCs w:val="14"/>
                <w:lang w:val="es-ES_tradnl" w:eastAsia="es-ES"/>
              </w:rPr>
            </w:pPr>
          </w:p>
        </w:tc>
        <w:tc>
          <w:tcPr>
            <w:tcW w:w="1909" w:type="dxa"/>
          </w:tcPr>
          <w:p w14:paraId="110C4E33" w14:textId="77777777" w:rsidR="00FE0CC9" w:rsidRPr="00EE67C9" w:rsidRDefault="00FE0CC9" w:rsidP="00FE0CC9">
            <w:pPr>
              <w:spacing w:line="360" w:lineRule="auto"/>
              <w:ind w:right="51"/>
              <w:rPr>
                <w:rFonts w:ascii="Arial" w:hAnsi="Arial" w:cs="Arial"/>
                <w:sz w:val="12"/>
                <w:szCs w:val="12"/>
                <w:lang w:val="es-ES_tradnl" w:eastAsia="es-ES"/>
              </w:rPr>
            </w:pPr>
            <w:r w:rsidRPr="00EE67C9">
              <w:rPr>
                <w:rFonts w:ascii="Arial" w:hAnsi="Arial" w:cs="Arial"/>
                <w:sz w:val="12"/>
                <w:szCs w:val="12"/>
                <w:lang w:val="es-ES_tradnl" w:eastAsia="es-ES"/>
              </w:rPr>
              <w:lastRenderedPageBreak/>
              <w:t>1 al 17 de Marzo del 2014</w:t>
            </w:r>
          </w:p>
          <w:p w14:paraId="2020C5AF" w14:textId="77777777" w:rsidR="00FE0CC9" w:rsidRPr="00EE67C9" w:rsidRDefault="00FE0CC9" w:rsidP="00FE0CC9">
            <w:pPr>
              <w:spacing w:line="360" w:lineRule="auto"/>
              <w:ind w:right="51"/>
              <w:rPr>
                <w:rFonts w:ascii="Arial" w:hAnsi="Arial" w:cs="Arial"/>
                <w:sz w:val="12"/>
                <w:szCs w:val="12"/>
                <w:lang w:val="es-ES_tradnl" w:eastAsia="es-ES"/>
              </w:rPr>
            </w:pPr>
            <w:r w:rsidRPr="00EE67C9">
              <w:rPr>
                <w:rFonts w:ascii="Arial" w:hAnsi="Arial" w:cs="Arial"/>
                <w:sz w:val="12"/>
                <w:szCs w:val="12"/>
                <w:lang w:val="es-ES_tradnl" w:eastAsia="es-ES"/>
              </w:rPr>
              <w:t>1 al 17 de Mayo del 2014</w:t>
            </w:r>
          </w:p>
          <w:p w14:paraId="244C852C" w14:textId="77777777" w:rsidR="00FE0CC9" w:rsidRPr="00EE67C9" w:rsidRDefault="00FE0CC9" w:rsidP="00FE0CC9">
            <w:pPr>
              <w:spacing w:line="360" w:lineRule="auto"/>
              <w:ind w:right="51"/>
              <w:rPr>
                <w:rFonts w:ascii="Arial" w:hAnsi="Arial" w:cs="Arial"/>
                <w:sz w:val="12"/>
                <w:szCs w:val="12"/>
                <w:lang w:val="es-ES_tradnl" w:eastAsia="es-ES"/>
              </w:rPr>
            </w:pPr>
            <w:r w:rsidRPr="00EE67C9">
              <w:rPr>
                <w:rFonts w:ascii="Arial" w:hAnsi="Arial" w:cs="Arial"/>
                <w:sz w:val="12"/>
                <w:szCs w:val="12"/>
                <w:lang w:val="es-ES_tradnl" w:eastAsia="es-ES"/>
              </w:rPr>
              <w:t>1 al 17 de Julio del 2014</w:t>
            </w:r>
          </w:p>
          <w:p w14:paraId="269D9E1C" w14:textId="77777777" w:rsidR="00FE0CC9" w:rsidRPr="00EE67C9" w:rsidRDefault="00FE0CC9" w:rsidP="00FE0CC9">
            <w:pPr>
              <w:spacing w:line="360" w:lineRule="auto"/>
              <w:ind w:right="51"/>
              <w:rPr>
                <w:rFonts w:ascii="Arial" w:hAnsi="Arial" w:cs="Arial"/>
                <w:sz w:val="12"/>
                <w:szCs w:val="12"/>
                <w:lang w:val="es-ES_tradnl" w:eastAsia="es-ES"/>
              </w:rPr>
            </w:pPr>
            <w:r w:rsidRPr="00EE67C9">
              <w:rPr>
                <w:rFonts w:ascii="Arial" w:hAnsi="Arial" w:cs="Arial"/>
                <w:sz w:val="12"/>
                <w:szCs w:val="12"/>
                <w:lang w:val="es-ES_tradnl" w:eastAsia="es-ES"/>
              </w:rPr>
              <w:t>1 al 17 de Septiembre del 2014</w:t>
            </w:r>
          </w:p>
          <w:p w14:paraId="07C769B3" w14:textId="77777777" w:rsidR="00FE0CC9" w:rsidRPr="00EE67C9" w:rsidRDefault="00FE0CC9" w:rsidP="00FE0CC9">
            <w:pPr>
              <w:spacing w:line="360" w:lineRule="auto"/>
              <w:ind w:right="51"/>
              <w:rPr>
                <w:rFonts w:ascii="Arial" w:hAnsi="Arial" w:cs="Arial"/>
                <w:sz w:val="12"/>
                <w:szCs w:val="12"/>
                <w:lang w:val="es-ES_tradnl" w:eastAsia="es-ES"/>
              </w:rPr>
            </w:pPr>
            <w:r w:rsidRPr="00EE67C9">
              <w:rPr>
                <w:rFonts w:ascii="Arial" w:hAnsi="Arial" w:cs="Arial"/>
                <w:sz w:val="12"/>
                <w:szCs w:val="12"/>
                <w:lang w:val="es-ES_tradnl" w:eastAsia="es-ES"/>
              </w:rPr>
              <w:t>1 al 17 de Noviembre del 2014</w:t>
            </w:r>
          </w:p>
          <w:p w14:paraId="082E9D1F" w14:textId="77777777" w:rsidR="00FE0CC9" w:rsidRPr="00EE67C9" w:rsidRDefault="00FE0CC9" w:rsidP="00FE0CC9">
            <w:pPr>
              <w:spacing w:line="360" w:lineRule="auto"/>
              <w:ind w:right="51"/>
              <w:rPr>
                <w:rFonts w:ascii="Arial" w:hAnsi="Arial" w:cs="Arial"/>
                <w:sz w:val="12"/>
                <w:szCs w:val="12"/>
                <w:lang w:val="es-ES_tradnl" w:eastAsia="es-ES"/>
              </w:rPr>
            </w:pPr>
            <w:r w:rsidRPr="00EE67C9">
              <w:rPr>
                <w:rFonts w:ascii="Arial" w:hAnsi="Arial" w:cs="Arial"/>
                <w:sz w:val="12"/>
                <w:szCs w:val="12"/>
                <w:lang w:val="es-ES_tradnl" w:eastAsia="es-ES"/>
              </w:rPr>
              <w:t>1 al 17 de Enero del 2015</w:t>
            </w:r>
          </w:p>
          <w:p w14:paraId="7F4E5E5D" w14:textId="77777777" w:rsidR="00FE0CC9" w:rsidRPr="00EE67C9" w:rsidRDefault="00FE0CC9" w:rsidP="00FE0CC9">
            <w:pPr>
              <w:spacing w:line="360" w:lineRule="auto"/>
              <w:ind w:right="51"/>
              <w:rPr>
                <w:rFonts w:ascii="Arial" w:hAnsi="Arial" w:cs="Arial"/>
                <w:sz w:val="12"/>
                <w:szCs w:val="12"/>
                <w:lang w:val="es-ES_tradnl" w:eastAsia="es-ES"/>
              </w:rPr>
            </w:pPr>
            <w:r w:rsidRPr="00EE67C9">
              <w:rPr>
                <w:rFonts w:ascii="Arial" w:hAnsi="Arial" w:cs="Arial"/>
                <w:sz w:val="12"/>
                <w:szCs w:val="12"/>
                <w:lang w:val="es-ES_tradnl" w:eastAsia="es-ES"/>
              </w:rPr>
              <w:t>1 al 17 de Marzo del 2015</w:t>
            </w:r>
          </w:p>
          <w:p w14:paraId="7C870726" w14:textId="77777777" w:rsidR="00FE0CC9" w:rsidRPr="00EE67C9" w:rsidRDefault="00FE0CC9" w:rsidP="00FE0CC9">
            <w:pPr>
              <w:spacing w:line="360" w:lineRule="auto"/>
              <w:ind w:right="51"/>
              <w:rPr>
                <w:rFonts w:ascii="Arial" w:hAnsi="Arial" w:cs="Arial"/>
                <w:sz w:val="12"/>
                <w:szCs w:val="12"/>
                <w:lang w:val="es-ES_tradnl" w:eastAsia="es-ES"/>
              </w:rPr>
            </w:pPr>
            <w:r w:rsidRPr="00EE67C9">
              <w:rPr>
                <w:rFonts w:ascii="Arial" w:hAnsi="Arial" w:cs="Arial"/>
                <w:sz w:val="12"/>
                <w:szCs w:val="12"/>
                <w:lang w:val="es-ES_tradnl" w:eastAsia="es-ES"/>
              </w:rPr>
              <w:t>1 al 17 de Mayo del 2015</w:t>
            </w:r>
          </w:p>
          <w:p w14:paraId="632A3643" w14:textId="77777777" w:rsidR="00FE0CC9" w:rsidRPr="00EE67C9" w:rsidRDefault="00FE0CC9" w:rsidP="00FE0CC9">
            <w:pPr>
              <w:spacing w:line="360" w:lineRule="auto"/>
              <w:ind w:right="51"/>
              <w:rPr>
                <w:rFonts w:ascii="Arial" w:hAnsi="Arial" w:cs="Arial"/>
                <w:sz w:val="12"/>
                <w:szCs w:val="12"/>
                <w:lang w:val="es-ES_tradnl" w:eastAsia="es-ES"/>
              </w:rPr>
            </w:pPr>
            <w:r w:rsidRPr="00EE67C9">
              <w:rPr>
                <w:rFonts w:ascii="Arial" w:hAnsi="Arial" w:cs="Arial"/>
                <w:sz w:val="12"/>
                <w:szCs w:val="12"/>
                <w:lang w:val="es-ES_tradnl" w:eastAsia="es-ES"/>
              </w:rPr>
              <w:t>1 al 17 de Julio del 2015</w:t>
            </w:r>
          </w:p>
          <w:p w14:paraId="6570931C" w14:textId="77777777" w:rsidR="00FE0CC9" w:rsidRPr="00EE67C9" w:rsidRDefault="00FE0CC9" w:rsidP="00FE0CC9">
            <w:pPr>
              <w:spacing w:line="360" w:lineRule="auto"/>
              <w:ind w:right="51"/>
              <w:rPr>
                <w:rFonts w:ascii="Arial" w:hAnsi="Arial" w:cs="Arial"/>
                <w:sz w:val="12"/>
                <w:szCs w:val="12"/>
                <w:lang w:val="es-ES_tradnl" w:eastAsia="es-ES"/>
              </w:rPr>
            </w:pPr>
            <w:r w:rsidRPr="00EE67C9">
              <w:rPr>
                <w:rFonts w:ascii="Arial" w:hAnsi="Arial" w:cs="Arial"/>
                <w:sz w:val="12"/>
                <w:szCs w:val="12"/>
                <w:lang w:val="es-ES_tradnl" w:eastAsia="es-ES"/>
              </w:rPr>
              <w:t>1 al 17 de Septiembre del 2015</w:t>
            </w:r>
          </w:p>
          <w:p w14:paraId="2AC89328" w14:textId="77777777" w:rsidR="00FE0CC9" w:rsidRPr="00EE67C9" w:rsidRDefault="00FE0CC9" w:rsidP="00FE0CC9">
            <w:pPr>
              <w:spacing w:line="360" w:lineRule="auto"/>
              <w:ind w:right="51"/>
              <w:rPr>
                <w:rFonts w:ascii="Arial" w:hAnsi="Arial" w:cs="Arial"/>
                <w:sz w:val="12"/>
                <w:szCs w:val="12"/>
                <w:lang w:val="es-ES_tradnl" w:eastAsia="es-ES"/>
              </w:rPr>
            </w:pPr>
            <w:r w:rsidRPr="00EE67C9">
              <w:rPr>
                <w:rFonts w:ascii="Arial" w:hAnsi="Arial" w:cs="Arial"/>
                <w:sz w:val="12"/>
                <w:szCs w:val="12"/>
                <w:lang w:val="es-ES_tradnl" w:eastAsia="es-ES"/>
              </w:rPr>
              <w:t>1 al 17 de Noviembre del 2015</w:t>
            </w:r>
          </w:p>
          <w:p w14:paraId="6BC23447" w14:textId="77777777" w:rsidR="00FE0CC9" w:rsidRPr="00EE67C9" w:rsidRDefault="00FE0CC9" w:rsidP="00FE0CC9">
            <w:pPr>
              <w:spacing w:line="360" w:lineRule="auto"/>
              <w:ind w:right="51"/>
              <w:rPr>
                <w:rFonts w:ascii="Arial" w:hAnsi="Arial" w:cs="Arial"/>
                <w:sz w:val="12"/>
                <w:szCs w:val="12"/>
                <w:lang w:val="es-ES_tradnl" w:eastAsia="es-ES"/>
              </w:rPr>
            </w:pPr>
            <w:r w:rsidRPr="00EE67C9">
              <w:rPr>
                <w:rFonts w:ascii="Arial" w:hAnsi="Arial" w:cs="Arial"/>
                <w:sz w:val="12"/>
                <w:szCs w:val="12"/>
                <w:lang w:val="es-ES_tradnl" w:eastAsia="es-ES"/>
              </w:rPr>
              <w:t>1 al 17 de Enero del 2016</w:t>
            </w:r>
          </w:p>
          <w:p w14:paraId="145C8454" w14:textId="77777777" w:rsidR="00FE0CC9" w:rsidRPr="00EE67C9" w:rsidRDefault="00FE0CC9" w:rsidP="00FE0CC9">
            <w:pPr>
              <w:spacing w:line="360" w:lineRule="auto"/>
              <w:ind w:right="51"/>
              <w:rPr>
                <w:rFonts w:ascii="Arial" w:hAnsi="Arial" w:cs="Arial"/>
                <w:sz w:val="12"/>
                <w:szCs w:val="12"/>
                <w:lang w:val="es-ES_tradnl" w:eastAsia="es-ES"/>
              </w:rPr>
            </w:pPr>
            <w:r w:rsidRPr="00EE67C9">
              <w:rPr>
                <w:rFonts w:ascii="Arial" w:hAnsi="Arial" w:cs="Arial"/>
                <w:sz w:val="12"/>
                <w:szCs w:val="12"/>
                <w:lang w:val="es-ES_tradnl" w:eastAsia="es-ES"/>
              </w:rPr>
              <w:t>1 al 17 de Marzo del 2016</w:t>
            </w:r>
          </w:p>
          <w:p w14:paraId="3C4D39CC" w14:textId="77777777" w:rsidR="00FE0CC9" w:rsidRPr="00EE67C9" w:rsidRDefault="00FE0CC9" w:rsidP="00FE0CC9">
            <w:pPr>
              <w:spacing w:line="360" w:lineRule="auto"/>
              <w:ind w:right="51"/>
              <w:rPr>
                <w:rFonts w:ascii="Arial" w:hAnsi="Arial" w:cs="Arial"/>
                <w:sz w:val="12"/>
                <w:szCs w:val="12"/>
                <w:lang w:val="es-ES_tradnl" w:eastAsia="es-ES"/>
              </w:rPr>
            </w:pPr>
            <w:r w:rsidRPr="00EE67C9">
              <w:rPr>
                <w:rFonts w:ascii="Arial" w:hAnsi="Arial" w:cs="Arial"/>
                <w:sz w:val="12"/>
                <w:szCs w:val="12"/>
                <w:lang w:val="es-ES_tradnl" w:eastAsia="es-ES"/>
              </w:rPr>
              <w:t>1 al 17 de Mayo del 2016</w:t>
            </w:r>
          </w:p>
          <w:p w14:paraId="79AF122F" w14:textId="77777777" w:rsidR="00FE0CC9" w:rsidRPr="00EE67C9" w:rsidRDefault="00FE0CC9" w:rsidP="00FE0CC9">
            <w:pPr>
              <w:spacing w:line="360" w:lineRule="auto"/>
              <w:ind w:right="51"/>
              <w:rPr>
                <w:rFonts w:ascii="Arial" w:hAnsi="Arial" w:cs="Arial"/>
                <w:sz w:val="12"/>
                <w:szCs w:val="12"/>
                <w:lang w:val="es-ES_tradnl" w:eastAsia="es-ES"/>
              </w:rPr>
            </w:pPr>
            <w:r w:rsidRPr="00EE67C9">
              <w:rPr>
                <w:rFonts w:ascii="Arial" w:hAnsi="Arial" w:cs="Arial"/>
                <w:sz w:val="12"/>
                <w:szCs w:val="12"/>
                <w:lang w:val="es-ES_tradnl" w:eastAsia="es-ES"/>
              </w:rPr>
              <w:t>1 al 17 de Julio del 2016</w:t>
            </w:r>
          </w:p>
          <w:p w14:paraId="4C59956D" w14:textId="77777777" w:rsidR="00FE0CC9" w:rsidRPr="00EE67C9" w:rsidRDefault="00FE0CC9" w:rsidP="00FE0CC9">
            <w:pPr>
              <w:spacing w:line="360" w:lineRule="auto"/>
              <w:ind w:right="51"/>
              <w:rPr>
                <w:rFonts w:ascii="Arial" w:hAnsi="Arial" w:cs="Arial"/>
                <w:sz w:val="12"/>
                <w:szCs w:val="12"/>
                <w:lang w:val="es-ES_tradnl" w:eastAsia="es-ES"/>
              </w:rPr>
            </w:pPr>
            <w:r w:rsidRPr="00EE67C9">
              <w:rPr>
                <w:rFonts w:ascii="Arial" w:hAnsi="Arial" w:cs="Arial"/>
                <w:sz w:val="12"/>
                <w:szCs w:val="12"/>
                <w:lang w:val="es-ES_tradnl" w:eastAsia="es-ES"/>
              </w:rPr>
              <w:t>1 al 17 de Septiembre del 2016</w:t>
            </w:r>
          </w:p>
          <w:p w14:paraId="23C65648" w14:textId="77777777" w:rsidR="00FE0CC9" w:rsidRPr="00EE67C9" w:rsidRDefault="00FE0CC9" w:rsidP="00FE0CC9">
            <w:pPr>
              <w:spacing w:line="360" w:lineRule="auto"/>
              <w:ind w:right="51"/>
              <w:rPr>
                <w:rFonts w:ascii="Arial" w:hAnsi="Arial" w:cs="Arial"/>
                <w:sz w:val="12"/>
                <w:szCs w:val="12"/>
                <w:lang w:val="es-ES_tradnl" w:eastAsia="es-ES"/>
              </w:rPr>
            </w:pPr>
            <w:r w:rsidRPr="00EE67C9">
              <w:rPr>
                <w:rFonts w:ascii="Arial" w:hAnsi="Arial" w:cs="Arial"/>
                <w:sz w:val="12"/>
                <w:szCs w:val="12"/>
                <w:lang w:val="es-ES_tradnl" w:eastAsia="es-ES"/>
              </w:rPr>
              <w:t>1 al 17 de Noviembre del 2016</w:t>
            </w:r>
          </w:p>
          <w:p w14:paraId="0AE8E047" w14:textId="77777777" w:rsidR="00FE0CC9" w:rsidRPr="00EE67C9" w:rsidRDefault="00FE0CC9" w:rsidP="00FE0CC9">
            <w:pPr>
              <w:spacing w:line="360" w:lineRule="auto"/>
              <w:ind w:right="51"/>
              <w:rPr>
                <w:rFonts w:ascii="Arial" w:hAnsi="Arial" w:cs="Arial"/>
                <w:sz w:val="12"/>
                <w:szCs w:val="12"/>
                <w:lang w:val="es-ES_tradnl" w:eastAsia="es-ES"/>
              </w:rPr>
            </w:pPr>
            <w:r w:rsidRPr="00EE67C9">
              <w:rPr>
                <w:rFonts w:ascii="Arial" w:hAnsi="Arial" w:cs="Arial"/>
                <w:sz w:val="12"/>
                <w:szCs w:val="12"/>
                <w:lang w:val="es-ES_tradnl" w:eastAsia="es-ES"/>
              </w:rPr>
              <w:t>1 al 17 de Enero del 2017</w:t>
            </w:r>
          </w:p>
          <w:p w14:paraId="22F0A849" w14:textId="77777777" w:rsidR="00FE0CC9" w:rsidRPr="00EE67C9" w:rsidRDefault="00FE0CC9" w:rsidP="00FE0CC9">
            <w:pPr>
              <w:spacing w:line="360" w:lineRule="auto"/>
              <w:ind w:right="51"/>
              <w:rPr>
                <w:rFonts w:ascii="Arial" w:hAnsi="Arial" w:cs="Arial"/>
                <w:sz w:val="12"/>
                <w:szCs w:val="12"/>
                <w:lang w:val="es-ES_tradnl" w:eastAsia="es-ES"/>
              </w:rPr>
            </w:pPr>
            <w:r w:rsidRPr="00EE67C9">
              <w:rPr>
                <w:rFonts w:ascii="Arial" w:hAnsi="Arial" w:cs="Arial"/>
                <w:sz w:val="12"/>
                <w:szCs w:val="12"/>
                <w:lang w:val="es-ES_tradnl" w:eastAsia="es-ES"/>
              </w:rPr>
              <w:t>1 al 17 de Marzo del 2017</w:t>
            </w:r>
          </w:p>
          <w:p w14:paraId="0574BD9B" w14:textId="77777777" w:rsidR="00FE0CC9" w:rsidRPr="00EE67C9" w:rsidRDefault="00FE0CC9" w:rsidP="00FE0CC9">
            <w:pPr>
              <w:spacing w:line="360" w:lineRule="auto"/>
              <w:ind w:right="51"/>
              <w:rPr>
                <w:rFonts w:ascii="Arial" w:hAnsi="Arial" w:cs="Arial"/>
                <w:sz w:val="12"/>
                <w:szCs w:val="12"/>
                <w:lang w:val="es-ES_tradnl" w:eastAsia="es-ES"/>
              </w:rPr>
            </w:pPr>
            <w:r w:rsidRPr="00EE67C9">
              <w:rPr>
                <w:rFonts w:ascii="Arial" w:hAnsi="Arial" w:cs="Arial"/>
                <w:sz w:val="12"/>
                <w:szCs w:val="12"/>
                <w:lang w:val="es-ES_tradnl" w:eastAsia="es-ES"/>
              </w:rPr>
              <w:t>1 al 17 de Mayo del 2017</w:t>
            </w:r>
          </w:p>
          <w:p w14:paraId="6A9AA8EA" w14:textId="77777777" w:rsidR="00FE0CC9" w:rsidRPr="00EE67C9" w:rsidRDefault="00FE0CC9" w:rsidP="00FE0CC9">
            <w:pPr>
              <w:spacing w:line="360" w:lineRule="auto"/>
              <w:ind w:right="51"/>
              <w:rPr>
                <w:rFonts w:ascii="Arial" w:hAnsi="Arial" w:cs="Arial"/>
                <w:sz w:val="12"/>
                <w:szCs w:val="12"/>
                <w:lang w:val="es-ES_tradnl" w:eastAsia="es-ES"/>
              </w:rPr>
            </w:pPr>
            <w:r w:rsidRPr="00EE67C9">
              <w:rPr>
                <w:rFonts w:ascii="Arial" w:hAnsi="Arial" w:cs="Arial"/>
                <w:sz w:val="12"/>
                <w:szCs w:val="12"/>
                <w:lang w:val="es-ES_tradnl" w:eastAsia="es-ES"/>
              </w:rPr>
              <w:t>1 al 17 de Julio del 2017</w:t>
            </w:r>
          </w:p>
          <w:p w14:paraId="4A4F0F65" w14:textId="77777777" w:rsidR="00FE0CC9" w:rsidRPr="00EE67C9" w:rsidRDefault="00FE0CC9" w:rsidP="00FE0CC9">
            <w:pPr>
              <w:spacing w:line="360" w:lineRule="auto"/>
              <w:ind w:right="51"/>
              <w:rPr>
                <w:rFonts w:ascii="Arial" w:hAnsi="Arial" w:cs="Arial"/>
                <w:sz w:val="12"/>
                <w:szCs w:val="12"/>
                <w:lang w:val="es-ES_tradnl" w:eastAsia="es-ES"/>
              </w:rPr>
            </w:pPr>
            <w:r w:rsidRPr="00EE67C9">
              <w:rPr>
                <w:rFonts w:ascii="Arial" w:hAnsi="Arial" w:cs="Arial"/>
                <w:sz w:val="12"/>
                <w:szCs w:val="12"/>
                <w:lang w:val="es-ES_tradnl" w:eastAsia="es-ES"/>
              </w:rPr>
              <w:t>1 al 17 de Septiembre del 2017</w:t>
            </w:r>
          </w:p>
          <w:p w14:paraId="560E6F3B" w14:textId="77777777" w:rsidR="00FE0CC9" w:rsidRPr="00EE67C9" w:rsidRDefault="00FE0CC9" w:rsidP="00FE0CC9">
            <w:pPr>
              <w:spacing w:line="360" w:lineRule="auto"/>
              <w:ind w:right="51"/>
              <w:rPr>
                <w:rFonts w:ascii="Arial" w:hAnsi="Arial" w:cs="Arial"/>
                <w:sz w:val="12"/>
                <w:szCs w:val="12"/>
                <w:lang w:val="es-ES_tradnl" w:eastAsia="es-ES"/>
              </w:rPr>
            </w:pPr>
            <w:r w:rsidRPr="00EE67C9">
              <w:rPr>
                <w:rFonts w:ascii="Arial" w:hAnsi="Arial" w:cs="Arial"/>
                <w:sz w:val="12"/>
                <w:szCs w:val="12"/>
                <w:lang w:val="es-ES_tradnl" w:eastAsia="es-ES"/>
              </w:rPr>
              <w:t>1 al 17 de Noviembre del 2017</w:t>
            </w:r>
          </w:p>
          <w:p w14:paraId="02CE0699" w14:textId="77777777" w:rsidR="00FE0CC9" w:rsidRPr="00EE67C9" w:rsidRDefault="00FE0CC9" w:rsidP="00FE0CC9">
            <w:pPr>
              <w:spacing w:line="360" w:lineRule="auto"/>
              <w:ind w:right="51"/>
              <w:rPr>
                <w:rFonts w:ascii="Arial" w:hAnsi="Arial" w:cs="Arial"/>
                <w:sz w:val="12"/>
                <w:szCs w:val="12"/>
                <w:lang w:val="es-ES_tradnl" w:eastAsia="es-ES"/>
              </w:rPr>
            </w:pPr>
            <w:r w:rsidRPr="00EE67C9">
              <w:rPr>
                <w:rFonts w:ascii="Arial" w:hAnsi="Arial" w:cs="Arial"/>
                <w:sz w:val="12"/>
                <w:szCs w:val="12"/>
                <w:lang w:val="es-ES_tradnl" w:eastAsia="es-ES"/>
              </w:rPr>
              <w:t>1 al 17 de Enero del 2018</w:t>
            </w:r>
          </w:p>
          <w:p w14:paraId="34DFDF18" w14:textId="77777777" w:rsidR="00FE0CC9" w:rsidRPr="00EE67C9" w:rsidRDefault="00FE0CC9" w:rsidP="00FE0CC9">
            <w:pPr>
              <w:spacing w:line="360" w:lineRule="auto"/>
              <w:ind w:right="51"/>
              <w:rPr>
                <w:rFonts w:ascii="Arial" w:hAnsi="Arial" w:cs="Arial"/>
                <w:sz w:val="12"/>
                <w:szCs w:val="12"/>
                <w:lang w:val="es-ES_tradnl" w:eastAsia="es-ES"/>
              </w:rPr>
            </w:pPr>
            <w:r w:rsidRPr="00EE67C9">
              <w:rPr>
                <w:rFonts w:ascii="Arial" w:hAnsi="Arial" w:cs="Arial"/>
                <w:sz w:val="12"/>
                <w:szCs w:val="12"/>
                <w:lang w:val="es-ES_tradnl" w:eastAsia="es-ES"/>
              </w:rPr>
              <w:lastRenderedPageBreak/>
              <w:t>1 al 17 de Marzo del 2018</w:t>
            </w:r>
          </w:p>
          <w:p w14:paraId="0B7E6874" w14:textId="77777777" w:rsidR="00FE0CC9" w:rsidRPr="00EE67C9" w:rsidRDefault="00FE0CC9" w:rsidP="00FE0CC9">
            <w:pPr>
              <w:spacing w:line="360" w:lineRule="auto"/>
              <w:ind w:right="51"/>
              <w:rPr>
                <w:rFonts w:ascii="Arial" w:hAnsi="Arial" w:cs="Arial"/>
                <w:sz w:val="12"/>
                <w:szCs w:val="12"/>
                <w:lang w:val="es-ES_tradnl" w:eastAsia="es-ES"/>
              </w:rPr>
            </w:pPr>
            <w:r w:rsidRPr="00EE67C9">
              <w:rPr>
                <w:rFonts w:ascii="Arial" w:hAnsi="Arial" w:cs="Arial"/>
                <w:sz w:val="12"/>
                <w:szCs w:val="12"/>
                <w:lang w:val="es-ES_tradnl" w:eastAsia="es-ES"/>
              </w:rPr>
              <w:t>1 al 17 de Mayo del 2018</w:t>
            </w:r>
          </w:p>
          <w:p w14:paraId="0B79CE42" w14:textId="77777777" w:rsidR="00FE0CC9" w:rsidRPr="00EE67C9" w:rsidRDefault="00FE0CC9" w:rsidP="00FE0CC9">
            <w:pPr>
              <w:spacing w:line="360" w:lineRule="auto"/>
              <w:ind w:right="51"/>
              <w:rPr>
                <w:rFonts w:ascii="Arial" w:hAnsi="Arial" w:cs="Arial"/>
                <w:sz w:val="12"/>
                <w:szCs w:val="12"/>
                <w:lang w:val="es-ES_tradnl" w:eastAsia="es-ES"/>
              </w:rPr>
            </w:pPr>
          </w:p>
        </w:tc>
        <w:tc>
          <w:tcPr>
            <w:tcW w:w="1635" w:type="dxa"/>
          </w:tcPr>
          <w:p w14:paraId="5AEA8295"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lastRenderedPageBreak/>
              <w:t>17 de Marzo de 2014</w:t>
            </w:r>
          </w:p>
          <w:p w14:paraId="71A06857"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19 de Mayo de 2014</w:t>
            </w:r>
          </w:p>
          <w:p w14:paraId="31CFC61F"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17 de Julio de 2014</w:t>
            </w:r>
          </w:p>
          <w:p w14:paraId="0AF05820"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17 de Septiembre de 2014</w:t>
            </w:r>
          </w:p>
          <w:p w14:paraId="41717454"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17 de Noviembre de 2014</w:t>
            </w:r>
          </w:p>
          <w:p w14:paraId="388896E7"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19 de Enero de 2015</w:t>
            </w:r>
          </w:p>
          <w:p w14:paraId="6B11F455"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17 de Marzo de 2015</w:t>
            </w:r>
          </w:p>
          <w:p w14:paraId="2AD7479B"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18 de Mayo de 2015</w:t>
            </w:r>
          </w:p>
          <w:p w14:paraId="1FE2E059"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17 de Julio de 2015</w:t>
            </w:r>
          </w:p>
          <w:p w14:paraId="5DC58468"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17 de Septiembre de 2015</w:t>
            </w:r>
          </w:p>
          <w:p w14:paraId="7D756DF5"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17 de Noviembre de 2015</w:t>
            </w:r>
          </w:p>
          <w:p w14:paraId="1D084A97" w14:textId="77777777" w:rsidR="00FE0CC9" w:rsidRPr="00EE67C9" w:rsidRDefault="00FE0CC9" w:rsidP="00FE0CC9">
            <w:pPr>
              <w:jc w:val="center"/>
              <w:rPr>
                <w:rFonts w:ascii="Arial" w:hAnsi="Arial" w:cs="Arial"/>
                <w:sz w:val="12"/>
                <w:szCs w:val="12"/>
                <w:lang w:val="es-ES_tradnl" w:eastAsia="es-ES"/>
              </w:rPr>
            </w:pPr>
            <w:r w:rsidRPr="00EE67C9">
              <w:rPr>
                <w:rFonts w:ascii="Arial" w:hAnsi="Arial" w:cs="Arial"/>
                <w:sz w:val="12"/>
                <w:szCs w:val="12"/>
                <w:lang w:val="es-ES_tradnl" w:eastAsia="es-ES"/>
              </w:rPr>
              <w:t>18 de Enero de 2016</w:t>
            </w:r>
          </w:p>
          <w:p w14:paraId="62223CA0"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17 de Marzo de 2016</w:t>
            </w:r>
          </w:p>
          <w:p w14:paraId="567CA1B0"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17 de Mayo de 2016</w:t>
            </w:r>
          </w:p>
          <w:p w14:paraId="0653B56F"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18 de Julio de 2016</w:t>
            </w:r>
          </w:p>
          <w:p w14:paraId="5464044B"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19 de Septiembre de 2016</w:t>
            </w:r>
          </w:p>
          <w:p w14:paraId="1C058817"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17 de Noviembre de 2016</w:t>
            </w:r>
          </w:p>
          <w:p w14:paraId="1B42A1D7"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17 de Enero de 2017</w:t>
            </w:r>
          </w:p>
          <w:p w14:paraId="66477385"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17 de Marzo de 2017</w:t>
            </w:r>
          </w:p>
          <w:p w14:paraId="5E279AEB"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17 de Mayo de 2017</w:t>
            </w:r>
          </w:p>
          <w:p w14:paraId="306F0EE6"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17 de Julio de 2017</w:t>
            </w:r>
          </w:p>
          <w:p w14:paraId="2F9B6C1E"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18 de Septiembre de 2017</w:t>
            </w:r>
          </w:p>
          <w:p w14:paraId="788F7736"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17 de Noviembre de 2017</w:t>
            </w:r>
          </w:p>
          <w:p w14:paraId="32DD5B4A"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17 de Enero de 2018</w:t>
            </w:r>
          </w:p>
          <w:p w14:paraId="7103E558"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t>20 de Marzo de 2018</w:t>
            </w:r>
          </w:p>
          <w:p w14:paraId="3D825B67" w14:textId="77777777" w:rsidR="00FE0CC9" w:rsidRPr="00EE67C9" w:rsidRDefault="00FE0CC9" w:rsidP="00FE0CC9">
            <w:pPr>
              <w:spacing w:line="360" w:lineRule="auto"/>
              <w:ind w:right="51"/>
              <w:jc w:val="center"/>
              <w:rPr>
                <w:rFonts w:ascii="Arial" w:hAnsi="Arial" w:cs="Arial"/>
                <w:sz w:val="12"/>
                <w:szCs w:val="12"/>
                <w:lang w:val="es-ES_tradnl" w:eastAsia="es-ES"/>
              </w:rPr>
            </w:pPr>
            <w:r w:rsidRPr="00EE67C9">
              <w:rPr>
                <w:rFonts w:ascii="Arial" w:hAnsi="Arial" w:cs="Arial"/>
                <w:sz w:val="12"/>
                <w:szCs w:val="12"/>
                <w:lang w:val="es-ES_tradnl" w:eastAsia="es-ES"/>
              </w:rPr>
              <w:lastRenderedPageBreak/>
              <w:t>17 de Mayo de 2018</w:t>
            </w:r>
          </w:p>
          <w:p w14:paraId="4CF950C4" w14:textId="77777777" w:rsidR="00FE0CC9" w:rsidRPr="00EE67C9" w:rsidRDefault="00FE0CC9" w:rsidP="00FE0CC9">
            <w:pPr>
              <w:jc w:val="center"/>
              <w:rPr>
                <w:rFonts w:ascii="Arial" w:hAnsi="Arial" w:cs="Arial"/>
                <w:sz w:val="12"/>
                <w:szCs w:val="12"/>
                <w:lang w:val="es-ES_tradnl" w:eastAsia="es-ES"/>
              </w:rPr>
            </w:pPr>
          </w:p>
        </w:tc>
        <w:tc>
          <w:tcPr>
            <w:tcW w:w="2561" w:type="dxa"/>
          </w:tcPr>
          <w:p w14:paraId="139C3A96" w14:textId="77777777" w:rsidR="00FE0CC9" w:rsidRPr="00EE67C9" w:rsidRDefault="00FE0CC9" w:rsidP="00FE0CC9">
            <w:pPr>
              <w:spacing w:line="360" w:lineRule="auto"/>
              <w:ind w:right="51"/>
              <w:jc w:val="both"/>
              <w:rPr>
                <w:rFonts w:ascii="Arial" w:hAnsi="Arial" w:cs="Arial"/>
                <w:sz w:val="14"/>
                <w:szCs w:val="14"/>
                <w:lang w:val="es-ES_tradnl" w:eastAsia="es-ES"/>
              </w:rPr>
            </w:pPr>
          </w:p>
          <w:p w14:paraId="6B8035A0" w14:textId="77777777" w:rsidR="00FE0CC9" w:rsidRPr="00EE67C9" w:rsidRDefault="00FE0CC9" w:rsidP="00FE0CC9">
            <w:pPr>
              <w:spacing w:line="360" w:lineRule="auto"/>
              <w:ind w:right="51"/>
              <w:jc w:val="both"/>
              <w:rPr>
                <w:rFonts w:ascii="Arial" w:hAnsi="Arial" w:cs="Arial"/>
                <w:sz w:val="14"/>
                <w:szCs w:val="14"/>
                <w:lang w:val="es-ES_tradnl" w:eastAsia="es-ES"/>
              </w:rPr>
            </w:pPr>
          </w:p>
          <w:p w14:paraId="3096309D" w14:textId="77777777" w:rsidR="00FE0CC9" w:rsidRPr="00EE67C9" w:rsidRDefault="00FE0CC9" w:rsidP="00FE0CC9">
            <w:pPr>
              <w:spacing w:line="360" w:lineRule="auto"/>
              <w:ind w:right="51"/>
              <w:jc w:val="both"/>
              <w:rPr>
                <w:rFonts w:ascii="Arial" w:hAnsi="Arial" w:cs="Arial"/>
                <w:sz w:val="14"/>
                <w:szCs w:val="14"/>
                <w:lang w:val="es-ES_tradnl" w:eastAsia="es-ES"/>
              </w:rPr>
            </w:pPr>
          </w:p>
          <w:p w14:paraId="0CD3C9AF" w14:textId="77777777" w:rsidR="00FE0CC9" w:rsidRPr="00EE67C9" w:rsidRDefault="00FE0CC9" w:rsidP="00FE0CC9">
            <w:pPr>
              <w:spacing w:line="360" w:lineRule="auto"/>
              <w:ind w:right="51"/>
              <w:jc w:val="both"/>
              <w:rPr>
                <w:rFonts w:ascii="Arial" w:hAnsi="Arial" w:cs="Arial"/>
                <w:sz w:val="14"/>
                <w:szCs w:val="14"/>
                <w:lang w:val="es-ES_tradnl" w:eastAsia="es-ES"/>
              </w:rPr>
            </w:pPr>
          </w:p>
          <w:p w14:paraId="33ECFF77" w14:textId="77777777" w:rsidR="00FE0CC9" w:rsidRPr="00EE67C9" w:rsidRDefault="00FE0CC9" w:rsidP="00FE0CC9">
            <w:pPr>
              <w:spacing w:line="360" w:lineRule="auto"/>
              <w:ind w:right="51"/>
              <w:jc w:val="both"/>
              <w:rPr>
                <w:rFonts w:ascii="Arial" w:hAnsi="Arial" w:cs="Arial"/>
                <w:sz w:val="14"/>
                <w:szCs w:val="14"/>
                <w:lang w:val="es-ES_tradnl" w:eastAsia="es-ES"/>
              </w:rPr>
            </w:pPr>
          </w:p>
          <w:p w14:paraId="2611373F" w14:textId="77777777" w:rsidR="00FE0CC9" w:rsidRPr="00EE67C9" w:rsidRDefault="00FE0CC9" w:rsidP="00FE0CC9">
            <w:pPr>
              <w:spacing w:line="360" w:lineRule="auto"/>
              <w:ind w:right="51"/>
              <w:jc w:val="both"/>
              <w:rPr>
                <w:rFonts w:ascii="Arial" w:hAnsi="Arial" w:cs="Arial"/>
                <w:sz w:val="14"/>
                <w:szCs w:val="14"/>
                <w:lang w:val="es-ES_tradnl" w:eastAsia="es-ES"/>
              </w:rPr>
            </w:pPr>
          </w:p>
          <w:p w14:paraId="7D813C82" w14:textId="77777777" w:rsidR="00FE0CC9" w:rsidRPr="00EE67C9" w:rsidRDefault="00FE0CC9" w:rsidP="00FE0CC9">
            <w:pPr>
              <w:spacing w:line="360" w:lineRule="auto"/>
              <w:ind w:right="51"/>
              <w:jc w:val="both"/>
              <w:rPr>
                <w:rFonts w:ascii="Arial" w:hAnsi="Arial" w:cs="Arial"/>
                <w:sz w:val="14"/>
                <w:szCs w:val="14"/>
                <w:lang w:val="es-ES_tradnl" w:eastAsia="es-ES"/>
              </w:rPr>
            </w:pPr>
            <w:r w:rsidRPr="00EE67C9">
              <w:rPr>
                <w:rFonts w:ascii="Arial" w:hAnsi="Arial" w:cs="Arial"/>
                <w:sz w:val="14"/>
                <w:szCs w:val="14"/>
                <w:lang w:val="es-ES_tradnl" w:eastAsia="es-ES"/>
              </w:rPr>
              <w:t>Artículo 66 de la Ley Estatal de Hacienda vigente, para los ejercicios fiscales que se requieren.</w:t>
            </w:r>
          </w:p>
          <w:p w14:paraId="61FB3226" w14:textId="77777777" w:rsidR="00FE0CC9" w:rsidRPr="00EE67C9" w:rsidRDefault="00FE0CC9" w:rsidP="00FE0CC9">
            <w:pPr>
              <w:spacing w:line="360" w:lineRule="auto"/>
              <w:ind w:right="51"/>
              <w:jc w:val="both"/>
              <w:rPr>
                <w:rFonts w:ascii="Arial" w:hAnsi="Arial" w:cs="Arial"/>
                <w:sz w:val="14"/>
                <w:szCs w:val="14"/>
                <w:lang w:val="es-ES_tradnl" w:eastAsia="es-ES"/>
              </w:rPr>
            </w:pPr>
          </w:p>
          <w:p w14:paraId="7CBFBD6F" w14:textId="77777777" w:rsidR="00FE0CC9" w:rsidRPr="00EE67C9" w:rsidRDefault="00FE0CC9" w:rsidP="00FE0CC9">
            <w:pPr>
              <w:spacing w:line="360" w:lineRule="auto"/>
              <w:ind w:right="51"/>
              <w:jc w:val="both"/>
              <w:rPr>
                <w:rFonts w:ascii="Arial" w:hAnsi="Arial" w:cs="Arial"/>
                <w:sz w:val="14"/>
                <w:szCs w:val="14"/>
                <w:lang w:val="es-ES_tradnl" w:eastAsia="es-ES"/>
              </w:rPr>
            </w:pPr>
            <w:r w:rsidRPr="00EE67C9">
              <w:rPr>
                <w:rFonts w:ascii="Arial" w:hAnsi="Arial" w:cs="Arial"/>
                <w:sz w:val="14"/>
                <w:szCs w:val="14"/>
                <w:lang w:val="es-ES_tradnl" w:eastAsia="es-ES"/>
              </w:rPr>
              <w:t>Artículo 123 párrafos segundo y último del Código Fiscal del estado de Oaxaca vigente, para los ejercicios fiscales que se requieren.</w:t>
            </w:r>
          </w:p>
        </w:tc>
      </w:tr>
    </w:tbl>
    <w:p w14:paraId="5D2B0134" w14:textId="77777777" w:rsidR="00FE0CC9" w:rsidRPr="00EE67C9" w:rsidRDefault="00FE0CC9" w:rsidP="00FE0CC9">
      <w:pPr>
        <w:widowControl w:val="0"/>
        <w:spacing w:line="360" w:lineRule="auto"/>
        <w:ind w:firstLine="708"/>
        <w:jc w:val="both"/>
        <w:rPr>
          <w:rFonts w:ascii="Arial" w:hAnsi="Arial" w:cs="Arial"/>
          <w:sz w:val="24"/>
          <w:szCs w:val="24"/>
          <w:lang w:eastAsia="es-ES"/>
        </w:rPr>
      </w:pPr>
    </w:p>
    <w:p w14:paraId="55DA04A7" w14:textId="77777777" w:rsidR="00FE0CC9" w:rsidRPr="00EE67C9" w:rsidRDefault="00FE0CC9" w:rsidP="00FE0CC9">
      <w:pPr>
        <w:widowControl w:val="0"/>
        <w:spacing w:line="360" w:lineRule="auto"/>
        <w:jc w:val="both"/>
        <w:rPr>
          <w:rFonts w:ascii="Arial" w:hAnsi="Arial" w:cs="Arial"/>
          <w:i/>
          <w:sz w:val="24"/>
          <w:szCs w:val="24"/>
          <w:lang w:val="es-ES_tradnl" w:eastAsia="es-ES"/>
        </w:rPr>
      </w:pPr>
      <w:r w:rsidRPr="00EE67C9">
        <w:rPr>
          <w:rFonts w:ascii="Arial" w:hAnsi="Arial" w:cs="Arial"/>
          <w:sz w:val="24"/>
          <w:szCs w:val="24"/>
          <w:lang w:val="es-ES_tradnl" w:eastAsia="es-ES"/>
        </w:rPr>
        <w:t xml:space="preserve">          </w:t>
      </w:r>
      <w:r w:rsidRPr="00EE67C9">
        <w:rPr>
          <w:rFonts w:ascii="Arial" w:hAnsi="Arial" w:cs="Arial"/>
          <w:i/>
          <w:sz w:val="24"/>
          <w:szCs w:val="24"/>
          <w:lang w:val="es-ES_tradnl" w:eastAsia="es-ES"/>
        </w:rPr>
        <w:t xml:space="preserve">Considerando que con fecha 1 de enero de 2013, usted presentó  ante la Delegación  o Subdelegación  Fiscal actualmente Centros Integrales de Atención a Contribuyentes correspondiente a su domicilio fiscal, formulario múltiple de Registro Estatal  de Contribuyentes a fin de quedar inscrito(a) con la obligación  del Sobre Erogaciones por Remuneraciones al Trabajo Personal; y a la fecha esta Secretaría de Finanzas no cuenta con documentales que acrediten el cumplimiento de la(s) obligación(es) por el(los) periodo(s) citados. Su conducta actualiza la hipótesis normativa prevista en el artículo 269 fracción I del Código Fiscal para el Estado de Oaxaca  vigente, motivo por el cual se hace acreedor a la sanción establecida en el mismo artículo, la consistente en una multa de cincuenta a cien veces el valor de la Unidad de Medida y Actualización vigente; sin embargo esta autoridad fiscal determina imponer el monto mínimo el cual es equivalente a cincuenta veces el valor de la Unidad de Medida y Actualización, publicada en el Diario Oficial de la Federación, vigente a partir del 1 de febrero de 2018, por considerar que no existen agravantes ni antecedentes del contribuyente, en consecuencia se le impone la multa citada en los términos siguientes:                                                                   </w:t>
      </w:r>
    </w:p>
    <w:p w14:paraId="27F14F90" w14:textId="77777777" w:rsidR="00FE0CC9" w:rsidRPr="00EE67C9" w:rsidRDefault="00FE0CC9" w:rsidP="00FE0CC9">
      <w:pPr>
        <w:widowControl w:val="0"/>
        <w:spacing w:line="360" w:lineRule="auto"/>
        <w:jc w:val="right"/>
        <w:rPr>
          <w:rFonts w:ascii="Arial" w:hAnsi="Arial" w:cs="Arial"/>
          <w:i/>
          <w:sz w:val="24"/>
          <w:szCs w:val="24"/>
          <w:lang w:val="es-ES_tradnl" w:eastAsia="es-ES"/>
        </w:rPr>
      </w:pPr>
      <w:r w:rsidRPr="00EE67C9">
        <w:rPr>
          <w:rFonts w:ascii="Arial" w:hAnsi="Arial" w:cs="Arial"/>
          <w:i/>
          <w:sz w:val="24"/>
          <w:szCs w:val="24"/>
          <w:lang w:val="es-ES_tradnl" w:eastAsia="es-ES"/>
        </w:rPr>
        <w:t>”</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83"/>
        <w:gridCol w:w="2899"/>
        <w:gridCol w:w="1031"/>
        <w:gridCol w:w="1478"/>
      </w:tblGrid>
      <w:tr w:rsidR="00EE67C9" w:rsidRPr="00EE67C9" w14:paraId="481BD36C" w14:textId="77777777" w:rsidTr="00384F84">
        <w:trPr>
          <w:trHeight w:val="153"/>
          <w:jc w:val="center"/>
        </w:trPr>
        <w:tc>
          <w:tcPr>
            <w:tcW w:w="3583" w:type="dxa"/>
          </w:tcPr>
          <w:p w14:paraId="6F86196E" w14:textId="77777777" w:rsidR="00FE0CC9" w:rsidRPr="00EE67C9" w:rsidRDefault="00FE0CC9" w:rsidP="00FE0CC9">
            <w:pPr>
              <w:spacing w:line="360" w:lineRule="auto"/>
              <w:ind w:right="51"/>
              <w:jc w:val="center"/>
              <w:rPr>
                <w:rFonts w:ascii="Arial" w:hAnsi="Arial" w:cs="Arial"/>
                <w:sz w:val="14"/>
                <w:szCs w:val="14"/>
                <w:lang w:val="es-ES_tradnl" w:eastAsia="es-ES"/>
              </w:rPr>
            </w:pPr>
            <w:r w:rsidRPr="00EE67C9">
              <w:rPr>
                <w:rFonts w:ascii="Arial" w:hAnsi="Arial" w:cs="Arial"/>
                <w:sz w:val="14"/>
                <w:szCs w:val="14"/>
                <w:lang w:val="es-ES_tradnl" w:eastAsia="es-ES"/>
              </w:rPr>
              <w:t>INFRACCIÓN</w:t>
            </w:r>
          </w:p>
        </w:tc>
        <w:tc>
          <w:tcPr>
            <w:tcW w:w="2899" w:type="dxa"/>
          </w:tcPr>
          <w:p w14:paraId="068A942A" w14:textId="77777777" w:rsidR="00FE0CC9" w:rsidRPr="00EE67C9" w:rsidRDefault="00FE0CC9" w:rsidP="00FE0CC9">
            <w:pPr>
              <w:spacing w:line="360" w:lineRule="auto"/>
              <w:ind w:right="51"/>
              <w:jc w:val="center"/>
              <w:rPr>
                <w:rFonts w:ascii="Arial" w:hAnsi="Arial" w:cs="Arial"/>
                <w:sz w:val="14"/>
                <w:szCs w:val="14"/>
                <w:lang w:val="es-ES_tradnl" w:eastAsia="es-ES"/>
              </w:rPr>
            </w:pPr>
            <w:r w:rsidRPr="00EE67C9">
              <w:rPr>
                <w:rFonts w:ascii="Arial" w:hAnsi="Arial" w:cs="Arial"/>
                <w:sz w:val="14"/>
                <w:szCs w:val="14"/>
                <w:lang w:val="es-ES_tradnl" w:eastAsia="es-ES"/>
              </w:rPr>
              <w:t>SANCIÓN</w:t>
            </w:r>
          </w:p>
        </w:tc>
        <w:tc>
          <w:tcPr>
            <w:tcW w:w="1031" w:type="dxa"/>
          </w:tcPr>
          <w:p w14:paraId="0D62C4D6" w14:textId="77777777" w:rsidR="00FE0CC9" w:rsidRPr="00EE67C9" w:rsidRDefault="00FE0CC9" w:rsidP="00FE0CC9">
            <w:pPr>
              <w:spacing w:line="360" w:lineRule="auto"/>
              <w:ind w:right="51"/>
              <w:jc w:val="center"/>
              <w:rPr>
                <w:rFonts w:ascii="Arial" w:hAnsi="Arial" w:cs="Arial"/>
                <w:sz w:val="14"/>
                <w:szCs w:val="14"/>
                <w:lang w:val="es-ES_tradnl" w:eastAsia="es-ES"/>
              </w:rPr>
            </w:pPr>
            <w:r w:rsidRPr="00EE67C9">
              <w:rPr>
                <w:rFonts w:ascii="Arial" w:hAnsi="Arial" w:cs="Arial"/>
                <w:sz w:val="14"/>
                <w:szCs w:val="14"/>
                <w:lang w:val="es-ES_tradnl" w:eastAsia="es-ES"/>
              </w:rPr>
              <w:t>UMA VIGENTE</w:t>
            </w:r>
          </w:p>
        </w:tc>
        <w:tc>
          <w:tcPr>
            <w:tcW w:w="1478" w:type="dxa"/>
          </w:tcPr>
          <w:p w14:paraId="2125F45A" w14:textId="77777777" w:rsidR="00FE0CC9" w:rsidRPr="00EE67C9" w:rsidRDefault="00FE0CC9" w:rsidP="00FE0CC9">
            <w:pPr>
              <w:spacing w:line="360" w:lineRule="auto"/>
              <w:ind w:right="51"/>
              <w:jc w:val="center"/>
              <w:rPr>
                <w:rFonts w:ascii="Arial" w:hAnsi="Arial" w:cs="Arial"/>
                <w:sz w:val="14"/>
                <w:szCs w:val="14"/>
                <w:lang w:val="es-ES_tradnl" w:eastAsia="es-ES"/>
              </w:rPr>
            </w:pPr>
            <w:r w:rsidRPr="00EE67C9">
              <w:rPr>
                <w:rFonts w:ascii="Arial" w:hAnsi="Arial" w:cs="Arial"/>
                <w:sz w:val="14"/>
                <w:szCs w:val="14"/>
                <w:lang w:val="es-ES_tradnl" w:eastAsia="es-ES"/>
              </w:rPr>
              <w:t>UNA A PAGAR</w:t>
            </w:r>
          </w:p>
        </w:tc>
      </w:tr>
      <w:tr w:rsidR="00FE0CC9" w:rsidRPr="00EE67C9" w14:paraId="0B1F7E92" w14:textId="77777777" w:rsidTr="00384F84">
        <w:trPr>
          <w:trHeight w:val="639"/>
          <w:jc w:val="center"/>
        </w:trPr>
        <w:tc>
          <w:tcPr>
            <w:tcW w:w="3583" w:type="dxa"/>
          </w:tcPr>
          <w:p w14:paraId="6E8AAEF2" w14:textId="77777777" w:rsidR="00FE0CC9" w:rsidRPr="00EE67C9" w:rsidRDefault="00FE0CC9" w:rsidP="00FE0CC9">
            <w:pPr>
              <w:spacing w:line="360" w:lineRule="auto"/>
              <w:ind w:right="51"/>
              <w:jc w:val="both"/>
              <w:rPr>
                <w:rFonts w:ascii="Arial" w:hAnsi="Arial" w:cs="Arial"/>
                <w:sz w:val="14"/>
                <w:szCs w:val="14"/>
                <w:lang w:val="es-ES_tradnl" w:eastAsia="es-ES"/>
              </w:rPr>
            </w:pPr>
            <w:r w:rsidRPr="00EE67C9">
              <w:rPr>
                <w:rFonts w:ascii="Arial" w:hAnsi="Arial" w:cs="Arial"/>
                <w:sz w:val="14"/>
                <w:szCs w:val="14"/>
                <w:lang w:val="es-ES_tradnl" w:eastAsia="es-ES"/>
              </w:rPr>
              <w:t>Artículo 269 fracción I del Código Fiscal del Estado de Oaxaca vigente.</w:t>
            </w:r>
          </w:p>
        </w:tc>
        <w:tc>
          <w:tcPr>
            <w:tcW w:w="2899" w:type="dxa"/>
          </w:tcPr>
          <w:p w14:paraId="59667C83" w14:textId="77777777" w:rsidR="00FE0CC9" w:rsidRPr="00EE67C9" w:rsidRDefault="00FE0CC9" w:rsidP="00FE0CC9">
            <w:pPr>
              <w:spacing w:line="360" w:lineRule="auto"/>
              <w:ind w:right="51"/>
              <w:rPr>
                <w:rFonts w:ascii="Arial" w:hAnsi="Arial" w:cs="Arial"/>
                <w:sz w:val="14"/>
                <w:szCs w:val="14"/>
                <w:lang w:val="es-ES_tradnl" w:eastAsia="es-ES"/>
              </w:rPr>
            </w:pPr>
            <w:r w:rsidRPr="00EE67C9">
              <w:rPr>
                <w:rFonts w:ascii="Arial" w:hAnsi="Arial" w:cs="Arial"/>
                <w:sz w:val="14"/>
                <w:szCs w:val="14"/>
                <w:lang w:val="es-ES_tradnl" w:eastAsia="es-ES"/>
              </w:rPr>
              <w:t>50 UMA Artículo 269 fracción I del Código Fiscal del Estado de Oaxaca vigente.</w:t>
            </w:r>
          </w:p>
        </w:tc>
        <w:tc>
          <w:tcPr>
            <w:tcW w:w="1031" w:type="dxa"/>
          </w:tcPr>
          <w:p w14:paraId="4BC39E82" w14:textId="77777777" w:rsidR="00FE0CC9" w:rsidRPr="00EE67C9" w:rsidRDefault="00FE0CC9" w:rsidP="00FE0CC9">
            <w:pPr>
              <w:spacing w:line="360" w:lineRule="auto"/>
              <w:ind w:right="51"/>
              <w:jc w:val="center"/>
              <w:rPr>
                <w:rFonts w:ascii="Arial" w:hAnsi="Arial" w:cs="Arial"/>
                <w:sz w:val="16"/>
                <w:szCs w:val="16"/>
                <w:lang w:val="es-ES_tradnl" w:eastAsia="es-ES"/>
              </w:rPr>
            </w:pPr>
            <w:r w:rsidRPr="00EE67C9">
              <w:rPr>
                <w:rFonts w:ascii="Arial" w:hAnsi="Arial" w:cs="Arial"/>
                <w:sz w:val="16"/>
                <w:szCs w:val="16"/>
                <w:lang w:val="es-ES_tradnl" w:eastAsia="es-ES"/>
              </w:rPr>
              <w:t>$ 80.60</w:t>
            </w:r>
          </w:p>
        </w:tc>
        <w:tc>
          <w:tcPr>
            <w:tcW w:w="1478" w:type="dxa"/>
          </w:tcPr>
          <w:p w14:paraId="2AA4B0CD" w14:textId="77777777" w:rsidR="00FE0CC9" w:rsidRPr="00EE67C9" w:rsidRDefault="00FE0CC9" w:rsidP="00FE0CC9">
            <w:pPr>
              <w:spacing w:line="360" w:lineRule="auto"/>
              <w:ind w:right="51"/>
              <w:jc w:val="center"/>
              <w:rPr>
                <w:rFonts w:ascii="Arial" w:hAnsi="Arial" w:cs="Arial"/>
                <w:sz w:val="16"/>
                <w:szCs w:val="16"/>
                <w:lang w:val="es-ES_tradnl" w:eastAsia="es-ES"/>
              </w:rPr>
            </w:pPr>
            <w:r w:rsidRPr="00EE67C9">
              <w:rPr>
                <w:rFonts w:ascii="Arial" w:hAnsi="Arial" w:cs="Arial"/>
                <w:sz w:val="16"/>
                <w:szCs w:val="16"/>
                <w:lang w:val="es-ES_tradnl" w:eastAsia="es-ES"/>
              </w:rPr>
              <w:t>$4,030.00</w:t>
            </w:r>
          </w:p>
        </w:tc>
      </w:tr>
    </w:tbl>
    <w:p w14:paraId="52474F33" w14:textId="77777777" w:rsidR="00FE0CC9" w:rsidRPr="00EE67C9" w:rsidRDefault="00FE0CC9" w:rsidP="00FE0CC9">
      <w:pPr>
        <w:widowControl w:val="0"/>
        <w:spacing w:line="360" w:lineRule="auto"/>
        <w:jc w:val="both"/>
        <w:rPr>
          <w:rFonts w:ascii="Arial" w:hAnsi="Arial" w:cs="Arial"/>
          <w:sz w:val="24"/>
          <w:szCs w:val="24"/>
          <w:lang w:eastAsia="es-ES"/>
        </w:rPr>
      </w:pPr>
    </w:p>
    <w:p w14:paraId="14B63F28" w14:textId="342495D2" w:rsidR="00FE0CC9" w:rsidRPr="00EE67C9" w:rsidRDefault="00FE0CC9" w:rsidP="00FE0CC9">
      <w:pPr>
        <w:widowControl w:val="0"/>
        <w:spacing w:line="360" w:lineRule="auto"/>
        <w:ind w:firstLine="567"/>
        <w:jc w:val="both"/>
        <w:rPr>
          <w:rFonts w:ascii="Arial" w:hAnsi="Arial" w:cs="Arial"/>
          <w:sz w:val="24"/>
          <w:szCs w:val="24"/>
          <w:lang w:eastAsia="es-ES"/>
        </w:rPr>
      </w:pPr>
      <w:r w:rsidRPr="00EE67C9">
        <w:rPr>
          <w:rFonts w:ascii="Arial" w:hAnsi="Arial" w:cs="Arial"/>
          <w:sz w:val="24"/>
          <w:szCs w:val="24"/>
          <w:lang w:eastAsia="es-ES"/>
        </w:rPr>
        <w:t xml:space="preserve">    Para determinar lo anterior, la enjuiciada señaló que la multa por infracción establecida en el artículo 269 fracción I, del Código Fiscal para el Estado de Oaxaca vigente, impuesta a la aquí actora, surge de la revisión minuciosa  en el Registro Estatal de Contribuyentes con que cuenta la Secretaría de Finanzas del Gobierno del Estado de Oaxaca, advirtiéndose que no ha dado cumplimiento con las obligaciones fiscales, consistente en la presentación  de las declaraciones bimestrales  definitivas del </w:t>
      </w:r>
      <w:r w:rsidR="00883EA3" w:rsidRPr="00EE67C9">
        <w:rPr>
          <w:rFonts w:ascii="Arial" w:hAnsi="Arial" w:cs="Arial"/>
          <w:sz w:val="24"/>
          <w:szCs w:val="24"/>
          <w:lang w:eastAsia="es-ES"/>
        </w:rPr>
        <w:t>Impuesto</w:t>
      </w:r>
      <w:r w:rsidRPr="00EE67C9">
        <w:rPr>
          <w:rFonts w:ascii="Arial" w:hAnsi="Arial" w:cs="Arial"/>
          <w:sz w:val="24"/>
          <w:szCs w:val="24"/>
          <w:lang w:val="es-ES_tradnl" w:eastAsia="es-ES"/>
        </w:rPr>
        <w:t xml:space="preserve"> Sobre Erogaciones por Remuneraciones al Trabajo Personal</w:t>
      </w:r>
      <w:r w:rsidRPr="00EE67C9">
        <w:rPr>
          <w:rFonts w:ascii="Arial" w:hAnsi="Arial" w:cs="Arial"/>
          <w:sz w:val="24"/>
          <w:szCs w:val="24"/>
          <w:lang w:eastAsia="es-ES"/>
        </w:rPr>
        <w:t xml:space="preserve">. Así mismo, se encuentra citando los artículos 61 párrafos primero y tercero del Código Fiscal del Estado de Oaxaca y 53, 55 fracción I,II y III de su Reglamento del mismo ordenamiento legal, actualmente en vigor, los cuales establecen la obligación de pago del Impuesto de referencia, 66 de la Ley Estatal de Hacienda vigente, para los ejercicios que requiere y el artículo 123 párrafos segundo y último del Código Fiscal del Estado de Oaxaca vigente, para los ejercicios que requiere, y en dichos numerales se establece la obligación y temporalidad de pago del Impuesto de referencia, a cargo de los contribuyentes </w:t>
      </w:r>
      <w:r w:rsidRPr="00EE67C9">
        <w:rPr>
          <w:rFonts w:ascii="Arial" w:hAnsi="Arial" w:cs="Arial"/>
          <w:sz w:val="24"/>
          <w:szCs w:val="24"/>
          <w:lang w:eastAsia="es-ES"/>
        </w:rPr>
        <w:lastRenderedPageBreak/>
        <w:t xml:space="preserve">que se coloquen en el supuesto jurídico.- - </w:t>
      </w:r>
      <w:r w:rsidR="00883EA3" w:rsidRPr="00EE67C9">
        <w:rPr>
          <w:rFonts w:ascii="Arial" w:hAnsi="Arial" w:cs="Arial"/>
          <w:sz w:val="24"/>
          <w:szCs w:val="24"/>
          <w:lang w:eastAsia="es-ES"/>
        </w:rPr>
        <w:t xml:space="preserve">- - - - - - - - - - - - - - - - - - - - - - - - - - - - - </w:t>
      </w:r>
    </w:p>
    <w:p w14:paraId="2EA19D07" w14:textId="77777777" w:rsidR="00FE0CC9" w:rsidRPr="00EE67C9" w:rsidRDefault="00FE0CC9" w:rsidP="00FE0CC9">
      <w:pPr>
        <w:widowControl w:val="0"/>
        <w:spacing w:line="360" w:lineRule="auto"/>
        <w:ind w:firstLine="567"/>
        <w:jc w:val="both"/>
        <w:rPr>
          <w:rFonts w:ascii="Arial" w:hAnsi="Arial" w:cs="Arial"/>
          <w:sz w:val="24"/>
          <w:szCs w:val="24"/>
          <w:lang w:eastAsia="es-ES"/>
        </w:rPr>
      </w:pPr>
    </w:p>
    <w:p w14:paraId="0911D190" w14:textId="5E160DDB" w:rsidR="00FE0CC9" w:rsidRPr="00EE67C9" w:rsidRDefault="00FE0CC9" w:rsidP="00FE0CC9">
      <w:pPr>
        <w:widowControl w:val="0"/>
        <w:spacing w:line="360" w:lineRule="auto"/>
        <w:ind w:hanging="426"/>
        <w:jc w:val="both"/>
        <w:rPr>
          <w:rFonts w:ascii="Arial" w:hAnsi="Arial" w:cs="Arial"/>
          <w:sz w:val="24"/>
          <w:szCs w:val="24"/>
          <w:lang w:eastAsia="es-ES"/>
        </w:rPr>
      </w:pPr>
      <w:r w:rsidRPr="00EE67C9">
        <w:rPr>
          <w:rFonts w:ascii="Arial" w:hAnsi="Arial" w:cs="Arial"/>
          <w:sz w:val="24"/>
          <w:szCs w:val="24"/>
          <w:lang w:eastAsia="es-ES"/>
        </w:rPr>
        <w:t xml:space="preserve">               Así las cosas, se advierte que resultan fundados el primer y tercer concepto  de impugnación, hechos valer por el actor, suplidos en su deficiencia de conformidad con lo dispuesto en los artículos 122 fracción Quinta del Código Fiscal del Estado de Oaxaca y 16 de la Constitución Política de los Estados Unidos Mexicanos  ya que la enjuiciada omitió señalar en la multa impugnada las razones particulares, causas inmediatas y circunstancias especiales, de qué forma confirmó que el accionante era sujeto obligado al pago del </w:t>
      </w:r>
      <w:proofErr w:type="spellStart"/>
      <w:r w:rsidR="00883EA3" w:rsidRPr="00EE67C9">
        <w:rPr>
          <w:rFonts w:ascii="Arial" w:hAnsi="Arial" w:cs="Arial"/>
          <w:sz w:val="24"/>
          <w:szCs w:val="24"/>
          <w:lang w:eastAsia="es-ES"/>
        </w:rPr>
        <w:t>Impu</w:t>
      </w:r>
      <w:proofErr w:type="spellEnd"/>
      <w:r w:rsidRPr="00EE67C9">
        <w:rPr>
          <w:rFonts w:ascii="Arial" w:hAnsi="Arial" w:cs="Arial"/>
          <w:sz w:val="24"/>
          <w:szCs w:val="24"/>
          <w:lang w:val="es-ES_tradnl" w:eastAsia="es-ES"/>
        </w:rPr>
        <w:t>esto Sobre Erogaciones por Remuneraciones al Trabajo Personal</w:t>
      </w:r>
      <w:r w:rsidRPr="00EE67C9">
        <w:rPr>
          <w:rFonts w:ascii="Arial" w:hAnsi="Arial" w:cs="Arial"/>
          <w:sz w:val="24"/>
          <w:szCs w:val="24"/>
          <w:lang w:eastAsia="es-ES"/>
        </w:rPr>
        <w:t xml:space="preserve">; es decir, no precisa cuales fueron los antecedentes por los cuales consideró que el accionante se ubica en la circunstancia que la ley considera como hecho generador de la obligación fiscal; pues para tales efectos, no basta con el señalamiento de que se le ha identificado como sujeto obligado, sino que la autoridad debió probar los hechos que la motivaron, y lo ubicaron en la hipótesis normativa para ser considerada sujeta del multicitado Impuesto. - - - - - - - - - - - - - - - - - - - - - - - - - - </w:t>
      </w:r>
      <w:r w:rsidR="00883EA3" w:rsidRPr="00EE67C9">
        <w:rPr>
          <w:rFonts w:ascii="Arial" w:hAnsi="Arial" w:cs="Arial"/>
          <w:sz w:val="24"/>
          <w:szCs w:val="24"/>
          <w:lang w:eastAsia="es-ES"/>
        </w:rPr>
        <w:t>-</w:t>
      </w:r>
      <w:r w:rsidR="00EE67C9">
        <w:rPr>
          <w:rFonts w:ascii="Arial" w:hAnsi="Arial" w:cs="Arial"/>
          <w:sz w:val="24"/>
          <w:szCs w:val="24"/>
          <w:lang w:eastAsia="es-ES"/>
        </w:rPr>
        <w:t xml:space="preserve"> </w:t>
      </w:r>
      <w:r w:rsidR="00EE67C9" w:rsidRPr="00EE67C9">
        <w:rPr>
          <w:rFonts w:ascii="Arial" w:hAnsi="Arial" w:cs="Arial"/>
          <w:sz w:val="24"/>
          <w:szCs w:val="24"/>
          <w:lang w:val="es-ES_tradnl" w:eastAsia="es-ES"/>
        </w:rPr>
        <w:t xml:space="preserve">- - - - - - - - - - - </w:t>
      </w:r>
      <w:r w:rsidR="00EE67C9">
        <w:rPr>
          <w:rFonts w:ascii="Arial" w:hAnsi="Arial" w:cs="Arial"/>
          <w:sz w:val="24"/>
          <w:szCs w:val="24"/>
          <w:lang w:val="es-ES_tradnl" w:eastAsia="es-ES"/>
        </w:rPr>
        <w:t xml:space="preserve">- - - - - - </w:t>
      </w:r>
    </w:p>
    <w:p w14:paraId="0BA147C0" w14:textId="77777777" w:rsidR="00FE0CC9" w:rsidRPr="00EE67C9" w:rsidRDefault="00FE0CC9" w:rsidP="00FE0CC9">
      <w:pPr>
        <w:widowControl w:val="0"/>
        <w:spacing w:line="360" w:lineRule="auto"/>
        <w:jc w:val="both"/>
        <w:rPr>
          <w:rFonts w:ascii="Arial" w:hAnsi="Arial" w:cs="Arial"/>
          <w:sz w:val="24"/>
          <w:szCs w:val="24"/>
          <w:lang w:eastAsia="es-ES"/>
        </w:rPr>
      </w:pPr>
    </w:p>
    <w:p w14:paraId="454A3A56" w14:textId="77777777" w:rsidR="00FE0CC9" w:rsidRPr="00EE67C9" w:rsidRDefault="00FE0CC9" w:rsidP="00FE0CC9">
      <w:pPr>
        <w:widowControl w:val="0"/>
        <w:spacing w:line="360" w:lineRule="auto"/>
        <w:jc w:val="both"/>
        <w:rPr>
          <w:rFonts w:ascii="Arial" w:hAnsi="Arial" w:cs="Arial"/>
          <w:sz w:val="24"/>
          <w:szCs w:val="24"/>
          <w:lang w:eastAsia="es-ES"/>
        </w:rPr>
      </w:pPr>
      <w:r w:rsidRPr="00EE67C9">
        <w:rPr>
          <w:rFonts w:ascii="Arial" w:hAnsi="Arial" w:cs="Arial"/>
          <w:sz w:val="24"/>
          <w:szCs w:val="24"/>
          <w:lang w:eastAsia="es-ES"/>
        </w:rPr>
        <w:t xml:space="preserve">          En ese orden de ideas, la autoridad fiscalizadora en primer término, debió ubicar al actor como sujeto obligado, señalando los hechos o circunstancias que se generaron para que se actualizara el supuesto jurídico previsto por la ley fiscal vigente, del cual deriva la obligación sobre el referido Impuesto, ya que del estudio de la multicitada multa no establece con exactitud la determinación del incumplimiento de la obligación por parte del administrado, así como no señala el expediente, documento o bases de datos que tuvo acceso, para considerar a la aquí parte actora como sujeto a la aplicación del referido impuesto, solamente se limitó a hacer referencia al de la revisión realizada en el Registro Estatal de Contribuyentes con que cuenta la Secretaría de Finanzas del Gobierno del Estado de Oaxaca, sin apegarse a lo dispuesto en el artículo 97 del Código Fiscal para el Estado de Oaxaca, vigente, para mayor compresión se transcribe:</w:t>
      </w:r>
    </w:p>
    <w:p w14:paraId="4BACC7D0" w14:textId="77777777" w:rsidR="00FE0CC9" w:rsidRPr="00EE67C9" w:rsidRDefault="00FE0CC9" w:rsidP="00FE0CC9">
      <w:pPr>
        <w:widowControl w:val="0"/>
        <w:spacing w:line="360" w:lineRule="auto"/>
        <w:jc w:val="both"/>
        <w:rPr>
          <w:rFonts w:ascii="Arial" w:hAnsi="Arial" w:cs="Arial"/>
          <w:sz w:val="24"/>
          <w:szCs w:val="24"/>
          <w:lang w:eastAsia="es-ES"/>
        </w:rPr>
      </w:pPr>
    </w:p>
    <w:p w14:paraId="3E7A56D9" w14:textId="77777777" w:rsidR="00FE0CC9" w:rsidRPr="00EE67C9" w:rsidRDefault="00FE0CC9" w:rsidP="00FE0CC9">
      <w:pPr>
        <w:widowControl w:val="0"/>
        <w:ind w:left="1134"/>
        <w:jc w:val="both"/>
        <w:rPr>
          <w:rFonts w:ascii="Arial" w:hAnsi="Arial" w:cs="Arial"/>
          <w:b/>
          <w:sz w:val="24"/>
          <w:szCs w:val="24"/>
          <w:lang w:eastAsia="es-ES"/>
        </w:rPr>
      </w:pPr>
    </w:p>
    <w:p w14:paraId="766285F7" w14:textId="77777777" w:rsidR="00FE0CC9" w:rsidRPr="00EE67C9" w:rsidRDefault="00FE0CC9" w:rsidP="00FE0CC9">
      <w:pPr>
        <w:widowControl w:val="0"/>
        <w:ind w:left="1134"/>
        <w:jc w:val="both"/>
        <w:rPr>
          <w:rFonts w:ascii="Arial" w:hAnsi="Arial" w:cs="Arial"/>
          <w:b/>
          <w:lang w:eastAsia="es-ES"/>
        </w:rPr>
      </w:pPr>
      <w:r w:rsidRPr="00EE67C9">
        <w:rPr>
          <w:rFonts w:ascii="Arial" w:hAnsi="Arial" w:cs="Arial"/>
          <w:b/>
          <w:sz w:val="24"/>
          <w:szCs w:val="24"/>
          <w:lang w:eastAsia="es-ES"/>
        </w:rPr>
        <w:t xml:space="preserve">               </w:t>
      </w:r>
      <w:r w:rsidRPr="00EE67C9">
        <w:rPr>
          <w:rFonts w:ascii="Arial" w:hAnsi="Arial" w:cs="Arial"/>
          <w:b/>
          <w:lang w:eastAsia="es-ES"/>
        </w:rPr>
        <w:t>CÓDIGO FISCAL PARA EL ESTADO DE OAXACA.</w:t>
      </w:r>
    </w:p>
    <w:p w14:paraId="3CBA4B58" w14:textId="77777777" w:rsidR="00FE0CC9" w:rsidRPr="00EE67C9" w:rsidRDefault="00FE0CC9" w:rsidP="00FE0CC9">
      <w:pPr>
        <w:widowControl w:val="0"/>
        <w:ind w:left="1134"/>
        <w:jc w:val="both"/>
        <w:rPr>
          <w:rFonts w:ascii="Arial" w:hAnsi="Arial" w:cs="Arial"/>
          <w:b/>
          <w:lang w:eastAsia="es-ES"/>
        </w:rPr>
      </w:pPr>
    </w:p>
    <w:p w14:paraId="51E93720" w14:textId="77777777" w:rsidR="00FE0CC9" w:rsidRPr="00EE67C9" w:rsidRDefault="00FE0CC9" w:rsidP="00FE0CC9">
      <w:pPr>
        <w:widowControl w:val="0"/>
        <w:ind w:left="1134" w:right="902"/>
        <w:jc w:val="center"/>
        <w:rPr>
          <w:rFonts w:ascii="Arial" w:hAnsi="Arial" w:cs="Arial"/>
          <w:b/>
          <w:lang w:eastAsia="es-ES"/>
        </w:rPr>
      </w:pPr>
      <w:r w:rsidRPr="00EE67C9">
        <w:rPr>
          <w:rFonts w:ascii="Arial" w:hAnsi="Arial" w:cs="Arial"/>
          <w:b/>
          <w:lang w:eastAsia="es-ES"/>
        </w:rPr>
        <w:t>LIBRO TERCERO DE LAS FACULTADES DE LAS AUTORIDADES  FISCALES TÍTULO ÚNICO.</w:t>
      </w:r>
    </w:p>
    <w:p w14:paraId="7AF49D64" w14:textId="77777777" w:rsidR="00FE0CC9" w:rsidRPr="00EE67C9" w:rsidRDefault="00FE0CC9" w:rsidP="00FE0CC9">
      <w:pPr>
        <w:widowControl w:val="0"/>
        <w:spacing w:line="360" w:lineRule="auto"/>
        <w:ind w:right="1327"/>
        <w:jc w:val="both"/>
        <w:rPr>
          <w:rFonts w:ascii="Arial" w:hAnsi="Arial" w:cs="Arial"/>
          <w:lang w:eastAsia="es-ES"/>
        </w:rPr>
      </w:pPr>
    </w:p>
    <w:p w14:paraId="1546EC35" w14:textId="77777777" w:rsidR="00FE0CC9" w:rsidRPr="00EE67C9" w:rsidRDefault="00FE0CC9" w:rsidP="00FE0CC9">
      <w:pPr>
        <w:widowControl w:val="0"/>
        <w:spacing w:line="360" w:lineRule="auto"/>
        <w:ind w:left="1701" w:right="1327"/>
        <w:jc w:val="both"/>
        <w:rPr>
          <w:rFonts w:ascii="Arial" w:hAnsi="Arial" w:cs="Arial"/>
          <w:sz w:val="24"/>
          <w:szCs w:val="24"/>
          <w:lang w:eastAsia="es-ES"/>
        </w:rPr>
      </w:pPr>
      <w:r w:rsidRPr="00EE67C9">
        <w:rPr>
          <w:rFonts w:ascii="Arial" w:hAnsi="Arial" w:cs="Arial"/>
          <w:lang w:eastAsia="es-ES"/>
        </w:rPr>
        <w:t xml:space="preserve">ARTÍCULO 97. Los hechos que las autoridades fiscales </w:t>
      </w:r>
      <w:r w:rsidRPr="00EE67C9">
        <w:rPr>
          <w:rFonts w:ascii="Arial" w:hAnsi="Arial" w:cs="Arial"/>
          <w:b/>
          <w:lang w:eastAsia="es-ES"/>
        </w:rPr>
        <w:t>conozcan</w:t>
      </w:r>
      <w:r w:rsidRPr="00EE67C9">
        <w:rPr>
          <w:rFonts w:ascii="Arial" w:hAnsi="Arial" w:cs="Arial"/>
          <w:lang w:eastAsia="es-ES"/>
        </w:rPr>
        <w:t xml:space="preserve"> </w:t>
      </w:r>
      <w:r w:rsidRPr="00EE67C9">
        <w:rPr>
          <w:rFonts w:ascii="Arial" w:hAnsi="Arial" w:cs="Arial"/>
          <w:b/>
          <w:lang w:eastAsia="es-ES"/>
        </w:rPr>
        <w:t>con motivo del ejercicio de sus facultades de comprobación, o bien que consten en los expedientes</w:t>
      </w:r>
      <w:r w:rsidRPr="00EE67C9">
        <w:rPr>
          <w:rFonts w:ascii="Arial" w:hAnsi="Arial" w:cs="Arial"/>
          <w:lang w:eastAsia="es-ES"/>
        </w:rPr>
        <w:t xml:space="preserve">, documentos o bases de datos que tengan en su poder o a las que tengan acceso, así como los proporcionados por otras autoridades, </w:t>
      </w:r>
      <w:r w:rsidRPr="00EE67C9">
        <w:rPr>
          <w:rFonts w:ascii="Arial" w:hAnsi="Arial" w:cs="Arial"/>
          <w:b/>
          <w:lang w:eastAsia="es-ES"/>
        </w:rPr>
        <w:t>podrán utilizarse como sustento de la motivación de las resoluciones que emitan.</w:t>
      </w:r>
      <w:r w:rsidRPr="00EE67C9">
        <w:rPr>
          <w:rFonts w:ascii="Arial" w:hAnsi="Arial" w:cs="Arial"/>
          <w:lang w:eastAsia="es-ES"/>
        </w:rPr>
        <w:t xml:space="preserve"> </w:t>
      </w:r>
    </w:p>
    <w:p w14:paraId="5CE06FDD" w14:textId="77777777" w:rsidR="00FE0CC9" w:rsidRPr="00EE67C9" w:rsidRDefault="00FE0CC9" w:rsidP="00FE0CC9">
      <w:pPr>
        <w:widowControl w:val="0"/>
        <w:spacing w:line="360" w:lineRule="auto"/>
        <w:ind w:right="1327"/>
        <w:jc w:val="both"/>
        <w:rPr>
          <w:rFonts w:ascii="Arial" w:hAnsi="Arial" w:cs="Arial"/>
          <w:sz w:val="24"/>
          <w:szCs w:val="24"/>
          <w:lang w:eastAsia="es-ES"/>
        </w:rPr>
      </w:pPr>
    </w:p>
    <w:p w14:paraId="29305D7C" w14:textId="77777777" w:rsidR="00FE0CC9" w:rsidRPr="00EE67C9" w:rsidRDefault="00FE0CC9" w:rsidP="00FE0CC9">
      <w:pPr>
        <w:spacing w:line="360" w:lineRule="auto"/>
        <w:ind w:left="360"/>
        <w:jc w:val="both"/>
        <w:rPr>
          <w:rFonts w:ascii="Arial" w:hAnsi="Arial" w:cs="Arial"/>
          <w:sz w:val="24"/>
          <w:szCs w:val="24"/>
          <w:lang w:eastAsia="es-ES"/>
        </w:rPr>
      </w:pPr>
      <w:r w:rsidRPr="00EE67C9">
        <w:rPr>
          <w:rFonts w:ascii="Arial" w:hAnsi="Arial" w:cs="Arial"/>
          <w:sz w:val="24"/>
          <w:szCs w:val="24"/>
          <w:lang w:eastAsia="es-ES"/>
        </w:rPr>
        <w:lastRenderedPageBreak/>
        <w:t xml:space="preserve">          Así también,  la autoridad consideró que la actora quedó inscrita el Registro Estatal de Contribuyentes </w:t>
      </w:r>
      <w:r w:rsidRPr="00EE67C9">
        <w:rPr>
          <w:rFonts w:ascii="Arial" w:hAnsi="Arial" w:cs="Arial"/>
          <w:b/>
          <w:sz w:val="24"/>
          <w:szCs w:val="24"/>
          <w:lang w:eastAsia="es-ES"/>
        </w:rPr>
        <w:t>con fecha uno de enero de dos mil trece (01/01/2013),</w:t>
      </w:r>
      <w:r w:rsidRPr="00EE67C9">
        <w:rPr>
          <w:rFonts w:ascii="Arial" w:hAnsi="Arial" w:cs="Arial"/>
          <w:sz w:val="24"/>
          <w:szCs w:val="24"/>
          <w:lang w:eastAsia="es-ES"/>
        </w:rPr>
        <w:t xml:space="preserve"> lo anterior por presentar ante la Delegación o Subdelegación Fiscal, formulario múltiple de Registro Estatal de Contribuyente  a fin de quedar inscrito con la obligación al pago del </w:t>
      </w:r>
      <w:r w:rsidRPr="00EE67C9">
        <w:rPr>
          <w:rFonts w:ascii="Arial" w:hAnsi="Arial" w:cs="Arial"/>
          <w:sz w:val="24"/>
          <w:szCs w:val="24"/>
          <w:lang w:val="es-ES_tradnl" w:eastAsia="es-ES"/>
        </w:rPr>
        <w:t>Impuesto Sobre Erogaciones por Remuneraciones al Trabajo Personal</w:t>
      </w:r>
      <w:r w:rsidRPr="00EE67C9">
        <w:rPr>
          <w:rFonts w:ascii="Arial" w:hAnsi="Arial" w:cs="Arial"/>
          <w:sz w:val="24"/>
          <w:szCs w:val="24"/>
          <w:lang w:eastAsia="es-ES"/>
        </w:rPr>
        <w:t>, de lo anterior se desprende que la autoridad enjuiciada una vez que hubiese identificado al actor en los registros contables en materia de declaraciones y pagos como sujeto al referido impuesto debió requerir información al contribuyente de la supuesta documentación omitida y concederle un plazo legal, a efecto de poder manifestar lo que a su derecho conviniera, para así cumplir con la formalidad esencial del procedimiento cuando se conozcan hechos que consten en expedientes, documentos o base de datos como lo marca el artículo 97 del Código Fiscal para el Estado de Oaxaca,  para el efecto de que comprobara haber cumplido con su obligación fiscal y con tales comprobaciones la autoridad determinaría el cumplimiento o incumplimiento de la obligación a que el hoy actor tuviera como sujeto obligado, para en su caso proceder o no a la imposición de la multa ,pues al hacerlo le otorgaría al gobernado la oportunidad de aclarar, corroborar, desvirtuar, precisar el contenido y alcance de la información que obra en poder de la autoridad fiscalizadora, y al no darle a conocer la ubicación del expediente, los documentos y la base datos donde dedujo la omisión de la información o documentación deja en estado de indefensión al actor, violándole la garantía de audiencia contenida en el artículo 14 de la Constitución Política de los Estados Unidos Mexicanos, y por ello el acto impugnado carece de la debida fundamentación y motivación con franca violación al artículo por el artículo 17 fracción V, de la Ley de Procedimiento y Justicia Administrativa para el Estado de Oaxaca.</w:t>
      </w:r>
    </w:p>
    <w:p w14:paraId="0A798037" w14:textId="77777777" w:rsidR="00FE0CC9" w:rsidRPr="00EE67C9" w:rsidRDefault="00FE0CC9" w:rsidP="00883EA3">
      <w:pPr>
        <w:spacing w:line="360" w:lineRule="auto"/>
        <w:jc w:val="both"/>
        <w:rPr>
          <w:rFonts w:ascii="Arial" w:hAnsi="Arial" w:cs="Arial"/>
          <w:sz w:val="24"/>
          <w:szCs w:val="24"/>
          <w:lang w:val="es-MX"/>
        </w:rPr>
      </w:pPr>
    </w:p>
    <w:p w14:paraId="723874E6" w14:textId="77777777" w:rsidR="00FE0CC9" w:rsidRPr="00EE67C9" w:rsidRDefault="00FE0CC9" w:rsidP="00FE0CC9">
      <w:pPr>
        <w:spacing w:line="360" w:lineRule="auto"/>
        <w:ind w:left="360"/>
        <w:jc w:val="both"/>
        <w:rPr>
          <w:rFonts w:ascii="Arial" w:hAnsi="Arial" w:cs="Arial"/>
          <w:sz w:val="24"/>
          <w:szCs w:val="24"/>
          <w:lang w:eastAsia="es-ES"/>
        </w:rPr>
      </w:pPr>
      <w:r w:rsidRPr="00EE67C9">
        <w:rPr>
          <w:rFonts w:ascii="Arial" w:hAnsi="Arial" w:cs="Arial"/>
          <w:sz w:val="24"/>
          <w:szCs w:val="24"/>
          <w:lang w:val="es-MX"/>
        </w:rPr>
        <w:t xml:space="preserve">  Sirve de apoyo la siguiente </w:t>
      </w:r>
      <w:r w:rsidRPr="00EE67C9">
        <w:rPr>
          <w:rFonts w:ascii="Arial" w:hAnsi="Arial" w:cs="Arial"/>
          <w:sz w:val="24"/>
          <w:szCs w:val="24"/>
          <w:lang w:eastAsia="es-ES"/>
        </w:rPr>
        <w:t xml:space="preserve">la jurisprudencia, P./J. 47/95, publicada en el Semanario Judicial de la Federación y su Gaceta, Novena Época, Tomo II, diciembre de 1995, página 133, de rubro:                                                   </w:t>
      </w:r>
    </w:p>
    <w:p w14:paraId="7AE9A139" w14:textId="77777777" w:rsidR="00FE0CC9" w:rsidRPr="00EE67C9" w:rsidRDefault="00FE0CC9" w:rsidP="00FE0CC9">
      <w:pPr>
        <w:spacing w:line="360" w:lineRule="auto"/>
        <w:ind w:left="1701" w:right="1469"/>
        <w:jc w:val="both"/>
        <w:rPr>
          <w:rFonts w:ascii="Arial" w:hAnsi="Arial" w:cs="Arial"/>
          <w:b/>
          <w:sz w:val="22"/>
          <w:szCs w:val="22"/>
          <w:lang w:eastAsia="es-ES"/>
        </w:rPr>
      </w:pPr>
    </w:p>
    <w:p w14:paraId="6FDB09B4" w14:textId="77777777" w:rsidR="00FE0CC9" w:rsidRPr="00EE67C9" w:rsidRDefault="00FE0CC9" w:rsidP="00FE0CC9">
      <w:pPr>
        <w:spacing w:line="360" w:lineRule="auto"/>
        <w:ind w:left="1701" w:right="1469"/>
        <w:jc w:val="both"/>
        <w:rPr>
          <w:rFonts w:ascii="Arial" w:hAnsi="Arial" w:cs="Arial"/>
          <w:sz w:val="22"/>
          <w:szCs w:val="22"/>
          <w:lang w:eastAsia="es-ES"/>
        </w:rPr>
      </w:pPr>
      <w:r w:rsidRPr="00EE67C9">
        <w:rPr>
          <w:rFonts w:ascii="Arial" w:hAnsi="Arial" w:cs="Arial"/>
          <w:b/>
          <w:sz w:val="22"/>
          <w:szCs w:val="22"/>
          <w:lang w:eastAsia="es-ES"/>
        </w:rPr>
        <w:t>FORMALIDADES ESENCIALES DEL PROCEDIMIENTO. SON LAS QUE GARANTIZAN UNA ADECUADA Y OPORTUNA DEFENSA PREVIA AL ACTO PRIVATIVO</w:t>
      </w:r>
      <w:r w:rsidRPr="00EE67C9">
        <w:rPr>
          <w:rFonts w:ascii="Arial" w:hAnsi="Arial" w:cs="Arial"/>
          <w:sz w:val="22"/>
          <w:szCs w:val="22"/>
          <w:lang w:eastAsia="es-ES"/>
        </w:rPr>
        <w:t xml:space="preserve">.  </w:t>
      </w:r>
    </w:p>
    <w:p w14:paraId="4110444A" w14:textId="77777777" w:rsidR="00FE0CC9" w:rsidRPr="00EE67C9" w:rsidRDefault="00FE0CC9" w:rsidP="00FE0CC9">
      <w:pPr>
        <w:spacing w:line="360" w:lineRule="auto"/>
        <w:ind w:right="1469"/>
        <w:jc w:val="both"/>
        <w:rPr>
          <w:rFonts w:ascii="Arial" w:hAnsi="Arial" w:cs="Arial"/>
          <w:sz w:val="24"/>
          <w:szCs w:val="24"/>
          <w:lang w:eastAsia="es-ES"/>
        </w:rPr>
      </w:pPr>
      <w:r w:rsidRPr="00EE67C9">
        <w:rPr>
          <w:rFonts w:ascii="Arial" w:hAnsi="Arial" w:cs="Arial"/>
          <w:b/>
          <w:sz w:val="24"/>
          <w:szCs w:val="24"/>
          <w:lang w:eastAsia="es-ES"/>
        </w:rPr>
        <w:t xml:space="preserve"> </w:t>
      </w:r>
    </w:p>
    <w:p w14:paraId="28189523" w14:textId="77777777" w:rsidR="00FE0CC9" w:rsidRPr="00EE67C9" w:rsidRDefault="00FE0CC9" w:rsidP="00FE0CC9">
      <w:pPr>
        <w:spacing w:line="360" w:lineRule="auto"/>
        <w:ind w:right="51"/>
        <w:jc w:val="both"/>
        <w:rPr>
          <w:rFonts w:ascii="Arial" w:hAnsi="Arial" w:cs="Arial"/>
          <w:sz w:val="24"/>
          <w:szCs w:val="24"/>
          <w:lang w:eastAsia="es-ES"/>
        </w:rPr>
      </w:pPr>
      <w:r w:rsidRPr="00EE67C9">
        <w:rPr>
          <w:rFonts w:ascii="Arial" w:hAnsi="Arial" w:cs="Arial"/>
          <w:sz w:val="24"/>
          <w:szCs w:val="24"/>
          <w:lang w:eastAsia="es-ES"/>
        </w:rPr>
        <w:t xml:space="preserve">      Sirve de sustento la siguiente tesis de Tribunales Colegiados de Circuito, Semanario Judicial de la Federación y su Gaceta, Época novena, materia administrativa, Tesis: IV.2º. A.69.A, página: 1535.</w:t>
      </w:r>
    </w:p>
    <w:p w14:paraId="521E39C7" w14:textId="77777777" w:rsidR="00FE0CC9" w:rsidRPr="00EE67C9" w:rsidRDefault="00FE0CC9" w:rsidP="00FE0CC9">
      <w:pPr>
        <w:spacing w:line="360" w:lineRule="auto"/>
        <w:ind w:right="51"/>
        <w:jc w:val="both"/>
        <w:rPr>
          <w:rFonts w:ascii="Arial" w:hAnsi="Arial" w:cs="Arial"/>
          <w:sz w:val="24"/>
          <w:szCs w:val="24"/>
          <w:lang w:eastAsia="es-ES"/>
        </w:rPr>
      </w:pPr>
    </w:p>
    <w:p w14:paraId="6C9B6DDE" w14:textId="77777777" w:rsidR="00FE0CC9" w:rsidRPr="00EE67C9" w:rsidRDefault="00FE0CC9" w:rsidP="00FE0CC9">
      <w:pPr>
        <w:spacing w:line="360" w:lineRule="auto"/>
        <w:ind w:left="1701" w:right="1469"/>
        <w:jc w:val="both"/>
        <w:rPr>
          <w:rFonts w:ascii="Arial" w:hAnsi="Arial" w:cs="Arial"/>
          <w:sz w:val="22"/>
          <w:szCs w:val="22"/>
          <w:lang w:eastAsia="es-ES"/>
        </w:rPr>
      </w:pPr>
      <w:r w:rsidRPr="00EE67C9">
        <w:rPr>
          <w:rFonts w:ascii="Arial" w:hAnsi="Arial" w:cs="Arial"/>
          <w:b/>
          <w:sz w:val="22"/>
          <w:szCs w:val="22"/>
          <w:lang w:eastAsia="es-ES"/>
        </w:rPr>
        <w:lastRenderedPageBreak/>
        <w:t>CONTRIBUCIONES FEDERALES. PARA MOTIVAR LAS RESOLUCIONES QUE LAS AUTORIDADES FISCALES EMITAN EN ESA MATERIA, ES MENESTER QUE PRECISEN CLARAMENTE CUÁLES SON LOS EXPEDIENTES Y DOCUMENTOS QUE TOMARON EN CUENTA Y LOS HECHOS DE ELLOS ADVERTIDOS</w:t>
      </w:r>
      <w:r w:rsidRPr="00EE67C9">
        <w:rPr>
          <w:rFonts w:ascii="Arial" w:hAnsi="Arial" w:cs="Arial"/>
          <w:sz w:val="22"/>
          <w:szCs w:val="22"/>
          <w:lang w:eastAsia="es-ES"/>
        </w:rPr>
        <w:t xml:space="preserve">. </w:t>
      </w:r>
    </w:p>
    <w:p w14:paraId="21D2D10A" w14:textId="77777777" w:rsidR="00FE0CC9" w:rsidRPr="00EE67C9" w:rsidRDefault="00FE0CC9" w:rsidP="00FE0CC9">
      <w:pPr>
        <w:spacing w:line="360" w:lineRule="auto"/>
        <w:ind w:left="1701" w:right="1469"/>
        <w:jc w:val="both"/>
        <w:rPr>
          <w:rFonts w:ascii="Arial" w:hAnsi="Arial" w:cs="Arial"/>
          <w:sz w:val="22"/>
          <w:szCs w:val="22"/>
          <w:lang w:eastAsia="es-ES"/>
        </w:rPr>
      </w:pPr>
    </w:p>
    <w:p w14:paraId="2FAA3BFC" w14:textId="77777777" w:rsidR="00FE0CC9" w:rsidRPr="00EE67C9" w:rsidRDefault="00FE0CC9" w:rsidP="00FE0CC9">
      <w:pPr>
        <w:spacing w:line="360" w:lineRule="auto"/>
        <w:ind w:left="1701" w:right="1469"/>
        <w:jc w:val="both"/>
        <w:rPr>
          <w:rFonts w:ascii="Arial" w:hAnsi="Arial" w:cs="Arial"/>
          <w:sz w:val="22"/>
          <w:szCs w:val="22"/>
          <w:lang w:eastAsia="es-ES"/>
        </w:rPr>
      </w:pPr>
      <w:r w:rsidRPr="00EE67C9">
        <w:rPr>
          <w:rFonts w:ascii="Arial" w:hAnsi="Arial" w:cs="Arial"/>
          <w:sz w:val="22"/>
          <w:szCs w:val="22"/>
          <w:lang w:eastAsia="es-ES"/>
        </w:rPr>
        <w:t xml:space="preserve">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w:t>
      </w:r>
      <w:r w:rsidRPr="00EE67C9">
        <w:rPr>
          <w:rFonts w:ascii="Arial" w:hAnsi="Arial" w:cs="Arial"/>
          <w:b/>
          <w:sz w:val="22"/>
          <w:szCs w:val="22"/>
          <w:lang w:eastAsia="es-ES"/>
        </w:rPr>
        <w:t>es menester que precisen claramente cuáles son los expedientes y documentos que tomaron en cuenta y los hechos de ellos advertidos</w:t>
      </w:r>
      <w:r w:rsidRPr="00EE67C9">
        <w:rPr>
          <w:rFonts w:ascii="Arial" w:hAnsi="Arial" w:cs="Arial"/>
          <w:sz w:val="22"/>
          <w:szCs w:val="22"/>
          <w:lang w:eastAsia="es-ES"/>
        </w:rPr>
        <w:t xml:space="preserve">, pues si la autoridad fiscal, al determinar un crédito a cargo de un particular, </w:t>
      </w:r>
      <w:r w:rsidRPr="00EE67C9">
        <w:rPr>
          <w:rFonts w:ascii="Arial" w:hAnsi="Arial" w:cs="Arial"/>
          <w:b/>
          <w:sz w:val="22"/>
          <w:szCs w:val="22"/>
          <w:lang w:eastAsia="es-ES"/>
        </w:rPr>
        <w:t>se limita a señalar genéricamente</w:t>
      </w:r>
      <w:r w:rsidRPr="00EE67C9">
        <w:rPr>
          <w:rFonts w:ascii="Arial" w:hAnsi="Arial" w:cs="Arial"/>
          <w:sz w:val="22"/>
          <w:szCs w:val="22"/>
          <w:lang w:eastAsia="es-ES"/>
        </w:rPr>
        <w:t>, con fundamento en el artículo 63 precitado, que para expedir tal resolución se apoyó en los hechos y circunstancias que se desprendieron de "</w:t>
      </w:r>
      <w:r w:rsidRPr="00EE67C9">
        <w:rPr>
          <w:rFonts w:ascii="Arial" w:hAnsi="Arial" w:cs="Arial"/>
          <w:b/>
          <w:sz w:val="22"/>
          <w:szCs w:val="22"/>
          <w:lang w:eastAsia="es-ES"/>
        </w:rPr>
        <w:t xml:space="preserve">los documentos e información que tiene en su poder o registros", sin mencionar en qué consisten éstos, </w:t>
      </w:r>
      <w:r w:rsidRPr="00EE67C9">
        <w:rPr>
          <w:rFonts w:ascii="Arial" w:hAnsi="Arial" w:cs="Arial"/>
          <w:sz w:val="22"/>
          <w:szCs w:val="22"/>
          <w:lang w:eastAsia="es-ES"/>
        </w:rPr>
        <w:t>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p>
    <w:p w14:paraId="30CBF3BC" w14:textId="77777777" w:rsidR="00FE0CC9" w:rsidRPr="00EE67C9" w:rsidRDefault="00FE0CC9" w:rsidP="00FE0CC9">
      <w:pPr>
        <w:widowControl w:val="0"/>
        <w:spacing w:line="360" w:lineRule="auto"/>
        <w:ind w:hanging="426"/>
        <w:jc w:val="both"/>
        <w:rPr>
          <w:rFonts w:ascii="Arial" w:hAnsi="Arial" w:cs="Arial"/>
          <w:sz w:val="24"/>
          <w:szCs w:val="24"/>
          <w:lang w:eastAsia="es-ES"/>
        </w:rPr>
      </w:pPr>
    </w:p>
    <w:p w14:paraId="1B524E30" w14:textId="0F1E7ACE" w:rsidR="00FE0CC9" w:rsidRPr="00EE67C9" w:rsidRDefault="00FE0CC9" w:rsidP="00FE0CC9">
      <w:pPr>
        <w:widowControl w:val="0"/>
        <w:spacing w:line="360" w:lineRule="auto"/>
        <w:ind w:hanging="426"/>
        <w:jc w:val="both"/>
        <w:rPr>
          <w:rFonts w:ascii="Arial" w:hAnsi="Arial" w:cs="Arial"/>
          <w:sz w:val="24"/>
          <w:szCs w:val="24"/>
        </w:rPr>
      </w:pPr>
      <w:r w:rsidRPr="00EE67C9">
        <w:rPr>
          <w:rFonts w:ascii="Arial" w:hAnsi="Arial" w:cs="Arial"/>
          <w:sz w:val="24"/>
          <w:szCs w:val="24"/>
          <w:lang w:eastAsia="es-ES"/>
        </w:rPr>
        <w:t xml:space="preserve">                     De lo anterior, se advierte que la demandada omitió señalar  en la multa impugnada las razones particulares, causas inmediatas y circunstancias especiales  de qué forma confirmó fehacientemente que la administrada estaba obligada a  la Presentación de las Declaraciones Bimestrales  del </w:t>
      </w:r>
      <w:r w:rsidRPr="00EE67C9">
        <w:rPr>
          <w:rFonts w:ascii="Arial" w:hAnsi="Arial" w:cs="Arial"/>
          <w:sz w:val="24"/>
          <w:szCs w:val="24"/>
          <w:lang w:val="es-ES_tradnl" w:eastAsia="es-ES"/>
        </w:rPr>
        <w:t>Impuesto Sobre Erogaciones por Remuneraciones al Trabajo Personal</w:t>
      </w:r>
      <w:r w:rsidRPr="00EE67C9">
        <w:rPr>
          <w:rFonts w:ascii="Arial" w:hAnsi="Arial" w:cs="Arial"/>
          <w:sz w:val="24"/>
          <w:szCs w:val="24"/>
          <w:lang w:eastAsia="es-ES"/>
        </w:rPr>
        <w:t>, ya que no indica los antecedentes específicos que se tenían para considerarlo sujeto de ese impuesto, al solo establecer de manera  genérica que se basa en información que obra en sus expedientes, sin señalar los números de expedientes, los documentos en concreto  que se tomaron en cuenta para derivar los hechos de ellos advertido</w:t>
      </w:r>
      <w:r w:rsidRPr="00EE67C9">
        <w:rPr>
          <w:rFonts w:ascii="Arial" w:hAnsi="Arial" w:cs="Arial"/>
          <w:sz w:val="22"/>
          <w:szCs w:val="22"/>
          <w:lang w:eastAsia="es-ES"/>
        </w:rPr>
        <w:t>s,</w:t>
      </w:r>
      <w:r w:rsidRPr="00EE67C9">
        <w:rPr>
          <w:rFonts w:ascii="Arial" w:hAnsi="Arial" w:cs="Arial"/>
          <w:sz w:val="24"/>
          <w:szCs w:val="24"/>
          <w:lang w:eastAsia="es-ES"/>
        </w:rPr>
        <w:t xml:space="preserve"> ni haber mediado requerimiento previo de la información omitida,</w:t>
      </w:r>
      <w:r w:rsidRPr="00EE67C9">
        <w:rPr>
          <w:rFonts w:ascii="Arial" w:hAnsi="Arial" w:cs="Arial"/>
          <w:sz w:val="22"/>
          <w:szCs w:val="22"/>
          <w:lang w:eastAsia="es-ES"/>
        </w:rPr>
        <w:t xml:space="preserve"> </w:t>
      </w:r>
      <w:r w:rsidRPr="00EE67C9">
        <w:rPr>
          <w:rFonts w:ascii="Arial" w:hAnsi="Arial" w:cs="Arial"/>
          <w:sz w:val="24"/>
          <w:szCs w:val="24"/>
          <w:lang w:eastAsia="es-ES"/>
        </w:rPr>
        <w:t xml:space="preserve"> provocando con </w:t>
      </w:r>
      <w:r w:rsidRPr="00EE67C9">
        <w:rPr>
          <w:rFonts w:ascii="Arial" w:hAnsi="Arial" w:cs="Arial"/>
          <w:sz w:val="24"/>
          <w:szCs w:val="24"/>
          <w:lang w:eastAsia="es-ES"/>
        </w:rPr>
        <w:lastRenderedPageBreak/>
        <w:t xml:space="preserve">ello  que la ilegalidad  de la resolución  al carecer de la debida fundamentación y motivación violando lo dispuesto  por el artículo 17 fracción V, de la Ley de Procedimiento y Justicia Administrativa,  de donde en términos del artículo </w:t>
      </w:r>
      <w:r w:rsidRPr="00EE67C9">
        <w:rPr>
          <w:rFonts w:ascii="Arial" w:hAnsi="Arial" w:cs="Arial"/>
          <w:sz w:val="24"/>
          <w:szCs w:val="24"/>
        </w:rPr>
        <w:t>207, fracciones I, II y III, 208 fracción II, VI,</w:t>
      </w:r>
      <w:r w:rsidRPr="00EE67C9">
        <w:rPr>
          <w:rFonts w:ascii="Arial" w:hAnsi="Arial" w:cs="Arial"/>
          <w:sz w:val="24"/>
          <w:szCs w:val="24"/>
          <w:lang w:eastAsia="es-ES"/>
        </w:rPr>
        <w:t xml:space="preserve"> de la Ley de la materia procede </w:t>
      </w:r>
      <w:r w:rsidRPr="00EE67C9">
        <w:rPr>
          <w:rFonts w:ascii="Arial" w:hAnsi="Arial" w:cs="Arial"/>
          <w:b/>
          <w:sz w:val="24"/>
          <w:szCs w:val="24"/>
          <w:lang w:eastAsia="es-ES"/>
        </w:rPr>
        <w:t xml:space="preserve">DECLARAR SU NULIDAD LISA Y LLANA </w:t>
      </w:r>
      <w:r w:rsidRPr="00EE67C9">
        <w:rPr>
          <w:rFonts w:ascii="Arial" w:hAnsi="Arial" w:cs="Arial"/>
          <w:sz w:val="24"/>
          <w:szCs w:val="24"/>
          <w:lang w:eastAsia="es-ES"/>
        </w:rPr>
        <w:t xml:space="preserve">de la multa emitida  por la no presentación de las </w:t>
      </w:r>
      <w:r w:rsidRPr="00EE67C9">
        <w:rPr>
          <w:rFonts w:ascii="Arial" w:hAnsi="Arial" w:cs="Arial"/>
          <w:b/>
          <w:sz w:val="24"/>
          <w:szCs w:val="24"/>
          <w:lang w:eastAsia="es-ES"/>
        </w:rPr>
        <w:t xml:space="preserve">Declaraciones Bimestrales  del </w:t>
      </w:r>
      <w:r w:rsidRPr="00EE67C9">
        <w:rPr>
          <w:rFonts w:ascii="Arial" w:hAnsi="Arial" w:cs="Arial"/>
          <w:b/>
          <w:sz w:val="24"/>
          <w:szCs w:val="24"/>
          <w:lang w:val="es-ES_tradnl" w:eastAsia="es-ES"/>
        </w:rPr>
        <w:t>Impuesto Sobre Erogaciones por Remuneraciones al Trabajo Personal</w:t>
      </w:r>
      <w:r w:rsidRPr="00EE67C9">
        <w:rPr>
          <w:rFonts w:ascii="Arial" w:hAnsi="Arial" w:cs="Arial"/>
          <w:b/>
          <w:sz w:val="24"/>
          <w:szCs w:val="24"/>
          <w:lang w:eastAsia="es-ES"/>
        </w:rPr>
        <w:t xml:space="preserve"> contenida en el oficio </w:t>
      </w:r>
      <w:r w:rsidRPr="00EE67C9">
        <w:rPr>
          <w:rFonts w:ascii="Arial" w:hAnsi="Arial" w:cs="Arial"/>
          <w:b/>
          <w:sz w:val="24"/>
          <w:szCs w:val="24"/>
        </w:rPr>
        <w:t xml:space="preserve">con número de control </w:t>
      </w:r>
      <w:r w:rsidR="0007616F" w:rsidRPr="00EE67C9">
        <w:rPr>
          <w:rFonts w:ascii="Arial" w:hAnsi="Arial" w:cs="Arial"/>
          <w:sz w:val="24"/>
          <w:szCs w:val="24"/>
        </w:rPr>
        <w:t>**********</w:t>
      </w:r>
      <w:r w:rsidRPr="00EE67C9">
        <w:rPr>
          <w:rFonts w:ascii="Arial" w:hAnsi="Arial" w:cs="Arial"/>
          <w:sz w:val="24"/>
          <w:szCs w:val="24"/>
        </w:rPr>
        <w:t xml:space="preserve"> </w:t>
      </w:r>
      <w:r w:rsidRPr="00EE67C9">
        <w:rPr>
          <w:rFonts w:ascii="Arial" w:hAnsi="Arial" w:cs="Arial"/>
          <w:b/>
          <w:sz w:val="24"/>
          <w:szCs w:val="24"/>
        </w:rPr>
        <w:t xml:space="preserve"> de fecha veintisiete de julio de dos mil dieciocho (27/07/2018),</w:t>
      </w:r>
      <w:r w:rsidRPr="00EE67C9">
        <w:rPr>
          <w:rFonts w:cs="Arial"/>
          <w:b/>
          <w:sz w:val="24"/>
          <w:szCs w:val="24"/>
        </w:rPr>
        <w:t xml:space="preserve"> </w:t>
      </w:r>
      <w:r w:rsidRPr="00EE67C9">
        <w:rPr>
          <w:rFonts w:ascii="Arial" w:hAnsi="Arial" w:cs="Arial"/>
          <w:b/>
          <w:sz w:val="24"/>
          <w:szCs w:val="24"/>
        </w:rPr>
        <w:t xml:space="preserve">signada por la </w:t>
      </w:r>
      <w:r w:rsidR="0007616F" w:rsidRPr="00EE67C9">
        <w:rPr>
          <w:rFonts w:ascii="Arial" w:hAnsi="Arial" w:cs="Arial"/>
          <w:sz w:val="24"/>
          <w:szCs w:val="24"/>
        </w:rPr>
        <w:t>**********</w:t>
      </w:r>
      <w:r w:rsidRPr="00EE67C9">
        <w:rPr>
          <w:rFonts w:ascii="Arial" w:hAnsi="Arial" w:cs="Arial"/>
          <w:sz w:val="24"/>
          <w:szCs w:val="24"/>
        </w:rPr>
        <w:t xml:space="preserve">.- - - - - - - - - </w:t>
      </w:r>
      <w:r w:rsidR="00883EA3" w:rsidRPr="00EE67C9">
        <w:rPr>
          <w:rFonts w:ascii="Arial" w:hAnsi="Arial" w:cs="Arial"/>
          <w:sz w:val="24"/>
          <w:szCs w:val="24"/>
        </w:rPr>
        <w:t xml:space="preserve">- - - - - - - - - - - - - - - </w:t>
      </w:r>
    </w:p>
    <w:p w14:paraId="3F8E4794" w14:textId="77777777" w:rsidR="00FE0CC9" w:rsidRPr="00EE67C9" w:rsidRDefault="00FE0CC9" w:rsidP="00FE0CC9">
      <w:pPr>
        <w:widowControl w:val="0"/>
        <w:spacing w:line="360" w:lineRule="auto"/>
        <w:ind w:hanging="426"/>
        <w:jc w:val="both"/>
        <w:rPr>
          <w:rFonts w:ascii="Arial" w:hAnsi="Arial" w:cs="Arial"/>
          <w:sz w:val="24"/>
          <w:szCs w:val="24"/>
        </w:rPr>
      </w:pPr>
    </w:p>
    <w:p w14:paraId="505CBED3" w14:textId="77777777" w:rsidR="00FE0CC9" w:rsidRPr="00EE67C9" w:rsidRDefault="00FE0CC9" w:rsidP="00FE0CC9">
      <w:pPr>
        <w:widowControl w:val="0"/>
        <w:spacing w:line="360" w:lineRule="auto"/>
        <w:ind w:right="49"/>
        <w:jc w:val="both"/>
        <w:rPr>
          <w:rFonts w:ascii="Arial" w:hAnsi="Arial" w:cs="Arial"/>
          <w:sz w:val="24"/>
          <w:szCs w:val="24"/>
          <w:lang w:eastAsia="es-ES"/>
        </w:rPr>
      </w:pPr>
      <w:r w:rsidRPr="00EE67C9">
        <w:rPr>
          <w:rFonts w:ascii="Arial" w:hAnsi="Arial" w:cs="Arial"/>
          <w:sz w:val="24"/>
          <w:szCs w:val="24"/>
          <w:lang w:eastAsia="es-ES"/>
        </w:rPr>
        <w:t xml:space="preserve">              Sirve de sustento, la Jurisprudencia del PRIMER TRIBUNAL COLEGIADO EN MATERIAS ADMINISTRATIVA Y DE TRABAJO DEL DÉCIMO SEXTO CIRCUITO. Semanario Judicial de la Federación y su Gaceta, Novena Época, Tomos XXIII, enero de 2006 y VIII, septiembre de 2008, páginas 1529 y 7, bajo el rubro:</w:t>
      </w:r>
    </w:p>
    <w:p w14:paraId="11117820" w14:textId="77777777" w:rsidR="00FE0CC9" w:rsidRPr="00EE67C9" w:rsidRDefault="00FE0CC9" w:rsidP="00FE0CC9">
      <w:pPr>
        <w:widowControl w:val="0"/>
        <w:spacing w:line="360" w:lineRule="auto"/>
        <w:ind w:right="49"/>
        <w:jc w:val="both"/>
        <w:rPr>
          <w:rFonts w:ascii="Arial" w:hAnsi="Arial" w:cs="Arial"/>
          <w:sz w:val="24"/>
          <w:szCs w:val="24"/>
          <w:lang w:eastAsia="es-ES"/>
        </w:rPr>
      </w:pPr>
    </w:p>
    <w:p w14:paraId="663A2470" w14:textId="03D7CC45" w:rsidR="00FE0CC9" w:rsidRPr="00EE67C9" w:rsidRDefault="00FE0CC9" w:rsidP="00FE0CC9">
      <w:pPr>
        <w:widowControl w:val="0"/>
        <w:spacing w:line="360" w:lineRule="auto"/>
        <w:ind w:left="1701" w:right="1469"/>
        <w:jc w:val="both"/>
        <w:rPr>
          <w:rFonts w:ascii="Arial" w:hAnsi="Arial" w:cs="Arial"/>
          <w:bCs/>
          <w:sz w:val="22"/>
          <w:szCs w:val="22"/>
        </w:rPr>
      </w:pPr>
      <w:r w:rsidRPr="00EE67C9">
        <w:rPr>
          <w:rFonts w:ascii="Arial" w:hAnsi="Arial" w:cs="Arial"/>
          <w:b/>
          <w:sz w:val="22"/>
          <w:szCs w:val="22"/>
          <w:lang w:eastAsia="es-ES"/>
        </w:rPr>
        <w:t>MULTAS DERIVADAS DE LA VERIFICACIÓN DEL CUMPLIMIENTO DE OBLIGACIONES FISCALES DE LOS CONTRIBUYENTES. SU NULIDAD POR VICIOS FORMALES DEBE SER LISA Y LLANA, AL HABERSE ORIGINADO CON MOTIVO DEL EJERCICIO DE FACULTAD</w:t>
      </w:r>
      <w:r w:rsidR="00883EA3" w:rsidRPr="00EE67C9">
        <w:rPr>
          <w:rFonts w:ascii="Arial" w:hAnsi="Arial" w:cs="Arial"/>
          <w:b/>
          <w:sz w:val="22"/>
          <w:szCs w:val="22"/>
          <w:lang w:eastAsia="es-ES"/>
        </w:rPr>
        <w:t>ES DISCRECIONALES.</w:t>
      </w:r>
      <w:r w:rsidRPr="00EE67C9">
        <w:rPr>
          <w:rFonts w:ascii="Arial" w:hAnsi="Arial" w:cs="Arial"/>
          <w:b/>
          <w:sz w:val="22"/>
          <w:szCs w:val="22"/>
          <w:lang w:eastAsia="es-ES"/>
        </w:rPr>
        <w:t xml:space="preserve"> </w:t>
      </w:r>
    </w:p>
    <w:p w14:paraId="5F94BB18" w14:textId="77777777" w:rsidR="00FE0CC9" w:rsidRPr="00EE67C9" w:rsidRDefault="00FE0CC9" w:rsidP="00FE0CC9">
      <w:pPr>
        <w:spacing w:line="360" w:lineRule="auto"/>
        <w:ind w:right="51"/>
        <w:jc w:val="both"/>
        <w:rPr>
          <w:rFonts w:ascii="Arial" w:hAnsi="Arial" w:cs="Arial"/>
          <w:b/>
          <w:sz w:val="24"/>
          <w:szCs w:val="24"/>
        </w:rPr>
      </w:pPr>
    </w:p>
    <w:p w14:paraId="67DA82D3" w14:textId="1F59E80F" w:rsidR="00FE0CC9" w:rsidRPr="00EE67C9" w:rsidRDefault="00FE0CC9" w:rsidP="00FE0CC9">
      <w:pPr>
        <w:spacing w:line="360" w:lineRule="auto"/>
        <w:ind w:right="51" w:firstLine="708"/>
        <w:jc w:val="both"/>
        <w:rPr>
          <w:rFonts w:ascii="Arial" w:hAnsi="Arial" w:cs="Arial"/>
          <w:sz w:val="24"/>
          <w:szCs w:val="24"/>
        </w:rPr>
      </w:pPr>
      <w:r w:rsidRPr="00EE67C9">
        <w:rPr>
          <w:rFonts w:ascii="Arial" w:hAnsi="Arial" w:cs="Arial"/>
          <w:b/>
          <w:sz w:val="24"/>
          <w:szCs w:val="24"/>
        </w:rPr>
        <w:t>QUINTO.-</w:t>
      </w:r>
      <w:r w:rsidRPr="00EE67C9">
        <w:rPr>
          <w:rFonts w:ascii="Arial" w:hAnsi="Arial" w:cs="Arial"/>
          <w:sz w:val="24"/>
          <w:szCs w:val="24"/>
        </w:rPr>
        <w:t xml:space="preserve"> Como la parte actora en el presente juicio, no se opuso a la publicación de sus datos personales, aun cuando no haya ejercido ese derecho y al encontrarse obligado este juzgador a proteger dicha información 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se ordena la publicación de la sentencia, con  la supresión de datos personales identificables, procurándose que no se impida conocer el criterio sostenido por este órgano jurisdiccional.- - - - - - - - </w:t>
      </w:r>
    </w:p>
    <w:p w14:paraId="44D9C333" w14:textId="77777777" w:rsidR="00FE0CC9" w:rsidRPr="00EE67C9" w:rsidRDefault="00FE0CC9" w:rsidP="00FE0CC9">
      <w:pPr>
        <w:spacing w:line="360" w:lineRule="auto"/>
        <w:ind w:right="-516"/>
        <w:jc w:val="both"/>
        <w:rPr>
          <w:rFonts w:ascii="Arial" w:hAnsi="Arial" w:cs="Arial"/>
          <w:i/>
          <w:sz w:val="24"/>
          <w:szCs w:val="24"/>
          <w:lang w:eastAsia="es-ES"/>
        </w:rPr>
      </w:pPr>
    </w:p>
    <w:p w14:paraId="7122609A" w14:textId="57285C44" w:rsidR="00FE0CC9" w:rsidRPr="00EE67C9" w:rsidRDefault="00FE0CC9" w:rsidP="00FE0CC9">
      <w:pPr>
        <w:spacing w:line="360" w:lineRule="auto"/>
        <w:ind w:right="51"/>
        <w:jc w:val="both"/>
        <w:rPr>
          <w:rFonts w:ascii="Arial" w:hAnsi="Arial" w:cs="Arial"/>
          <w:sz w:val="24"/>
          <w:szCs w:val="24"/>
        </w:rPr>
      </w:pPr>
      <w:r w:rsidRPr="00EE67C9">
        <w:rPr>
          <w:rFonts w:ascii="Arial" w:hAnsi="Arial" w:cs="Arial"/>
          <w:sz w:val="24"/>
          <w:szCs w:val="24"/>
        </w:rPr>
        <w:t xml:space="preserve">              Por lo expuesto, fundado y motivado, en términos de los artículos 207, fracciones I, II y III, 208 fracción II, VI, de la Ley de Procedimiento y Justicia Administrativa para el Estado de Oaxaca, se; - - - - - - - - - - - - - - - - -  - - - - - - - - - </w:t>
      </w:r>
    </w:p>
    <w:p w14:paraId="4EE0F56C" w14:textId="77777777" w:rsidR="00FE0CC9" w:rsidRPr="00EE67C9" w:rsidRDefault="00FE0CC9" w:rsidP="00FE0CC9">
      <w:pPr>
        <w:spacing w:line="360" w:lineRule="auto"/>
        <w:jc w:val="center"/>
        <w:rPr>
          <w:rFonts w:ascii="Arial" w:hAnsi="Arial" w:cs="Arial"/>
          <w:b/>
          <w:sz w:val="24"/>
          <w:szCs w:val="24"/>
        </w:rPr>
      </w:pPr>
    </w:p>
    <w:p w14:paraId="27340548" w14:textId="77777777" w:rsidR="00FE0CC9" w:rsidRPr="00EE67C9" w:rsidRDefault="00FE0CC9" w:rsidP="00FE0CC9">
      <w:pPr>
        <w:spacing w:line="360" w:lineRule="auto"/>
        <w:jc w:val="center"/>
        <w:rPr>
          <w:rFonts w:ascii="Arial" w:hAnsi="Arial" w:cs="Arial"/>
          <w:b/>
          <w:sz w:val="24"/>
          <w:szCs w:val="24"/>
        </w:rPr>
      </w:pPr>
      <w:r w:rsidRPr="00EE67C9">
        <w:rPr>
          <w:rFonts w:ascii="Arial" w:hAnsi="Arial" w:cs="Arial"/>
          <w:b/>
          <w:sz w:val="24"/>
          <w:szCs w:val="24"/>
        </w:rPr>
        <w:t>R E S U E L V E:</w:t>
      </w:r>
    </w:p>
    <w:p w14:paraId="11BB54DB" w14:textId="77777777" w:rsidR="00FE0CC9" w:rsidRPr="00EE67C9" w:rsidRDefault="00FE0CC9" w:rsidP="00FE0CC9">
      <w:pPr>
        <w:spacing w:line="360" w:lineRule="auto"/>
        <w:jc w:val="center"/>
        <w:rPr>
          <w:rFonts w:ascii="Arial" w:hAnsi="Arial" w:cs="Arial"/>
          <w:b/>
          <w:sz w:val="24"/>
          <w:szCs w:val="24"/>
        </w:rPr>
      </w:pPr>
    </w:p>
    <w:p w14:paraId="5AB303CA" w14:textId="09982465" w:rsidR="00FE0CC9" w:rsidRPr="00EE67C9" w:rsidRDefault="00FE0CC9" w:rsidP="00FE0CC9">
      <w:pPr>
        <w:spacing w:line="360" w:lineRule="auto"/>
        <w:ind w:firstLine="708"/>
        <w:jc w:val="both"/>
        <w:rPr>
          <w:rFonts w:ascii="Arial" w:hAnsi="Arial" w:cs="Arial"/>
          <w:sz w:val="24"/>
          <w:szCs w:val="24"/>
        </w:rPr>
      </w:pPr>
      <w:r w:rsidRPr="00EE67C9">
        <w:rPr>
          <w:rFonts w:ascii="Arial" w:hAnsi="Arial" w:cs="Arial"/>
          <w:b/>
          <w:sz w:val="24"/>
          <w:szCs w:val="24"/>
        </w:rPr>
        <w:t xml:space="preserve">  PRIMERO</w:t>
      </w:r>
      <w:r w:rsidRPr="00EE67C9">
        <w:rPr>
          <w:rFonts w:ascii="Arial" w:hAnsi="Arial" w:cs="Arial"/>
          <w:sz w:val="24"/>
          <w:szCs w:val="24"/>
        </w:rPr>
        <w:t>.- Esta Quinta Sala Unitaria del Tribunal de Justicia Administrativa del Estado de Oaxaca, es competente para conocer y resolver el presente juicio. - -</w:t>
      </w:r>
      <w:r w:rsidR="00883EA3" w:rsidRPr="00EE67C9">
        <w:rPr>
          <w:rFonts w:ascii="Arial" w:hAnsi="Arial" w:cs="Arial"/>
          <w:sz w:val="24"/>
          <w:szCs w:val="24"/>
        </w:rPr>
        <w:t xml:space="preserve"> </w:t>
      </w:r>
      <w:r w:rsidR="00EE67C9" w:rsidRPr="00EE67C9">
        <w:rPr>
          <w:rFonts w:ascii="Arial" w:hAnsi="Arial" w:cs="Arial"/>
          <w:sz w:val="24"/>
          <w:szCs w:val="24"/>
          <w:lang w:val="es-ES_tradnl" w:eastAsia="es-ES"/>
        </w:rPr>
        <w:t xml:space="preserve">- - - - - - - - - - - </w:t>
      </w:r>
      <w:r w:rsidR="00EE67C9">
        <w:rPr>
          <w:rFonts w:ascii="Arial" w:hAnsi="Arial" w:cs="Arial"/>
          <w:sz w:val="24"/>
          <w:szCs w:val="24"/>
          <w:lang w:val="es-ES_tradnl" w:eastAsia="es-ES"/>
        </w:rPr>
        <w:t>- - - - - - - - - - - - - - - - - - - - - - - - - -</w:t>
      </w:r>
      <w:r w:rsidR="00EE67C9">
        <w:rPr>
          <w:rFonts w:ascii="Arial" w:hAnsi="Arial" w:cs="Arial"/>
          <w:sz w:val="24"/>
          <w:szCs w:val="24"/>
          <w:lang w:val="es-ES_tradnl" w:eastAsia="es-ES"/>
        </w:rPr>
        <w:t xml:space="preserve"> </w:t>
      </w:r>
      <w:r w:rsidR="00EE67C9" w:rsidRPr="00EE67C9">
        <w:rPr>
          <w:rFonts w:ascii="Arial" w:hAnsi="Arial" w:cs="Arial"/>
          <w:sz w:val="24"/>
          <w:szCs w:val="24"/>
          <w:lang w:val="es-ES_tradnl" w:eastAsia="es-ES"/>
        </w:rPr>
        <w:t xml:space="preserve">- - - - - - - - - - </w:t>
      </w:r>
    </w:p>
    <w:p w14:paraId="20A538FF" w14:textId="77777777" w:rsidR="00FE0CC9" w:rsidRPr="00EE67C9" w:rsidRDefault="00FE0CC9" w:rsidP="00FE0CC9">
      <w:pPr>
        <w:spacing w:line="360" w:lineRule="auto"/>
        <w:ind w:firstLine="708"/>
        <w:jc w:val="both"/>
        <w:rPr>
          <w:rFonts w:ascii="Arial" w:hAnsi="Arial" w:cs="Arial"/>
          <w:b/>
          <w:sz w:val="24"/>
          <w:szCs w:val="24"/>
        </w:rPr>
      </w:pPr>
    </w:p>
    <w:p w14:paraId="7D885597" w14:textId="2CE3E357" w:rsidR="00FE0CC9" w:rsidRPr="00EE67C9" w:rsidRDefault="00FE0CC9" w:rsidP="00FE0CC9">
      <w:pPr>
        <w:spacing w:line="360" w:lineRule="auto"/>
        <w:ind w:firstLine="708"/>
        <w:jc w:val="both"/>
        <w:rPr>
          <w:rFonts w:ascii="Arial" w:hAnsi="Arial" w:cs="Arial"/>
          <w:sz w:val="24"/>
          <w:szCs w:val="24"/>
        </w:rPr>
      </w:pPr>
      <w:r w:rsidRPr="00EE67C9">
        <w:rPr>
          <w:rFonts w:ascii="Arial" w:hAnsi="Arial" w:cs="Arial"/>
          <w:b/>
          <w:sz w:val="24"/>
          <w:szCs w:val="24"/>
        </w:rPr>
        <w:t xml:space="preserve"> SEGUNDO</w:t>
      </w:r>
      <w:r w:rsidRPr="00EE67C9">
        <w:rPr>
          <w:rFonts w:ascii="Arial" w:hAnsi="Arial" w:cs="Arial"/>
          <w:sz w:val="24"/>
          <w:szCs w:val="24"/>
        </w:rPr>
        <w:t xml:space="preserve">.- La personalidad de las partes quedó asentada en autos. - - - - </w:t>
      </w:r>
    </w:p>
    <w:p w14:paraId="72488294" w14:textId="77777777" w:rsidR="00FE0CC9" w:rsidRPr="00EE67C9" w:rsidRDefault="00FE0CC9" w:rsidP="00FE0CC9">
      <w:pPr>
        <w:spacing w:line="360" w:lineRule="auto"/>
        <w:ind w:firstLine="708"/>
        <w:jc w:val="both"/>
        <w:rPr>
          <w:rFonts w:ascii="Arial" w:hAnsi="Arial" w:cs="Arial"/>
          <w:b/>
          <w:sz w:val="24"/>
          <w:szCs w:val="24"/>
        </w:rPr>
      </w:pPr>
    </w:p>
    <w:p w14:paraId="62C66A5D" w14:textId="7E933EC1" w:rsidR="00FE0CC9" w:rsidRPr="00EE67C9" w:rsidRDefault="00FE0CC9" w:rsidP="00FE0CC9">
      <w:pPr>
        <w:spacing w:line="360" w:lineRule="auto"/>
        <w:ind w:firstLine="708"/>
        <w:jc w:val="both"/>
        <w:rPr>
          <w:rFonts w:ascii="Arial" w:hAnsi="Arial" w:cs="Arial"/>
          <w:sz w:val="24"/>
          <w:szCs w:val="24"/>
          <w:lang w:val="es-MX"/>
        </w:rPr>
      </w:pPr>
      <w:r w:rsidRPr="00EE67C9">
        <w:rPr>
          <w:rFonts w:ascii="Arial" w:hAnsi="Arial" w:cs="Arial"/>
          <w:b/>
          <w:sz w:val="24"/>
          <w:szCs w:val="24"/>
        </w:rPr>
        <w:t>TERCERO.</w:t>
      </w:r>
      <w:r w:rsidRPr="00EE67C9">
        <w:rPr>
          <w:rFonts w:ascii="Arial" w:hAnsi="Arial" w:cs="Arial"/>
          <w:sz w:val="24"/>
          <w:szCs w:val="24"/>
        </w:rPr>
        <w:t xml:space="preserve">-En atención al razonamiento expuesto en al considerando </w:t>
      </w:r>
      <w:r w:rsidRPr="00EE67C9">
        <w:rPr>
          <w:rFonts w:ascii="Arial" w:hAnsi="Arial" w:cs="Arial"/>
          <w:b/>
          <w:sz w:val="24"/>
          <w:szCs w:val="24"/>
        </w:rPr>
        <w:t>TERCERO</w:t>
      </w:r>
      <w:r w:rsidR="00883EA3" w:rsidRPr="00EE67C9">
        <w:rPr>
          <w:rFonts w:ascii="Arial" w:hAnsi="Arial" w:cs="Arial"/>
          <w:sz w:val="24"/>
          <w:szCs w:val="24"/>
        </w:rPr>
        <w:t xml:space="preserve"> de esta sentencia,</w:t>
      </w:r>
      <w:r w:rsidRPr="00EE67C9">
        <w:rPr>
          <w:rFonts w:ascii="Arial" w:hAnsi="Arial" w:cs="Arial"/>
          <w:sz w:val="24"/>
          <w:szCs w:val="24"/>
        </w:rPr>
        <w:t xml:space="preserve"> </w:t>
      </w:r>
      <w:r w:rsidRPr="00EE67C9">
        <w:rPr>
          <w:rFonts w:ascii="Arial" w:hAnsi="Arial" w:cs="Arial"/>
          <w:b/>
          <w:sz w:val="24"/>
          <w:szCs w:val="24"/>
        </w:rPr>
        <w:t xml:space="preserve">NO SE SOBRESEE </w:t>
      </w:r>
      <w:r w:rsidRPr="00EE67C9">
        <w:rPr>
          <w:rFonts w:ascii="Arial" w:hAnsi="Arial" w:cs="Arial"/>
          <w:sz w:val="24"/>
          <w:szCs w:val="24"/>
        </w:rPr>
        <w:t>el presente juicio. - - - - - - - - -</w:t>
      </w:r>
    </w:p>
    <w:p w14:paraId="70EB62B3" w14:textId="77777777" w:rsidR="00FE0CC9" w:rsidRPr="00EE67C9" w:rsidRDefault="00FE0CC9" w:rsidP="00FE0CC9">
      <w:pPr>
        <w:spacing w:line="360" w:lineRule="auto"/>
        <w:ind w:firstLine="708"/>
        <w:jc w:val="both"/>
        <w:rPr>
          <w:rFonts w:ascii="Arial" w:hAnsi="Arial" w:cs="Arial"/>
          <w:b/>
          <w:sz w:val="24"/>
          <w:szCs w:val="24"/>
          <w:lang w:val="es-MX"/>
        </w:rPr>
      </w:pPr>
    </w:p>
    <w:p w14:paraId="113662F8" w14:textId="4AD45E20" w:rsidR="00FE0CC9" w:rsidRPr="00EE67C9" w:rsidRDefault="00FE0CC9" w:rsidP="00FE0CC9">
      <w:pPr>
        <w:widowControl w:val="0"/>
        <w:spacing w:line="360" w:lineRule="auto"/>
        <w:ind w:firstLine="708"/>
        <w:jc w:val="both"/>
        <w:rPr>
          <w:rFonts w:ascii="Arial" w:hAnsi="Arial" w:cs="Arial"/>
          <w:sz w:val="24"/>
          <w:szCs w:val="24"/>
        </w:rPr>
      </w:pPr>
      <w:r w:rsidRPr="00EE67C9">
        <w:rPr>
          <w:rFonts w:ascii="Arial" w:hAnsi="Arial" w:cs="Arial"/>
          <w:b/>
          <w:bCs/>
          <w:sz w:val="24"/>
          <w:szCs w:val="24"/>
          <w:lang w:val="es-MX"/>
        </w:rPr>
        <w:t xml:space="preserve"> CUARTO</w:t>
      </w:r>
      <w:r w:rsidRPr="00EE67C9">
        <w:rPr>
          <w:rFonts w:ascii="Arial" w:hAnsi="Arial" w:cs="Arial"/>
          <w:bCs/>
          <w:sz w:val="24"/>
          <w:szCs w:val="24"/>
          <w:lang w:val="es-MX"/>
        </w:rPr>
        <w:t xml:space="preserve">.- </w:t>
      </w:r>
      <w:r w:rsidRPr="00EE67C9">
        <w:rPr>
          <w:rFonts w:ascii="Arial" w:hAnsi="Arial" w:cs="Arial"/>
          <w:sz w:val="24"/>
          <w:szCs w:val="24"/>
          <w:lang w:eastAsia="es-ES"/>
        </w:rPr>
        <w:t xml:space="preserve">Se </w:t>
      </w:r>
      <w:r w:rsidRPr="00EE67C9">
        <w:rPr>
          <w:rFonts w:ascii="Arial" w:hAnsi="Arial" w:cs="Arial"/>
          <w:b/>
          <w:sz w:val="24"/>
          <w:szCs w:val="24"/>
          <w:lang w:eastAsia="es-ES"/>
        </w:rPr>
        <w:t>DECLARA LA NULIDAD LISA Y LLANA</w:t>
      </w:r>
      <w:r w:rsidRPr="00EE67C9">
        <w:rPr>
          <w:rFonts w:ascii="Arial" w:hAnsi="Arial" w:cs="Arial"/>
          <w:sz w:val="24"/>
          <w:szCs w:val="24"/>
          <w:lang w:eastAsia="es-ES"/>
        </w:rPr>
        <w:t xml:space="preserve"> de la multa emitida por la no presentación de las Declaraciones Bimestrales del </w:t>
      </w:r>
      <w:r w:rsidRPr="00EE67C9">
        <w:rPr>
          <w:rFonts w:ascii="Arial" w:hAnsi="Arial" w:cs="Arial"/>
          <w:sz w:val="24"/>
          <w:szCs w:val="24"/>
          <w:lang w:val="es-ES_tradnl" w:eastAsia="es-ES"/>
        </w:rPr>
        <w:t xml:space="preserve">Impuesto Sobre Erogaciones por Remuneraciones al Trabajo Personal, </w:t>
      </w:r>
      <w:r w:rsidRPr="00EE67C9">
        <w:rPr>
          <w:rFonts w:ascii="Arial" w:hAnsi="Arial" w:cs="Arial"/>
          <w:sz w:val="24"/>
          <w:szCs w:val="24"/>
          <w:lang w:eastAsia="es-ES"/>
        </w:rPr>
        <w:t xml:space="preserve">contenida en el oficio </w:t>
      </w:r>
      <w:r w:rsidRPr="00EE67C9">
        <w:rPr>
          <w:rFonts w:ascii="Arial" w:hAnsi="Arial" w:cs="Arial"/>
          <w:sz w:val="24"/>
          <w:szCs w:val="24"/>
        </w:rPr>
        <w:t xml:space="preserve">con número de control </w:t>
      </w:r>
      <w:r w:rsidR="0007616F" w:rsidRPr="00EE67C9">
        <w:rPr>
          <w:rFonts w:ascii="Arial" w:hAnsi="Arial" w:cs="Arial"/>
          <w:sz w:val="24"/>
          <w:szCs w:val="24"/>
        </w:rPr>
        <w:t>**********</w:t>
      </w:r>
      <w:r w:rsidRPr="00EE67C9">
        <w:rPr>
          <w:rFonts w:ascii="Arial" w:hAnsi="Arial" w:cs="Arial"/>
          <w:sz w:val="24"/>
          <w:szCs w:val="24"/>
        </w:rPr>
        <w:t xml:space="preserve">  de fecha veintisiete de julio de dos mil dieciocho (27/07/2018),</w:t>
      </w:r>
      <w:r w:rsidRPr="00EE67C9">
        <w:rPr>
          <w:rFonts w:cs="Arial"/>
          <w:sz w:val="24"/>
          <w:szCs w:val="24"/>
        </w:rPr>
        <w:t xml:space="preserve"> </w:t>
      </w:r>
      <w:r w:rsidRPr="00EE67C9">
        <w:rPr>
          <w:rFonts w:ascii="Arial" w:hAnsi="Arial" w:cs="Arial"/>
          <w:sz w:val="24"/>
          <w:szCs w:val="24"/>
        </w:rPr>
        <w:t xml:space="preserve">signada por </w:t>
      </w:r>
      <w:r w:rsidR="0007616F" w:rsidRPr="00EE67C9">
        <w:rPr>
          <w:rFonts w:ascii="Arial" w:hAnsi="Arial" w:cs="Arial"/>
          <w:sz w:val="24"/>
          <w:szCs w:val="24"/>
        </w:rPr>
        <w:t>**********</w:t>
      </w:r>
      <w:r w:rsidRPr="00EE67C9">
        <w:rPr>
          <w:rFonts w:ascii="Arial" w:hAnsi="Arial" w:cs="Arial"/>
          <w:sz w:val="24"/>
          <w:szCs w:val="24"/>
        </w:rPr>
        <w:t xml:space="preserve">, </w:t>
      </w:r>
      <w:r w:rsidRPr="00EE67C9">
        <w:rPr>
          <w:rFonts w:ascii="Arial" w:hAnsi="Arial" w:cs="Arial"/>
          <w:sz w:val="24"/>
          <w:szCs w:val="24"/>
          <w:lang w:eastAsia="es-ES"/>
        </w:rPr>
        <w:t xml:space="preserve">por las razones ya expuestas en el considerando </w:t>
      </w:r>
      <w:r w:rsidRPr="00EE67C9">
        <w:rPr>
          <w:rFonts w:ascii="Arial" w:hAnsi="Arial" w:cs="Arial"/>
          <w:b/>
          <w:sz w:val="24"/>
          <w:szCs w:val="24"/>
          <w:lang w:eastAsia="es-ES"/>
        </w:rPr>
        <w:t xml:space="preserve">CUARTO </w:t>
      </w:r>
      <w:r w:rsidRPr="00EE67C9">
        <w:rPr>
          <w:rFonts w:ascii="Arial" w:hAnsi="Arial" w:cs="Arial"/>
          <w:sz w:val="24"/>
          <w:szCs w:val="24"/>
          <w:lang w:eastAsia="es-ES"/>
        </w:rPr>
        <w:t>de esta sentencia. - - - - - - - - -</w:t>
      </w:r>
      <w:r w:rsidR="00883EA3" w:rsidRPr="00EE67C9">
        <w:rPr>
          <w:rFonts w:ascii="Arial" w:hAnsi="Arial" w:cs="Arial"/>
          <w:sz w:val="24"/>
          <w:szCs w:val="24"/>
          <w:lang w:eastAsia="es-ES"/>
        </w:rPr>
        <w:t xml:space="preserve"> </w:t>
      </w:r>
      <w:r w:rsidR="00EE67C9" w:rsidRPr="00EE67C9">
        <w:rPr>
          <w:rFonts w:ascii="Arial" w:hAnsi="Arial" w:cs="Arial"/>
          <w:sz w:val="24"/>
          <w:szCs w:val="24"/>
          <w:lang w:val="es-ES_tradnl" w:eastAsia="es-ES"/>
        </w:rPr>
        <w:t xml:space="preserve">- - - - - - - - - - - </w:t>
      </w:r>
      <w:r w:rsidR="00EE67C9">
        <w:rPr>
          <w:rFonts w:ascii="Arial" w:hAnsi="Arial" w:cs="Arial"/>
          <w:sz w:val="24"/>
          <w:szCs w:val="24"/>
          <w:lang w:val="es-ES_tradnl" w:eastAsia="es-ES"/>
        </w:rPr>
        <w:t xml:space="preserve">- - - - - - - - - </w:t>
      </w:r>
    </w:p>
    <w:p w14:paraId="6E7F73F8" w14:textId="77777777" w:rsidR="00FE0CC9" w:rsidRPr="00EE67C9" w:rsidRDefault="00FE0CC9" w:rsidP="00FE0CC9">
      <w:pPr>
        <w:spacing w:line="360" w:lineRule="auto"/>
        <w:ind w:right="51"/>
        <w:jc w:val="both"/>
        <w:rPr>
          <w:rFonts w:ascii="Arial" w:hAnsi="Arial" w:cs="Arial"/>
          <w:b/>
          <w:sz w:val="24"/>
          <w:szCs w:val="24"/>
        </w:rPr>
      </w:pPr>
      <w:r w:rsidRPr="00EE67C9">
        <w:rPr>
          <w:rFonts w:ascii="Arial" w:hAnsi="Arial" w:cs="Arial"/>
          <w:b/>
          <w:sz w:val="24"/>
          <w:szCs w:val="24"/>
        </w:rPr>
        <w:t xml:space="preserve">       </w:t>
      </w:r>
    </w:p>
    <w:p w14:paraId="2A90F3EC" w14:textId="77777777" w:rsidR="00FE0CC9" w:rsidRPr="00EE67C9" w:rsidRDefault="00FE0CC9" w:rsidP="00FE0CC9">
      <w:pPr>
        <w:spacing w:line="360" w:lineRule="auto"/>
        <w:ind w:right="51" w:firstLine="567"/>
        <w:jc w:val="both"/>
        <w:rPr>
          <w:rFonts w:ascii="Arial" w:hAnsi="Arial" w:cs="Arial"/>
          <w:sz w:val="24"/>
          <w:szCs w:val="24"/>
        </w:rPr>
      </w:pPr>
      <w:r w:rsidRPr="00EE67C9">
        <w:rPr>
          <w:rFonts w:ascii="Arial" w:hAnsi="Arial" w:cs="Arial"/>
          <w:b/>
          <w:sz w:val="24"/>
          <w:szCs w:val="24"/>
        </w:rPr>
        <w:t>QUINTO</w:t>
      </w:r>
      <w:r w:rsidRPr="00EE67C9">
        <w:rPr>
          <w:rFonts w:ascii="Arial" w:hAnsi="Arial" w:cs="Arial"/>
          <w:sz w:val="24"/>
          <w:szCs w:val="24"/>
        </w:rPr>
        <w:t xml:space="preserve">.- </w:t>
      </w:r>
      <w:r w:rsidRPr="00EE67C9">
        <w:rPr>
          <w:rFonts w:ascii="Arial" w:hAnsi="Arial" w:cs="Arial"/>
          <w:sz w:val="24"/>
          <w:szCs w:val="24"/>
          <w:lang w:val="es-MX"/>
        </w:rPr>
        <w:t xml:space="preserve">Conforme a lo dispuesto en los artículos 172 y 173 </w:t>
      </w:r>
      <w:r w:rsidRPr="00EE67C9">
        <w:rPr>
          <w:rFonts w:ascii="Arial" w:hAnsi="Arial" w:cs="Arial"/>
          <w:sz w:val="24"/>
          <w:szCs w:val="24"/>
        </w:rPr>
        <w:t>de la Ley de Procedimiento y Justicia Administrativa para el Estado de Oaxaca</w:t>
      </w:r>
      <w:r w:rsidRPr="00EE67C9">
        <w:rPr>
          <w:rFonts w:ascii="Arial" w:hAnsi="Arial" w:cs="Arial"/>
          <w:b/>
          <w:sz w:val="24"/>
          <w:szCs w:val="24"/>
        </w:rPr>
        <w:t xml:space="preserve">, </w:t>
      </w:r>
      <w:r w:rsidRPr="00EE67C9">
        <w:rPr>
          <w:rFonts w:ascii="Arial" w:hAnsi="Arial" w:cs="Arial"/>
          <w:sz w:val="24"/>
          <w:szCs w:val="24"/>
        </w:rPr>
        <w:t>notifíquese</w:t>
      </w:r>
      <w:r w:rsidRPr="00EE67C9">
        <w:rPr>
          <w:rFonts w:ascii="Arial" w:hAnsi="Arial" w:cs="Arial"/>
          <w:b/>
          <w:sz w:val="24"/>
          <w:szCs w:val="24"/>
        </w:rPr>
        <w:t xml:space="preserve"> </w:t>
      </w:r>
      <w:r w:rsidRPr="00EE67C9">
        <w:rPr>
          <w:rFonts w:ascii="Arial" w:hAnsi="Arial" w:cs="Arial"/>
          <w:sz w:val="24"/>
          <w:szCs w:val="24"/>
        </w:rPr>
        <w:t xml:space="preserve">personalmente a la parte actora por oficio a la autoridad demandada y </w:t>
      </w:r>
      <w:r w:rsidRPr="00EE67C9">
        <w:rPr>
          <w:rFonts w:ascii="Arial" w:hAnsi="Arial" w:cs="Arial"/>
          <w:b/>
          <w:sz w:val="24"/>
          <w:szCs w:val="24"/>
        </w:rPr>
        <w:t>CÚMPLASE</w:t>
      </w:r>
      <w:r w:rsidRPr="00EE67C9">
        <w:rPr>
          <w:rFonts w:ascii="Arial" w:hAnsi="Arial" w:cs="Arial"/>
          <w:sz w:val="24"/>
          <w:szCs w:val="24"/>
        </w:rPr>
        <w:t>.</w:t>
      </w:r>
    </w:p>
    <w:p w14:paraId="15EA5DE8" w14:textId="77777777" w:rsidR="00FE0CC9" w:rsidRPr="00EE67C9" w:rsidRDefault="00FE0CC9" w:rsidP="00FE0CC9">
      <w:pPr>
        <w:spacing w:line="360" w:lineRule="auto"/>
        <w:ind w:right="51"/>
        <w:jc w:val="both"/>
        <w:rPr>
          <w:rFonts w:ascii="Arial" w:hAnsi="Arial" w:cs="Arial"/>
          <w:sz w:val="24"/>
          <w:szCs w:val="24"/>
        </w:rPr>
      </w:pPr>
    </w:p>
    <w:p w14:paraId="5B215775" w14:textId="77777777" w:rsidR="00FE0CC9" w:rsidRPr="00EE67C9" w:rsidRDefault="00FE0CC9" w:rsidP="00FE0CC9">
      <w:pPr>
        <w:spacing w:line="360" w:lineRule="auto"/>
        <w:ind w:right="49" w:firstLine="567"/>
        <w:jc w:val="both"/>
        <w:rPr>
          <w:rFonts w:ascii="Arial" w:hAnsi="Arial" w:cs="Arial"/>
          <w:sz w:val="24"/>
          <w:szCs w:val="24"/>
        </w:rPr>
      </w:pPr>
      <w:r w:rsidRPr="00EE67C9">
        <w:rPr>
          <w:rFonts w:ascii="Arial" w:hAnsi="Arial" w:cs="Arial"/>
          <w:sz w:val="24"/>
          <w:szCs w:val="24"/>
        </w:rPr>
        <w:t>Así lo resolvió y firma el Magistrado Licenciado Julián Hernández Carrillo, de la Quinta Sala Unitaria de Primera Instancia del Tribunal de Justicia Administrativa del Estado de Oaxaca, quien actúa con la Licenciada Marissa Ignacio Valencia, Secretaria de Acuerdos, que autoriza y da fe. - - - - - - - - - - - - - - - - - - - - - - - - - - -</w:t>
      </w:r>
    </w:p>
    <w:p w14:paraId="29251CF7" w14:textId="77777777" w:rsidR="00FE0CC9" w:rsidRPr="00EE67C9" w:rsidRDefault="00FE0CC9" w:rsidP="00FE0CC9">
      <w:pPr>
        <w:spacing w:line="360" w:lineRule="auto"/>
        <w:ind w:right="49" w:firstLine="567"/>
        <w:jc w:val="both"/>
        <w:rPr>
          <w:rFonts w:ascii="Arial" w:hAnsi="Arial" w:cs="Arial"/>
          <w:sz w:val="24"/>
          <w:szCs w:val="24"/>
        </w:rPr>
      </w:pPr>
    </w:p>
    <w:p w14:paraId="0FD4F411" w14:textId="77777777" w:rsidR="00FE0CC9" w:rsidRPr="00EE67C9" w:rsidRDefault="00FE0CC9" w:rsidP="00FE0CC9">
      <w:pPr>
        <w:spacing w:line="360" w:lineRule="auto"/>
        <w:ind w:right="49" w:firstLine="567"/>
        <w:jc w:val="both"/>
        <w:rPr>
          <w:rFonts w:ascii="Arial" w:hAnsi="Arial" w:cs="Arial"/>
          <w:sz w:val="24"/>
          <w:szCs w:val="24"/>
        </w:rPr>
      </w:pPr>
    </w:p>
    <w:p w14:paraId="6F8060D8" w14:textId="3E209E2F" w:rsidR="00C51247" w:rsidRPr="00EE67C9" w:rsidRDefault="00C51247"/>
    <w:p w14:paraId="5473EB1F" w14:textId="77777777" w:rsidR="00C51247" w:rsidRPr="00EE67C9" w:rsidRDefault="00C51247" w:rsidP="00C51247"/>
    <w:p w14:paraId="45B94FB9" w14:textId="77777777" w:rsidR="00C51247" w:rsidRPr="00EE67C9" w:rsidRDefault="00C51247" w:rsidP="00C51247"/>
    <w:p w14:paraId="7F13B925" w14:textId="77777777" w:rsidR="00C51247" w:rsidRPr="00EE67C9" w:rsidRDefault="00C51247" w:rsidP="00C51247"/>
    <w:p w14:paraId="1055B784" w14:textId="30EEF6F2" w:rsidR="00C51247" w:rsidRPr="00EE67C9" w:rsidRDefault="00C51247" w:rsidP="00C51247">
      <w:pPr>
        <w:tabs>
          <w:tab w:val="left" w:pos="6515"/>
        </w:tabs>
      </w:pPr>
      <w:r w:rsidRPr="00EE67C9">
        <w:tab/>
      </w:r>
    </w:p>
    <w:p w14:paraId="6EF23058" w14:textId="77777777" w:rsidR="00C51247" w:rsidRPr="00EE67C9" w:rsidRDefault="00C51247" w:rsidP="00C51247"/>
    <w:p w14:paraId="0C691689" w14:textId="77777777" w:rsidR="00C51247" w:rsidRPr="00EE67C9" w:rsidRDefault="00C51247" w:rsidP="00C51247"/>
    <w:p w14:paraId="242F061A" w14:textId="77777777" w:rsidR="00C51247" w:rsidRPr="00EE67C9" w:rsidRDefault="00C51247" w:rsidP="00C51247"/>
    <w:p w14:paraId="03ECDD35" w14:textId="77777777" w:rsidR="00C51247" w:rsidRPr="00EE67C9" w:rsidRDefault="00C51247" w:rsidP="00C51247"/>
    <w:p w14:paraId="04613B7B" w14:textId="3B09D994" w:rsidR="00F565B8" w:rsidRPr="00EE67C9" w:rsidRDefault="00F565B8" w:rsidP="00C51247"/>
    <w:sectPr w:rsidR="00F565B8" w:rsidRPr="00EE67C9" w:rsidSect="009C0005">
      <w:headerReference w:type="default" r:id="rId22"/>
      <w:pgSz w:w="12242" w:h="20163" w:code="5"/>
      <w:pgMar w:top="1417" w:right="1701" w:bottom="1417" w:left="1701"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835EE" w14:textId="77777777" w:rsidR="006B49D3" w:rsidRDefault="006B49D3" w:rsidP="008D24F2">
      <w:r>
        <w:separator/>
      </w:r>
    </w:p>
  </w:endnote>
  <w:endnote w:type="continuationSeparator" w:id="0">
    <w:p w14:paraId="51A2C122" w14:textId="77777777" w:rsidR="006B49D3" w:rsidRDefault="006B49D3" w:rsidP="008D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4B3BD" w14:textId="77777777" w:rsidR="006B49D3" w:rsidRDefault="006B49D3" w:rsidP="008D24F2">
      <w:r>
        <w:separator/>
      </w:r>
    </w:p>
  </w:footnote>
  <w:footnote w:type="continuationSeparator" w:id="0">
    <w:p w14:paraId="4352A44F" w14:textId="77777777" w:rsidR="006B49D3" w:rsidRDefault="006B49D3" w:rsidP="008D2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E22B1" w14:textId="621CA708" w:rsidR="00A65968" w:rsidRPr="00CC4788" w:rsidRDefault="009D63EB"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CC3D08">
      <w:rPr>
        <w:rFonts w:ascii="Arial" w:hAnsi="Arial" w:cs="Arial"/>
        <w:b/>
        <w:noProof/>
        <w:sz w:val="28"/>
        <w:lang w:val="en-US"/>
      </w:rPr>
      <w:t>12</w:t>
    </w:r>
    <w:r w:rsidRPr="00CC4788">
      <w:rPr>
        <w:rFonts w:ascii="Arial" w:hAnsi="Arial" w:cs="Arial"/>
        <w:sz w:val="28"/>
        <w:lang w:val="es-ES_tradnl"/>
      </w:rPr>
      <w:fldChar w:fldCharType="end"/>
    </w:r>
    <w:r>
      <w:rPr>
        <w:rFonts w:ascii="Arial" w:hAnsi="Arial" w:cs="Arial"/>
        <w:b/>
        <w:sz w:val="28"/>
        <w:lang w:val="en-US"/>
      </w:rPr>
      <w:t xml:space="preserve">           </w:t>
    </w:r>
    <w:r w:rsidR="00883EA3">
      <w:rPr>
        <w:rFonts w:ascii="Arial" w:hAnsi="Arial" w:cs="Arial"/>
        <w:b/>
        <w:sz w:val="28"/>
        <w:lang w:val="en-US"/>
      </w:rPr>
      <w:t xml:space="preserve">                      EXP.0078/2018</w:t>
    </w:r>
  </w:p>
  <w:p w14:paraId="0035B7BF" w14:textId="77777777" w:rsidR="00A65968" w:rsidRPr="00CC4788" w:rsidRDefault="006B49D3">
    <w:pPr>
      <w:rPr>
        <w:lang w:val="es-ES_trad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4F2"/>
    <w:rsid w:val="00071CEA"/>
    <w:rsid w:val="0007616F"/>
    <w:rsid w:val="000D3E9F"/>
    <w:rsid w:val="000D4151"/>
    <w:rsid w:val="00110EE8"/>
    <w:rsid w:val="00140A3E"/>
    <w:rsid w:val="001511EA"/>
    <w:rsid w:val="001611B3"/>
    <w:rsid w:val="00183713"/>
    <w:rsid w:val="00184510"/>
    <w:rsid w:val="001C7FDE"/>
    <w:rsid w:val="00204424"/>
    <w:rsid w:val="0022666B"/>
    <w:rsid w:val="00256E64"/>
    <w:rsid w:val="002C02D4"/>
    <w:rsid w:val="002D1552"/>
    <w:rsid w:val="002E4B53"/>
    <w:rsid w:val="002F4C53"/>
    <w:rsid w:val="002F53F3"/>
    <w:rsid w:val="00300163"/>
    <w:rsid w:val="0030056B"/>
    <w:rsid w:val="00306430"/>
    <w:rsid w:val="003522F9"/>
    <w:rsid w:val="003739E5"/>
    <w:rsid w:val="00422432"/>
    <w:rsid w:val="004930F7"/>
    <w:rsid w:val="004A1BC5"/>
    <w:rsid w:val="004B41AC"/>
    <w:rsid w:val="004E1683"/>
    <w:rsid w:val="004F3FEA"/>
    <w:rsid w:val="00501012"/>
    <w:rsid w:val="0055137E"/>
    <w:rsid w:val="00573280"/>
    <w:rsid w:val="00644C52"/>
    <w:rsid w:val="00651072"/>
    <w:rsid w:val="00672F79"/>
    <w:rsid w:val="00697360"/>
    <w:rsid w:val="006B49D3"/>
    <w:rsid w:val="006D5888"/>
    <w:rsid w:val="006E1715"/>
    <w:rsid w:val="00777664"/>
    <w:rsid w:val="00784B7B"/>
    <w:rsid w:val="007926C6"/>
    <w:rsid w:val="00802ECE"/>
    <w:rsid w:val="008132AB"/>
    <w:rsid w:val="00816656"/>
    <w:rsid w:val="008708A0"/>
    <w:rsid w:val="00871B3E"/>
    <w:rsid w:val="00883EA3"/>
    <w:rsid w:val="008959B8"/>
    <w:rsid w:val="008978E4"/>
    <w:rsid w:val="008A6201"/>
    <w:rsid w:val="008B26AA"/>
    <w:rsid w:val="008D24F2"/>
    <w:rsid w:val="008F748F"/>
    <w:rsid w:val="00952EE7"/>
    <w:rsid w:val="009A2920"/>
    <w:rsid w:val="009C0005"/>
    <w:rsid w:val="009D63EB"/>
    <w:rsid w:val="009D652B"/>
    <w:rsid w:val="00A257C8"/>
    <w:rsid w:val="00A52CA5"/>
    <w:rsid w:val="00A610C2"/>
    <w:rsid w:val="00A6187B"/>
    <w:rsid w:val="00A65414"/>
    <w:rsid w:val="00AC277D"/>
    <w:rsid w:val="00AC29B8"/>
    <w:rsid w:val="00AC35FB"/>
    <w:rsid w:val="00AD55AC"/>
    <w:rsid w:val="00AE1F33"/>
    <w:rsid w:val="00B6005A"/>
    <w:rsid w:val="00B65D1A"/>
    <w:rsid w:val="00C1342A"/>
    <w:rsid w:val="00C24E1D"/>
    <w:rsid w:val="00C51247"/>
    <w:rsid w:val="00CA6626"/>
    <w:rsid w:val="00CC3D08"/>
    <w:rsid w:val="00CF011C"/>
    <w:rsid w:val="00D11852"/>
    <w:rsid w:val="00D423A1"/>
    <w:rsid w:val="00D67C2A"/>
    <w:rsid w:val="00D67E25"/>
    <w:rsid w:val="00D7201F"/>
    <w:rsid w:val="00DE5D6F"/>
    <w:rsid w:val="00DF5B29"/>
    <w:rsid w:val="00E44465"/>
    <w:rsid w:val="00E57448"/>
    <w:rsid w:val="00E90BA4"/>
    <w:rsid w:val="00EE1F0D"/>
    <w:rsid w:val="00EE67C9"/>
    <w:rsid w:val="00F00A5D"/>
    <w:rsid w:val="00F3704A"/>
    <w:rsid w:val="00F4630D"/>
    <w:rsid w:val="00F4750C"/>
    <w:rsid w:val="00F565B8"/>
    <w:rsid w:val="00F86B42"/>
    <w:rsid w:val="00F874F6"/>
    <w:rsid w:val="00FA45C9"/>
    <w:rsid w:val="00FE0C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7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4F2"/>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8D24F2"/>
    <w:pPr>
      <w:autoSpaceDE w:val="0"/>
      <w:autoSpaceDN w:val="0"/>
    </w:pPr>
    <w:rPr>
      <w:lang w:eastAsia="es-ES"/>
    </w:rPr>
  </w:style>
  <w:style w:type="character" w:customStyle="1" w:styleId="TextonotapieCar">
    <w:name w:val="Texto nota pie Car"/>
    <w:basedOn w:val="Fuentedeprrafopredeter"/>
    <w:link w:val="Textonotapie"/>
    <w:uiPriority w:val="99"/>
    <w:rsid w:val="008D24F2"/>
    <w:rPr>
      <w:rFonts w:ascii="Times New Roman" w:eastAsia="Times New Roman" w:hAnsi="Times New Roman" w:cs="Times New Roman"/>
      <w:sz w:val="20"/>
      <w:szCs w:val="20"/>
      <w:lang w:val="es-ES" w:eastAsia="es-ES"/>
    </w:rPr>
  </w:style>
  <w:style w:type="paragraph" w:customStyle="1" w:styleId="corte4fondo">
    <w:name w:val="corte4 fondo"/>
    <w:basedOn w:val="Normal"/>
    <w:link w:val="corte4fondoCar"/>
    <w:rsid w:val="008D24F2"/>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8D24F2"/>
    <w:rPr>
      <w:rFonts w:ascii="Arial" w:eastAsia="Times New Roman" w:hAnsi="Arial" w:cs="Times New Roman"/>
      <w:sz w:val="30"/>
      <w:szCs w:val="20"/>
      <w:lang w:val="es-ES_tradnl" w:eastAsia="es-ES"/>
    </w:rPr>
  </w:style>
  <w:style w:type="paragraph" w:customStyle="1" w:styleId="Textoindependiente21">
    <w:name w:val="Texto independiente 21"/>
    <w:basedOn w:val="Normal"/>
    <w:rsid w:val="008D24F2"/>
    <w:pPr>
      <w:widowControl w:val="0"/>
      <w:spacing w:line="480" w:lineRule="auto"/>
      <w:ind w:right="51" w:firstLine="1134"/>
      <w:jc w:val="both"/>
    </w:pPr>
    <w:rPr>
      <w:rFonts w:ascii="Courier" w:hAnsi="Courier"/>
      <w:sz w:val="24"/>
      <w:lang w:eastAsia="es-ES"/>
    </w:rPr>
  </w:style>
  <w:style w:type="character" w:styleId="Refdecomentario">
    <w:name w:val="annotation reference"/>
    <w:uiPriority w:val="99"/>
    <w:semiHidden/>
    <w:unhideWhenUsed/>
    <w:rsid w:val="008D24F2"/>
    <w:rPr>
      <w:sz w:val="16"/>
      <w:szCs w:val="16"/>
    </w:rPr>
  </w:style>
  <w:style w:type="paragraph" w:styleId="Textocomentario">
    <w:name w:val="annotation text"/>
    <w:basedOn w:val="Normal"/>
    <w:link w:val="TextocomentarioCar"/>
    <w:uiPriority w:val="99"/>
    <w:semiHidden/>
    <w:unhideWhenUsed/>
    <w:rsid w:val="008D24F2"/>
  </w:style>
  <w:style w:type="character" w:customStyle="1" w:styleId="TextocomentarioCar">
    <w:name w:val="Texto comentario Car"/>
    <w:basedOn w:val="Fuentedeprrafopredeter"/>
    <w:link w:val="Textocomentario"/>
    <w:uiPriority w:val="99"/>
    <w:semiHidden/>
    <w:rsid w:val="008D24F2"/>
    <w:rPr>
      <w:rFonts w:ascii="Times New Roman" w:eastAsia="Times New Roman" w:hAnsi="Times New Roman" w:cs="Times New Roman"/>
      <w:sz w:val="20"/>
      <w:szCs w:val="20"/>
      <w:lang w:val="es-ES" w:eastAsia="es-MX"/>
    </w:rPr>
  </w:style>
  <w:style w:type="paragraph" w:styleId="Textodeglobo">
    <w:name w:val="Balloon Text"/>
    <w:basedOn w:val="Normal"/>
    <w:link w:val="TextodegloboCar"/>
    <w:uiPriority w:val="99"/>
    <w:semiHidden/>
    <w:unhideWhenUsed/>
    <w:rsid w:val="008D24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4F2"/>
    <w:rPr>
      <w:rFonts w:ascii="Segoe UI" w:eastAsia="Times New Roman" w:hAnsi="Segoe UI" w:cs="Segoe UI"/>
      <w:sz w:val="18"/>
      <w:szCs w:val="18"/>
      <w:lang w:val="es-ES" w:eastAsia="es-MX"/>
    </w:rPr>
  </w:style>
  <w:style w:type="paragraph" w:styleId="Encabezado">
    <w:name w:val="header"/>
    <w:basedOn w:val="Normal"/>
    <w:link w:val="EncabezadoCar"/>
    <w:uiPriority w:val="99"/>
    <w:unhideWhenUsed/>
    <w:rsid w:val="008D24F2"/>
    <w:pPr>
      <w:tabs>
        <w:tab w:val="center" w:pos="4419"/>
        <w:tab w:val="right" w:pos="8838"/>
      </w:tabs>
    </w:pPr>
  </w:style>
  <w:style w:type="character" w:customStyle="1" w:styleId="EncabezadoCar">
    <w:name w:val="Encabezado Car"/>
    <w:basedOn w:val="Fuentedeprrafopredeter"/>
    <w:link w:val="Encabezado"/>
    <w:uiPriority w:val="99"/>
    <w:rsid w:val="008D24F2"/>
    <w:rPr>
      <w:rFonts w:ascii="Times New Roman" w:eastAsia="Times New Roman" w:hAnsi="Times New Roman" w:cs="Times New Roman"/>
      <w:sz w:val="20"/>
      <w:szCs w:val="20"/>
      <w:lang w:val="es-ES" w:eastAsia="es-MX"/>
    </w:rPr>
  </w:style>
  <w:style w:type="paragraph" w:styleId="Piedepgina">
    <w:name w:val="footer"/>
    <w:basedOn w:val="Normal"/>
    <w:link w:val="PiedepginaCar"/>
    <w:uiPriority w:val="99"/>
    <w:unhideWhenUsed/>
    <w:rsid w:val="008D24F2"/>
    <w:pPr>
      <w:tabs>
        <w:tab w:val="center" w:pos="4419"/>
        <w:tab w:val="right" w:pos="8838"/>
      </w:tabs>
    </w:pPr>
  </w:style>
  <w:style w:type="character" w:customStyle="1" w:styleId="PiedepginaCar">
    <w:name w:val="Pie de página Car"/>
    <w:basedOn w:val="Fuentedeprrafopredeter"/>
    <w:link w:val="Piedepgina"/>
    <w:uiPriority w:val="99"/>
    <w:rsid w:val="008D24F2"/>
    <w:rPr>
      <w:rFonts w:ascii="Times New Roman" w:eastAsia="Times New Roman" w:hAnsi="Times New Roman" w:cs="Times New Roman"/>
      <w:sz w:val="20"/>
      <w:szCs w:val="20"/>
      <w:lang w:val="es-ES" w:eastAsia="es-MX"/>
    </w:rPr>
  </w:style>
  <w:style w:type="paragraph" w:customStyle="1" w:styleId="corte3centro">
    <w:name w:val="corte3 centro"/>
    <w:basedOn w:val="Normal"/>
    <w:link w:val="corte3centroCar"/>
    <w:rsid w:val="00F3704A"/>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F3704A"/>
    <w:rPr>
      <w:rFonts w:ascii="Arial" w:eastAsia="Times New Roman" w:hAnsi="Arial" w:cs="Times New Roman"/>
      <w:b/>
      <w:sz w:val="30"/>
      <w:szCs w:val="20"/>
      <w:lang w:val="es-ES_tradnl" w:eastAsia="es-ES"/>
    </w:rPr>
  </w:style>
  <w:style w:type="character" w:styleId="Nmerodepgina">
    <w:name w:val="page number"/>
    <w:basedOn w:val="Fuentedeprrafopredeter"/>
    <w:semiHidden/>
    <w:rsid w:val="00644C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4F2"/>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8D24F2"/>
    <w:pPr>
      <w:autoSpaceDE w:val="0"/>
      <w:autoSpaceDN w:val="0"/>
    </w:pPr>
    <w:rPr>
      <w:lang w:eastAsia="es-ES"/>
    </w:rPr>
  </w:style>
  <w:style w:type="character" w:customStyle="1" w:styleId="TextonotapieCar">
    <w:name w:val="Texto nota pie Car"/>
    <w:basedOn w:val="Fuentedeprrafopredeter"/>
    <w:link w:val="Textonotapie"/>
    <w:uiPriority w:val="99"/>
    <w:rsid w:val="008D24F2"/>
    <w:rPr>
      <w:rFonts w:ascii="Times New Roman" w:eastAsia="Times New Roman" w:hAnsi="Times New Roman" w:cs="Times New Roman"/>
      <w:sz w:val="20"/>
      <w:szCs w:val="20"/>
      <w:lang w:val="es-ES" w:eastAsia="es-ES"/>
    </w:rPr>
  </w:style>
  <w:style w:type="paragraph" w:customStyle="1" w:styleId="corte4fondo">
    <w:name w:val="corte4 fondo"/>
    <w:basedOn w:val="Normal"/>
    <w:link w:val="corte4fondoCar"/>
    <w:rsid w:val="008D24F2"/>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8D24F2"/>
    <w:rPr>
      <w:rFonts w:ascii="Arial" w:eastAsia="Times New Roman" w:hAnsi="Arial" w:cs="Times New Roman"/>
      <w:sz w:val="30"/>
      <w:szCs w:val="20"/>
      <w:lang w:val="es-ES_tradnl" w:eastAsia="es-ES"/>
    </w:rPr>
  </w:style>
  <w:style w:type="paragraph" w:customStyle="1" w:styleId="Textoindependiente21">
    <w:name w:val="Texto independiente 21"/>
    <w:basedOn w:val="Normal"/>
    <w:rsid w:val="008D24F2"/>
    <w:pPr>
      <w:widowControl w:val="0"/>
      <w:spacing w:line="480" w:lineRule="auto"/>
      <w:ind w:right="51" w:firstLine="1134"/>
      <w:jc w:val="both"/>
    </w:pPr>
    <w:rPr>
      <w:rFonts w:ascii="Courier" w:hAnsi="Courier"/>
      <w:sz w:val="24"/>
      <w:lang w:eastAsia="es-ES"/>
    </w:rPr>
  </w:style>
  <w:style w:type="character" w:styleId="Refdecomentario">
    <w:name w:val="annotation reference"/>
    <w:uiPriority w:val="99"/>
    <w:semiHidden/>
    <w:unhideWhenUsed/>
    <w:rsid w:val="008D24F2"/>
    <w:rPr>
      <w:sz w:val="16"/>
      <w:szCs w:val="16"/>
    </w:rPr>
  </w:style>
  <w:style w:type="paragraph" w:styleId="Textocomentario">
    <w:name w:val="annotation text"/>
    <w:basedOn w:val="Normal"/>
    <w:link w:val="TextocomentarioCar"/>
    <w:uiPriority w:val="99"/>
    <w:semiHidden/>
    <w:unhideWhenUsed/>
    <w:rsid w:val="008D24F2"/>
  </w:style>
  <w:style w:type="character" w:customStyle="1" w:styleId="TextocomentarioCar">
    <w:name w:val="Texto comentario Car"/>
    <w:basedOn w:val="Fuentedeprrafopredeter"/>
    <w:link w:val="Textocomentario"/>
    <w:uiPriority w:val="99"/>
    <w:semiHidden/>
    <w:rsid w:val="008D24F2"/>
    <w:rPr>
      <w:rFonts w:ascii="Times New Roman" w:eastAsia="Times New Roman" w:hAnsi="Times New Roman" w:cs="Times New Roman"/>
      <w:sz w:val="20"/>
      <w:szCs w:val="20"/>
      <w:lang w:val="es-ES" w:eastAsia="es-MX"/>
    </w:rPr>
  </w:style>
  <w:style w:type="paragraph" w:styleId="Textodeglobo">
    <w:name w:val="Balloon Text"/>
    <w:basedOn w:val="Normal"/>
    <w:link w:val="TextodegloboCar"/>
    <w:uiPriority w:val="99"/>
    <w:semiHidden/>
    <w:unhideWhenUsed/>
    <w:rsid w:val="008D24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4F2"/>
    <w:rPr>
      <w:rFonts w:ascii="Segoe UI" w:eastAsia="Times New Roman" w:hAnsi="Segoe UI" w:cs="Segoe UI"/>
      <w:sz w:val="18"/>
      <w:szCs w:val="18"/>
      <w:lang w:val="es-ES" w:eastAsia="es-MX"/>
    </w:rPr>
  </w:style>
  <w:style w:type="paragraph" w:styleId="Encabezado">
    <w:name w:val="header"/>
    <w:basedOn w:val="Normal"/>
    <w:link w:val="EncabezadoCar"/>
    <w:uiPriority w:val="99"/>
    <w:unhideWhenUsed/>
    <w:rsid w:val="008D24F2"/>
    <w:pPr>
      <w:tabs>
        <w:tab w:val="center" w:pos="4419"/>
        <w:tab w:val="right" w:pos="8838"/>
      </w:tabs>
    </w:pPr>
  </w:style>
  <w:style w:type="character" w:customStyle="1" w:styleId="EncabezadoCar">
    <w:name w:val="Encabezado Car"/>
    <w:basedOn w:val="Fuentedeprrafopredeter"/>
    <w:link w:val="Encabezado"/>
    <w:uiPriority w:val="99"/>
    <w:rsid w:val="008D24F2"/>
    <w:rPr>
      <w:rFonts w:ascii="Times New Roman" w:eastAsia="Times New Roman" w:hAnsi="Times New Roman" w:cs="Times New Roman"/>
      <w:sz w:val="20"/>
      <w:szCs w:val="20"/>
      <w:lang w:val="es-ES" w:eastAsia="es-MX"/>
    </w:rPr>
  </w:style>
  <w:style w:type="paragraph" w:styleId="Piedepgina">
    <w:name w:val="footer"/>
    <w:basedOn w:val="Normal"/>
    <w:link w:val="PiedepginaCar"/>
    <w:uiPriority w:val="99"/>
    <w:unhideWhenUsed/>
    <w:rsid w:val="008D24F2"/>
    <w:pPr>
      <w:tabs>
        <w:tab w:val="center" w:pos="4419"/>
        <w:tab w:val="right" w:pos="8838"/>
      </w:tabs>
    </w:pPr>
  </w:style>
  <w:style w:type="character" w:customStyle="1" w:styleId="PiedepginaCar">
    <w:name w:val="Pie de página Car"/>
    <w:basedOn w:val="Fuentedeprrafopredeter"/>
    <w:link w:val="Piedepgina"/>
    <w:uiPriority w:val="99"/>
    <w:rsid w:val="008D24F2"/>
    <w:rPr>
      <w:rFonts w:ascii="Times New Roman" w:eastAsia="Times New Roman" w:hAnsi="Times New Roman" w:cs="Times New Roman"/>
      <w:sz w:val="20"/>
      <w:szCs w:val="20"/>
      <w:lang w:val="es-ES" w:eastAsia="es-MX"/>
    </w:rPr>
  </w:style>
  <w:style w:type="paragraph" w:customStyle="1" w:styleId="corte3centro">
    <w:name w:val="corte3 centro"/>
    <w:basedOn w:val="Normal"/>
    <w:link w:val="corte3centroCar"/>
    <w:rsid w:val="00F3704A"/>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F3704A"/>
    <w:rPr>
      <w:rFonts w:ascii="Arial" w:eastAsia="Times New Roman" w:hAnsi="Arial" w:cs="Times New Roman"/>
      <w:b/>
      <w:sz w:val="30"/>
      <w:szCs w:val="20"/>
      <w:lang w:val="es-ES_tradnl" w:eastAsia="es-ES"/>
    </w:rPr>
  </w:style>
  <w:style w:type="character" w:styleId="Nmerodepgina">
    <w:name w:val="page number"/>
    <w:basedOn w:val="Fuentedeprrafopredeter"/>
    <w:semiHidden/>
    <w:rsid w:val="00644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6)" TargetMode="External"/><Relationship Id="rId13" Type="http://schemas.openxmlformats.org/officeDocument/2006/relationships/hyperlink" Target="javascript:AbrirModal(10)" TargetMode="External"/><Relationship Id="rId18" Type="http://schemas.openxmlformats.org/officeDocument/2006/relationships/hyperlink" Target="javascript:AbrirModal(16)" TargetMode="External"/><Relationship Id="rId3" Type="http://schemas.openxmlformats.org/officeDocument/2006/relationships/settings" Target="settings.xml"/><Relationship Id="rId21" Type="http://schemas.openxmlformats.org/officeDocument/2006/relationships/hyperlink" Target="javascript:AbrirModal(8)" TargetMode="External"/><Relationship Id="rId7" Type="http://schemas.openxmlformats.org/officeDocument/2006/relationships/hyperlink" Target="javascript:AbrirModal(10)" TargetMode="External"/><Relationship Id="rId12" Type="http://schemas.openxmlformats.org/officeDocument/2006/relationships/hyperlink" Target="javascript:AbrirModal(15)" TargetMode="External"/><Relationship Id="rId17" Type="http://schemas.openxmlformats.org/officeDocument/2006/relationships/hyperlink" Target="javascript:AbrirModal(10)" TargetMode="External"/><Relationship Id="rId2" Type="http://schemas.microsoft.com/office/2007/relationships/stylesWithEffects" Target="stylesWithEffects.xml"/><Relationship Id="rId16" Type="http://schemas.openxmlformats.org/officeDocument/2006/relationships/hyperlink" Target="javascript:AbrirModal(9)" TargetMode="External"/><Relationship Id="rId20" Type="http://schemas.openxmlformats.org/officeDocument/2006/relationships/hyperlink" Target="javascript:AbrirModal(1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AbrirModal(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avascript:AbrirModal(8)" TargetMode="External"/><Relationship Id="rId23" Type="http://schemas.openxmlformats.org/officeDocument/2006/relationships/fontTable" Target="fontTable.xml"/><Relationship Id="rId10" Type="http://schemas.openxmlformats.org/officeDocument/2006/relationships/hyperlink" Target="javascript:AbrirModal(10)" TargetMode="External"/><Relationship Id="rId19" Type="http://schemas.openxmlformats.org/officeDocument/2006/relationships/hyperlink" Target="javascript:AbrirModal(12)" TargetMode="External"/><Relationship Id="rId4" Type="http://schemas.openxmlformats.org/officeDocument/2006/relationships/webSettings" Target="webSettings.xml"/><Relationship Id="rId9" Type="http://schemas.openxmlformats.org/officeDocument/2006/relationships/hyperlink" Target="javascript:AbrirModal(12)" TargetMode="External"/><Relationship Id="rId14" Type="http://schemas.openxmlformats.org/officeDocument/2006/relationships/hyperlink" Target="javascript:AbrirModal(16)" TargetMode="External"/><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5243</Words>
  <Characters>28837</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TCAC</Company>
  <LinksUpToDate>false</LinksUpToDate>
  <CharactersWithSpaces>34012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Julián Hernández Carrilo</dc:creator>
  <cp:lastModifiedBy>Jose</cp:lastModifiedBy>
  <cp:revision>18</cp:revision>
  <cp:lastPrinted>2019-10-08T04:27:00Z</cp:lastPrinted>
  <dcterms:created xsi:type="dcterms:W3CDTF">2019-06-05T17:45:00Z</dcterms:created>
  <dcterms:modified xsi:type="dcterms:W3CDTF">2019-10-08T04:27:00Z</dcterms:modified>
</cp:coreProperties>
</file>