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A61851" w:rsidRPr="00904FBE" w:rsidTr="002319ED">
        <w:tc>
          <w:tcPr>
            <w:tcW w:w="2356" w:type="dxa"/>
          </w:tcPr>
          <w:p w:rsidR="00A61851" w:rsidRPr="00904FBE" w:rsidRDefault="00A61851" w:rsidP="002319ED">
            <w:pPr>
              <w:spacing w:after="0" w:line="240" w:lineRule="auto"/>
              <w:rPr>
                <w:rFonts w:ascii="Arial" w:hAnsi="Arial" w:cs="Arial"/>
                <w:b/>
                <w:sz w:val="24"/>
                <w:szCs w:val="24"/>
              </w:rPr>
            </w:pPr>
          </w:p>
        </w:tc>
        <w:tc>
          <w:tcPr>
            <w:tcW w:w="6859" w:type="dxa"/>
          </w:tcPr>
          <w:p w:rsidR="00E70C9F" w:rsidRPr="00E70C9F" w:rsidRDefault="00A61851" w:rsidP="00E70C9F">
            <w:pPr>
              <w:tabs>
                <w:tab w:val="left" w:pos="3103"/>
              </w:tabs>
              <w:spacing w:after="0"/>
              <w:ind w:left="1402"/>
              <w:jc w:val="both"/>
              <w:rPr>
                <w:rFonts w:ascii="Arial" w:hAnsi="Arial" w:cs="Arial"/>
                <w:b/>
                <w:iCs/>
                <w:caps/>
                <w:sz w:val="26"/>
                <w:szCs w:val="26"/>
              </w:rPr>
            </w:pPr>
            <w:r w:rsidRPr="00E70C9F">
              <w:rPr>
                <w:rFonts w:ascii="Arial" w:hAnsi="Arial" w:cs="Arial"/>
                <w:b/>
                <w:iCs/>
                <w:caps/>
                <w:sz w:val="26"/>
                <w:szCs w:val="26"/>
              </w:rPr>
              <w:t>SALA SU</w:t>
            </w:r>
            <w:r w:rsidR="00904FBE" w:rsidRPr="00E70C9F">
              <w:rPr>
                <w:rFonts w:ascii="Arial" w:hAnsi="Arial" w:cs="Arial"/>
                <w:b/>
                <w:iCs/>
                <w:caps/>
                <w:sz w:val="26"/>
                <w:szCs w:val="26"/>
              </w:rPr>
              <w:t>PERIOR DEL TRIBUNAL de justicia</w:t>
            </w:r>
            <w:r w:rsidR="00E70C9F">
              <w:rPr>
                <w:rFonts w:ascii="Arial" w:hAnsi="Arial" w:cs="Arial"/>
                <w:b/>
                <w:iCs/>
                <w:caps/>
                <w:sz w:val="26"/>
                <w:szCs w:val="26"/>
              </w:rPr>
              <w:t xml:space="preserve"> </w:t>
            </w:r>
            <w:r w:rsidRPr="00E70C9F">
              <w:rPr>
                <w:rFonts w:ascii="Arial" w:hAnsi="Arial" w:cs="Arial"/>
                <w:b/>
                <w:iCs/>
                <w:caps/>
                <w:sz w:val="26"/>
                <w:szCs w:val="26"/>
              </w:rPr>
              <w:t>administrativa del estado</w:t>
            </w:r>
            <w:r w:rsidR="00E70C9F">
              <w:rPr>
                <w:rFonts w:ascii="Arial" w:hAnsi="Arial" w:cs="Arial"/>
                <w:b/>
                <w:iCs/>
                <w:caps/>
                <w:sz w:val="26"/>
                <w:szCs w:val="26"/>
              </w:rPr>
              <w:t xml:space="preserve"> DE OAXACA</w:t>
            </w:r>
          </w:p>
          <w:p w:rsidR="00E70C9F" w:rsidRPr="00E70C9F" w:rsidRDefault="00E70C9F" w:rsidP="00E70C9F">
            <w:pPr>
              <w:tabs>
                <w:tab w:val="left" w:pos="3103"/>
              </w:tabs>
              <w:spacing w:after="0"/>
              <w:ind w:left="1402"/>
              <w:jc w:val="both"/>
              <w:rPr>
                <w:rFonts w:ascii="Arial" w:hAnsi="Arial" w:cs="Arial"/>
                <w:b/>
                <w:iCs/>
                <w:caps/>
                <w:sz w:val="26"/>
                <w:szCs w:val="26"/>
              </w:rPr>
            </w:pPr>
          </w:p>
          <w:p w:rsidR="00E70C9F" w:rsidRDefault="00A61851" w:rsidP="00E70C9F">
            <w:pPr>
              <w:tabs>
                <w:tab w:val="left" w:pos="3103"/>
              </w:tabs>
              <w:spacing w:after="0"/>
              <w:ind w:left="1402"/>
              <w:jc w:val="both"/>
              <w:rPr>
                <w:rFonts w:ascii="Arial" w:hAnsi="Arial" w:cs="Arial"/>
                <w:b/>
                <w:iCs/>
                <w:caps/>
                <w:sz w:val="26"/>
                <w:szCs w:val="26"/>
              </w:rPr>
            </w:pPr>
            <w:r w:rsidRPr="00E70C9F">
              <w:rPr>
                <w:rFonts w:ascii="Arial" w:hAnsi="Arial" w:cs="Arial"/>
                <w:b/>
                <w:iCs/>
                <w:caps/>
                <w:sz w:val="26"/>
                <w:szCs w:val="26"/>
              </w:rPr>
              <w:t>RECURSO DE REVISIÓN: 730/2017</w:t>
            </w:r>
            <w:r w:rsidR="00E70C9F" w:rsidRPr="00E70C9F">
              <w:rPr>
                <w:rFonts w:ascii="Arial" w:hAnsi="Arial" w:cs="Arial"/>
                <w:b/>
                <w:iCs/>
                <w:caps/>
                <w:sz w:val="26"/>
                <w:szCs w:val="26"/>
              </w:rPr>
              <w:t xml:space="preserve"> </w:t>
            </w:r>
          </w:p>
          <w:p w:rsidR="00E70C9F" w:rsidRPr="00E70C9F" w:rsidRDefault="00E70C9F" w:rsidP="00E70C9F">
            <w:pPr>
              <w:tabs>
                <w:tab w:val="left" w:pos="3103"/>
              </w:tabs>
              <w:spacing w:after="0"/>
              <w:ind w:left="1402"/>
              <w:jc w:val="both"/>
              <w:rPr>
                <w:rFonts w:ascii="Arial" w:hAnsi="Arial" w:cs="Arial"/>
                <w:b/>
                <w:iCs/>
                <w:caps/>
                <w:sz w:val="26"/>
                <w:szCs w:val="26"/>
              </w:rPr>
            </w:pPr>
          </w:p>
          <w:p w:rsidR="00E70C9F" w:rsidRDefault="00A61851" w:rsidP="00E70C9F">
            <w:pPr>
              <w:tabs>
                <w:tab w:val="left" w:pos="3103"/>
              </w:tabs>
              <w:spacing w:after="0"/>
              <w:ind w:left="1402"/>
              <w:jc w:val="both"/>
              <w:rPr>
                <w:rFonts w:ascii="Arial" w:hAnsi="Arial" w:cs="Arial"/>
                <w:b/>
                <w:iCs/>
                <w:caps/>
                <w:sz w:val="26"/>
                <w:szCs w:val="26"/>
              </w:rPr>
            </w:pPr>
            <w:r w:rsidRPr="00E70C9F">
              <w:rPr>
                <w:rFonts w:ascii="Arial" w:hAnsi="Arial" w:cs="Arial"/>
                <w:b/>
                <w:iCs/>
                <w:caps/>
                <w:sz w:val="26"/>
                <w:szCs w:val="26"/>
              </w:rPr>
              <w:t>EX</w:t>
            </w:r>
            <w:r w:rsidR="00E70C9F">
              <w:rPr>
                <w:rFonts w:ascii="Arial" w:hAnsi="Arial" w:cs="Arial"/>
                <w:b/>
                <w:iCs/>
                <w:caps/>
                <w:sz w:val="26"/>
                <w:szCs w:val="26"/>
              </w:rPr>
              <w:t>PEDIENTE: 139/2017 DE LA SEGUNDA</w:t>
            </w:r>
            <w:r w:rsidRPr="00E70C9F">
              <w:rPr>
                <w:rFonts w:ascii="Arial" w:hAnsi="Arial" w:cs="Arial"/>
                <w:b/>
                <w:iCs/>
                <w:caps/>
                <w:sz w:val="26"/>
                <w:szCs w:val="26"/>
              </w:rPr>
              <w:t xml:space="preserve"> SALA UNITARIA DE PRIMERA INSTANCIA </w:t>
            </w:r>
          </w:p>
          <w:p w:rsidR="00E70C9F" w:rsidRPr="00E70C9F" w:rsidRDefault="00E70C9F" w:rsidP="00E70C9F">
            <w:pPr>
              <w:tabs>
                <w:tab w:val="left" w:pos="3103"/>
              </w:tabs>
              <w:spacing w:after="0"/>
              <w:ind w:left="1402"/>
              <w:jc w:val="both"/>
              <w:rPr>
                <w:rFonts w:ascii="Arial" w:hAnsi="Arial" w:cs="Arial"/>
                <w:b/>
                <w:iCs/>
                <w:caps/>
                <w:sz w:val="26"/>
                <w:szCs w:val="26"/>
              </w:rPr>
            </w:pPr>
          </w:p>
          <w:p w:rsidR="00A61851" w:rsidRPr="00E70C9F" w:rsidRDefault="00A61851" w:rsidP="00E70C9F">
            <w:pPr>
              <w:tabs>
                <w:tab w:val="left" w:pos="3103"/>
              </w:tabs>
              <w:spacing w:after="0"/>
              <w:ind w:left="1402"/>
              <w:jc w:val="both"/>
              <w:rPr>
                <w:rFonts w:ascii="Arial" w:hAnsi="Arial" w:cs="Arial"/>
                <w:b/>
                <w:iCs/>
                <w:caps/>
                <w:sz w:val="24"/>
                <w:szCs w:val="24"/>
              </w:rPr>
            </w:pPr>
            <w:r w:rsidRPr="00E70C9F">
              <w:rPr>
                <w:rFonts w:ascii="Arial" w:hAnsi="Arial" w:cs="Arial"/>
                <w:b/>
                <w:iCs/>
                <w:caps/>
                <w:sz w:val="26"/>
                <w:szCs w:val="26"/>
              </w:rPr>
              <w:t xml:space="preserve">ponente: MAGISTRADA MARÍA ELENA VILLA DE JARQUÍN </w:t>
            </w:r>
          </w:p>
        </w:tc>
      </w:tr>
      <w:tr w:rsidR="00A61851" w:rsidRPr="00904FBE" w:rsidTr="002319ED">
        <w:tc>
          <w:tcPr>
            <w:tcW w:w="2356" w:type="dxa"/>
          </w:tcPr>
          <w:p w:rsidR="00A61851" w:rsidRPr="00904FBE" w:rsidRDefault="00A61851" w:rsidP="002319ED">
            <w:pPr>
              <w:spacing w:after="0" w:line="240" w:lineRule="auto"/>
              <w:rPr>
                <w:rFonts w:ascii="Arial" w:hAnsi="Arial" w:cs="Arial"/>
                <w:b/>
                <w:sz w:val="24"/>
                <w:szCs w:val="24"/>
              </w:rPr>
            </w:pPr>
          </w:p>
        </w:tc>
        <w:tc>
          <w:tcPr>
            <w:tcW w:w="6859" w:type="dxa"/>
          </w:tcPr>
          <w:p w:rsidR="00A61851" w:rsidRPr="00904FBE" w:rsidRDefault="00A61851" w:rsidP="002319ED">
            <w:pPr>
              <w:tabs>
                <w:tab w:val="left" w:pos="3103"/>
              </w:tabs>
              <w:spacing w:after="0" w:line="240" w:lineRule="auto"/>
              <w:ind w:left="2961" w:hanging="2961"/>
              <w:jc w:val="both"/>
              <w:rPr>
                <w:rFonts w:ascii="Arial" w:hAnsi="Arial" w:cs="Arial"/>
                <w:b/>
                <w:iCs/>
                <w:caps/>
                <w:sz w:val="24"/>
                <w:szCs w:val="24"/>
              </w:rPr>
            </w:pPr>
            <w:r w:rsidRPr="00904FBE">
              <w:rPr>
                <w:rFonts w:ascii="Arial" w:hAnsi="Arial" w:cs="Arial"/>
                <w:b/>
                <w:i/>
                <w:iCs/>
                <w:caps/>
                <w:sz w:val="24"/>
                <w:szCs w:val="24"/>
              </w:rPr>
              <w:t xml:space="preserve">                                   </w:t>
            </w:r>
          </w:p>
        </w:tc>
      </w:tr>
      <w:tr w:rsidR="00A61851" w:rsidRPr="00904FBE" w:rsidTr="002319ED">
        <w:tc>
          <w:tcPr>
            <w:tcW w:w="2356" w:type="dxa"/>
          </w:tcPr>
          <w:p w:rsidR="00A61851" w:rsidRPr="00904FBE" w:rsidRDefault="00A61851" w:rsidP="002319ED">
            <w:pPr>
              <w:spacing w:after="0" w:line="240" w:lineRule="auto"/>
              <w:rPr>
                <w:rFonts w:ascii="Arial" w:hAnsi="Arial" w:cs="Arial"/>
                <w:b/>
                <w:sz w:val="24"/>
                <w:szCs w:val="24"/>
              </w:rPr>
            </w:pPr>
          </w:p>
        </w:tc>
        <w:tc>
          <w:tcPr>
            <w:tcW w:w="6859" w:type="dxa"/>
          </w:tcPr>
          <w:p w:rsidR="00A61851" w:rsidRPr="00904FBE" w:rsidRDefault="00A61851" w:rsidP="002319ED">
            <w:pPr>
              <w:tabs>
                <w:tab w:val="left" w:pos="3103"/>
              </w:tabs>
              <w:spacing w:after="0" w:line="240" w:lineRule="auto"/>
              <w:ind w:left="2961" w:hanging="2961"/>
              <w:jc w:val="both"/>
              <w:rPr>
                <w:rFonts w:ascii="Arial" w:hAnsi="Arial" w:cs="Arial"/>
                <w:b/>
                <w:i/>
                <w:iCs/>
                <w:caps/>
                <w:sz w:val="24"/>
                <w:szCs w:val="24"/>
              </w:rPr>
            </w:pPr>
          </w:p>
        </w:tc>
      </w:tr>
    </w:tbl>
    <w:p w:rsidR="00A61851" w:rsidRPr="00D60745" w:rsidRDefault="00A61851" w:rsidP="00A61851">
      <w:pPr>
        <w:spacing w:line="360" w:lineRule="auto"/>
        <w:jc w:val="both"/>
        <w:rPr>
          <w:rFonts w:ascii="Arial" w:eastAsia="Calibri" w:hAnsi="Arial" w:cs="Arial"/>
          <w:b/>
          <w:sz w:val="26"/>
          <w:szCs w:val="26"/>
        </w:rPr>
      </w:pPr>
      <w:r w:rsidRPr="00D60745">
        <w:rPr>
          <w:rFonts w:ascii="Arial" w:eastAsia="Calibri" w:hAnsi="Arial" w:cs="Arial"/>
          <w:b/>
          <w:sz w:val="26"/>
          <w:szCs w:val="26"/>
        </w:rPr>
        <w:t xml:space="preserve">OAXACA DE JUÁREZ, OAXACA, </w:t>
      </w:r>
      <w:r w:rsidR="00E70C9F" w:rsidRPr="00D60745">
        <w:rPr>
          <w:rFonts w:ascii="Arial" w:eastAsia="Calibri" w:hAnsi="Arial" w:cs="Arial"/>
          <w:b/>
          <w:sz w:val="26"/>
          <w:szCs w:val="26"/>
        </w:rPr>
        <w:t xml:space="preserve">SIETE DE FEBRERO DE </w:t>
      </w:r>
      <w:r w:rsidRPr="00D60745">
        <w:rPr>
          <w:rFonts w:ascii="Arial" w:eastAsia="Calibri" w:hAnsi="Arial" w:cs="Arial"/>
          <w:b/>
          <w:sz w:val="26"/>
          <w:szCs w:val="26"/>
        </w:rPr>
        <w:t>DOS MIL DIECINUEVE.</w:t>
      </w:r>
    </w:p>
    <w:p w:rsidR="00A61851" w:rsidRPr="00D60745" w:rsidRDefault="00A61851" w:rsidP="00A61851">
      <w:pPr>
        <w:spacing w:line="360" w:lineRule="auto"/>
        <w:ind w:firstLine="708"/>
        <w:jc w:val="both"/>
        <w:rPr>
          <w:rFonts w:ascii="Arial" w:hAnsi="Arial" w:cs="Arial"/>
          <w:sz w:val="26"/>
          <w:szCs w:val="26"/>
        </w:rPr>
      </w:pPr>
      <w:r w:rsidRPr="00D60745">
        <w:rPr>
          <w:rFonts w:ascii="Arial" w:hAnsi="Arial" w:cs="Arial"/>
          <w:sz w:val="26"/>
          <w:szCs w:val="26"/>
        </w:rPr>
        <w:t xml:space="preserve">Por recibido el Cuaderno de Revisión </w:t>
      </w:r>
      <w:r w:rsidRPr="00D60745">
        <w:rPr>
          <w:rFonts w:ascii="Arial" w:hAnsi="Arial" w:cs="Arial"/>
          <w:b/>
          <w:sz w:val="26"/>
          <w:szCs w:val="26"/>
        </w:rPr>
        <w:t>0730/2017</w:t>
      </w:r>
      <w:r w:rsidRPr="00D60745">
        <w:rPr>
          <w:rFonts w:ascii="Arial" w:hAnsi="Arial" w:cs="Arial"/>
          <w:sz w:val="26"/>
          <w:szCs w:val="26"/>
        </w:rPr>
        <w:t xml:space="preserve">, que remite la Secretaría General de Acuerdos, con motivo del recurso de revisión interpuesto por </w:t>
      </w:r>
      <w:r w:rsidR="001A66BE">
        <w:rPr>
          <w:rFonts w:ascii="Arial" w:hAnsi="Arial" w:cs="Arial"/>
          <w:b/>
          <w:sz w:val="26"/>
          <w:szCs w:val="26"/>
        </w:rPr>
        <w:t>**********</w:t>
      </w:r>
      <w:r w:rsidR="00904FBE" w:rsidRPr="00D60745">
        <w:rPr>
          <w:rFonts w:ascii="Arial" w:hAnsi="Arial" w:cs="Arial"/>
          <w:sz w:val="26"/>
          <w:szCs w:val="26"/>
        </w:rPr>
        <w:t xml:space="preserve">, en contra de una parte relativa del </w:t>
      </w:r>
      <w:r w:rsidRPr="00D60745">
        <w:rPr>
          <w:rFonts w:ascii="Arial" w:hAnsi="Arial" w:cs="Arial"/>
          <w:sz w:val="26"/>
          <w:szCs w:val="26"/>
        </w:rPr>
        <w:t xml:space="preserve">auto de fecha veintitrés de noviembre de dos mil diecisiete, dictado en el expediente </w:t>
      </w:r>
      <w:r w:rsidRPr="00D60745">
        <w:rPr>
          <w:rFonts w:ascii="Arial" w:hAnsi="Arial" w:cs="Arial"/>
          <w:b/>
          <w:sz w:val="26"/>
          <w:szCs w:val="26"/>
        </w:rPr>
        <w:t xml:space="preserve">0139/2017 </w:t>
      </w:r>
      <w:r w:rsidRPr="00D60745">
        <w:rPr>
          <w:rFonts w:ascii="Arial" w:hAnsi="Arial" w:cs="Arial"/>
          <w:sz w:val="26"/>
          <w:szCs w:val="26"/>
        </w:rPr>
        <w:t xml:space="preserve">de la Segunda Sala Unitaria de Primera Instancia, relativo al juicio de nulidad promovido por la </w:t>
      </w:r>
      <w:r w:rsidRPr="00D60745">
        <w:rPr>
          <w:rFonts w:ascii="Arial" w:hAnsi="Arial" w:cs="Arial"/>
          <w:b/>
          <w:sz w:val="26"/>
          <w:szCs w:val="26"/>
        </w:rPr>
        <w:t>RECURRENTE</w:t>
      </w:r>
      <w:r w:rsidRPr="00D60745">
        <w:rPr>
          <w:rFonts w:ascii="Arial" w:hAnsi="Arial" w:cs="Arial"/>
          <w:sz w:val="26"/>
          <w:szCs w:val="26"/>
        </w:rPr>
        <w:t>,</w:t>
      </w:r>
      <w:r w:rsidRPr="00D60745">
        <w:rPr>
          <w:rFonts w:ascii="Arial" w:hAnsi="Arial" w:cs="Arial"/>
          <w:b/>
          <w:sz w:val="26"/>
          <w:szCs w:val="26"/>
        </w:rPr>
        <w:t xml:space="preserve"> </w:t>
      </w:r>
      <w:r w:rsidRPr="00D60745">
        <w:rPr>
          <w:rFonts w:ascii="Arial" w:hAnsi="Arial" w:cs="Arial"/>
          <w:sz w:val="26"/>
          <w:szCs w:val="26"/>
        </w:rPr>
        <w:t xml:space="preserve">en contra de la </w:t>
      </w:r>
      <w:r w:rsidRPr="00D60745">
        <w:rPr>
          <w:rFonts w:ascii="Arial" w:hAnsi="Arial" w:cs="Arial"/>
          <w:b/>
          <w:sz w:val="26"/>
          <w:szCs w:val="26"/>
        </w:rPr>
        <w:t xml:space="preserve">COORDINADORA y de la VERIFICADORA, NOTIFICADORA Y EJECUTORA,  </w:t>
      </w:r>
      <w:r w:rsidR="00E70C9F" w:rsidRPr="00D60745">
        <w:rPr>
          <w:rFonts w:ascii="Arial" w:hAnsi="Arial" w:cs="Arial"/>
          <w:b/>
          <w:sz w:val="26"/>
          <w:szCs w:val="26"/>
        </w:rPr>
        <w:t>ADSCRITAS A LA COORDINACIÓN DE COBRO COACTIVO DE LA DIRECCIÓN DE INGRESOS Y RECAUDACIÓN DE LA SECRETARÍ</w:t>
      </w:r>
      <w:r w:rsidRPr="00D60745">
        <w:rPr>
          <w:rFonts w:ascii="Arial" w:hAnsi="Arial" w:cs="Arial"/>
          <w:b/>
          <w:sz w:val="26"/>
          <w:szCs w:val="26"/>
        </w:rPr>
        <w:t>A DE FINANZAS DEL GOBIERNO DEL ESTADO DE OAXACA</w:t>
      </w:r>
      <w:r w:rsidRPr="00D60745">
        <w:rPr>
          <w:rFonts w:ascii="Arial" w:hAnsi="Arial" w:cs="Arial"/>
          <w:sz w:val="26"/>
          <w:szCs w:val="26"/>
        </w:rPr>
        <w:t>;</w:t>
      </w:r>
      <w:r w:rsidRPr="00D60745">
        <w:rPr>
          <w:rFonts w:ascii="Arial" w:hAnsi="Arial" w:cs="Arial"/>
          <w:b/>
          <w:sz w:val="26"/>
          <w:szCs w:val="26"/>
        </w:rPr>
        <w:t xml:space="preserve"> </w:t>
      </w:r>
      <w:r w:rsidRPr="00D60745">
        <w:rPr>
          <w:rFonts w:ascii="Arial" w:hAnsi="Arial" w:cs="Arial"/>
          <w:sz w:val="26"/>
          <w:szCs w:val="26"/>
        </w:rPr>
        <w:t>por lo que con fundamento en los artículos 236 y 238 de la Ley de Procedimiento y Justicia Administrativa para el Estado de Oaxaca, se admite. En consecuencia, se procede a dictar resolución en los siguientes términos:</w:t>
      </w:r>
    </w:p>
    <w:p w:rsidR="00A61851" w:rsidRPr="00D60745" w:rsidRDefault="00A61851" w:rsidP="00A61851">
      <w:pPr>
        <w:spacing w:line="360" w:lineRule="auto"/>
        <w:jc w:val="center"/>
        <w:rPr>
          <w:rFonts w:ascii="Arial" w:hAnsi="Arial" w:cs="Arial"/>
          <w:b/>
          <w:bCs/>
          <w:sz w:val="26"/>
          <w:szCs w:val="26"/>
          <w:lang w:val="es-MX"/>
        </w:rPr>
      </w:pPr>
      <w:r w:rsidRPr="00D60745">
        <w:rPr>
          <w:rFonts w:ascii="Arial" w:hAnsi="Arial" w:cs="Arial"/>
          <w:b/>
          <w:bCs/>
          <w:sz w:val="26"/>
          <w:szCs w:val="26"/>
          <w:lang w:val="es-MX"/>
        </w:rPr>
        <w:t>R E S U L T A N D O:</w:t>
      </w:r>
    </w:p>
    <w:p w:rsidR="00A61851" w:rsidRPr="00D60745" w:rsidRDefault="00A61851" w:rsidP="00A61851">
      <w:pPr>
        <w:spacing w:line="360" w:lineRule="auto"/>
        <w:ind w:firstLine="709"/>
        <w:jc w:val="both"/>
        <w:rPr>
          <w:rFonts w:ascii="Arial" w:hAnsi="Arial" w:cs="Arial"/>
          <w:sz w:val="26"/>
          <w:szCs w:val="26"/>
          <w:lang w:val="es-MX"/>
        </w:rPr>
      </w:pPr>
      <w:r w:rsidRPr="00D60745">
        <w:rPr>
          <w:rFonts w:ascii="Arial" w:hAnsi="Arial" w:cs="Arial"/>
          <w:b/>
          <w:bCs/>
          <w:sz w:val="26"/>
          <w:szCs w:val="26"/>
          <w:lang w:val="es-MX"/>
        </w:rPr>
        <w:t xml:space="preserve">PRIMERO. </w:t>
      </w:r>
      <w:r w:rsidRPr="00D60745">
        <w:rPr>
          <w:rFonts w:ascii="Arial" w:hAnsi="Arial" w:cs="Arial"/>
          <w:sz w:val="26"/>
          <w:szCs w:val="26"/>
          <w:lang w:val="es-MX"/>
        </w:rPr>
        <w:t xml:space="preserve">Inconforme con el acuerdo de 23 veintitrés de noviembre de dos mil diecisiete, dictado por la Magistrada de la Segunda Sala de Primera Instancia, </w:t>
      </w:r>
      <w:r w:rsidR="001A66BE">
        <w:rPr>
          <w:rFonts w:ascii="Arial" w:hAnsi="Arial" w:cs="Arial"/>
          <w:b/>
          <w:sz w:val="26"/>
          <w:szCs w:val="26"/>
        </w:rPr>
        <w:t>**********</w:t>
      </w:r>
      <w:r w:rsidRPr="00D60745">
        <w:rPr>
          <w:rFonts w:ascii="Arial" w:hAnsi="Arial" w:cs="Arial"/>
          <w:sz w:val="26"/>
          <w:szCs w:val="26"/>
          <w:lang w:val="es-MX"/>
        </w:rPr>
        <w:t xml:space="preserve">, interpuso en su contra recurso de revisión. </w:t>
      </w:r>
      <w:r w:rsidR="00D60745" w:rsidRPr="00D60745">
        <w:rPr>
          <w:rFonts w:ascii="Arial" w:hAnsi="Arial" w:cs="Arial"/>
          <w:sz w:val="26"/>
          <w:szCs w:val="26"/>
          <w:lang w:val="es-MX"/>
        </w:rPr>
        <w:t xml:space="preserve"> </w:t>
      </w:r>
    </w:p>
    <w:p w:rsidR="00A61851" w:rsidRPr="00D60745" w:rsidRDefault="00A61851" w:rsidP="00A61851">
      <w:pPr>
        <w:spacing w:after="0" w:line="360" w:lineRule="auto"/>
        <w:jc w:val="both"/>
        <w:rPr>
          <w:rFonts w:ascii="Arial" w:hAnsi="Arial" w:cs="Arial"/>
          <w:sz w:val="26"/>
          <w:szCs w:val="26"/>
          <w:lang w:val="es-MX"/>
        </w:rPr>
      </w:pPr>
      <w:r w:rsidRPr="00D60745">
        <w:rPr>
          <w:rFonts w:ascii="Arial" w:hAnsi="Arial" w:cs="Arial"/>
          <w:b/>
          <w:bCs/>
          <w:sz w:val="26"/>
          <w:szCs w:val="26"/>
          <w:lang w:val="es-MX"/>
        </w:rPr>
        <w:tab/>
        <w:t xml:space="preserve">SEGUNDO.- </w:t>
      </w:r>
      <w:r w:rsidRPr="00D60745">
        <w:rPr>
          <w:rFonts w:ascii="Arial" w:hAnsi="Arial" w:cs="Arial"/>
          <w:sz w:val="26"/>
          <w:szCs w:val="26"/>
          <w:lang w:val="es-MX"/>
        </w:rPr>
        <w:t>La parte relativa del acuerdo recurrido es como sigue:</w:t>
      </w:r>
    </w:p>
    <w:p w:rsidR="00A61851" w:rsidRPr="00904FBE" w:rsidRDefault="00A61851" w:rsidP="00A61851">
      <w:pPr>
        <w:spacing w:after="0" w:line="360" w:lineRule="auto"/>
        <w:ind w:left="1134" w:right="778"/>
        <w:jc w:val="both"/>
        <w:rPr>
          <w:rFonts w:ascii="Arial" w:hAnsi="Arial" w:cs="Arial"/>
          <w:b/>
          <w:bCs/>
          <w:iCs/>
          <w:sz w:val="24"/>
          <w:szCs w:val="24"/>
        </w:rPr>
      </w:pPr>
      <w:r w:rsidRPr="00904FBE">
        <w:rPr>
          <w:rFonts w:ascii="Arial" w:hAnsi="Arial" w:cs="Arial"/>
          <w:b/>
          <w:bCs/>
          <w:iCs/>
          <w:sz w:val="24"/>
          <w:szCs w:val="24"/>
        </w:rPr>
        <w:t>“(…)</w:t>
      </w:r>
    </w:p>
    <w:p w:rsidR="00A61851" w:rsidRPr="00904FBE" w:rsidRDefault="00A61851" w:rsidP="00A61851">
      <w:pPr>
        <w:spacing w:after="0" w:line="360" w:lineRule="auto"/>
        <w:ind w:left="1134" w:right="778"/>
        <w:jc w:val="both"/>
        <w:rPr>
          <w:rFonts w:ascii="Arial" w:hAnsi="Arial" w:cs="Arial"/>
          <w:bCs/>
          <w:iCs/>
        </w:rPr>
      </w:pPr>
      <w:r w:rsidRPr="00904FBE">
        <w:rPr>
          <w:rFonts w:ascii="Arial" w:hAnsi="Arial" w:cs="Arial"/>
          <w:bCs/>
          <w:iCs/>
        </w:rPr>
        <w:t xml:space="preserve">Por lo que respecta al acto impugnado consistente en resolución de 20 veinte de agosto del año 2013 dos mil trece, emitida  por </w:t>
      </w:r>
      <w:r w:rsidRPr="00904FBE">
        <w:rPr>
          <w:rFonts w:ascii="Arial" w:hAnsi="Arial" w:cs="Arial"/>
          <w:bCs/>
          <w:iCs/>
        </w:rPr>
        <w:lastRenderedPageBreak/>
        <w:t>la Dirección de la Contraloría Interna del Honorable Tribunal Superior  de Justicia del Estado, dado que la misma no es de naturaleza administrativa  por emanar de un órgano dependiente del Poder Judicial, en consecuencia, en términos de lo dispuesto  por el artículo 95 fracción II, 96 fracción I a la XII y 152 fracción I de la Ley de Justicia Administrativa  para en planteada en contra del Titular de la Dirección de Contraloría Interna del Honorable Estado de Oaxaca, se desecha la demanda Planteada en contra del Titular de la Dirección de Contraloría Interna del  Honorable Tribunal Superior de Justicia del Estado, por motivo manifiesto e indudable de improcedencia.”</w:t>
      </w:r>
    </w:p>
    <w:p w:rsidR="00A61851" w:rsidRPr="00D60745" w:rsidRDefault="00A61851" w:rsidP="00A61851">
      <w:pPr>
        <w:spacing w:before="240" w:line="360" w:lineRule="auto"/>
        <w:jc w:val="center"/>
        <w:rPr>
          <w:rFonts w:ascii="Arial" w:hAnsi="Arial" w:cs="Arial"/>
          <w:b/>
          <w:bCs/>
          <w:sz w:val="26"/>
          <w:szCs w:val="26"/>
          <w:lang w:val="es-MX"/>
        </w:rPr>
      </w:pPr>
      <w:r w:rsidRPr="00D60745">
        <w:rPr>
          <w:rFonts w:ascii="Arial" w:hAnsi="Arial" w:cs="Arial"/>
          <w:b/>
          <w:bCs/>
          <w:sz w:val="26"/>
          <w:szCs w:val="26"/>
          <w:lang w:val="es-MX"/>
        </w:rPr>
        <w:t>C O N S I D E R A N D O:</w:t>
      </w:r>
    </w:p>
    <w:p w:rsidR="00A61851" w:rsidRPr="00D60745" w:rsidRDefault="00A61851" w:rsidP="00A61851">
      <w:pPr>
        <w:pStyle w:val="Textoindependiente21"/>
        <w:tabs>
          <w:tab w:val="left" w:pos="7938"/>
        </w:tabs>
        <w:spacing w:before="240" w:line="360" w:lineRule="auto"/>
        <w:ind w:right="18" w:firstLine="709"/>
        <w:rPr>
          <w:rFonts w:ascii="Arial" w:hAnsi="Arial" w:cs="Arial"/>
          <w:b/>
          <w:bCs/>
          <w:iCs/>
          <w:sz w:val="26"/>
          <w:szCs w:val="26"/>
        </w:rPr>
      </w:pPr>
      <w:r w:rsidRPr="00D60745">
        <w:rPr>
          <w:rFonts w:ascii="Arial" w:hAnsi="Arial" w:cs="Arial"/>
          <w:b/>
          <w:bCs/>
          <w:iCs/>
          <w:sz w:val="26"/>
          <w:szCs w:val="26"/>
        </w:rPr>
        <w:t xml:space="preserve">PRIMERO. </w:t>
      </w:r>
      <w:r w:rsidRPr="00D60745">
        <w:rPr>
          <w:rFonts w:ascii="Arial" w:hAnsi="Arial" w:cs="Arial"/>
          <w:bCs/>
          <w:iCs/>
          <w:sz w:val="26"/>
          <w:szCs w:val="26"/>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artículos 125, 127, 129, 130, fracción I, 131, 231, 236 y 238 de la Ley de Procedimiento y Justicia Administrativa para el Estado de Oaxaca, dado que se trata de un Recurso de Revisión interpuesto en contra de</w:t>
      </w:r>
      <w:r w:rsidR="00BF0A06" w:rsidRPr="00D60745">
        <w:rPr>
          <w:rFonts w:ascii="Arial" w:hAnsi="Arial" w:cs="Arial"/>
          <w:bCs/>
          <w:iCs/>
          <w:sz w:val="26"/>
          <w:szCs w:val="26"/>
        </w:rPr>
        <w:t xml:space="preserve"> una parte relativa del</w:t>
      </w:r>
      <w:r w:rsidRPr="00D60745">
        <w:rPr>
          <w:rFonts w:ascii="Arial" w:hAnsi="Arial" w:cs="Arial"/>
          <w:bCs/>
          <w:iCs/>
          <w:sz w:val="26"/>
          <w:szCs w:val="26"/>
        </w:rPr>
        <w:t xml:space="preserve"> auto de veintitrés de noviembre de dos mil diecisiete, dictado por la Segunda Sala Unitaria de Primera Instancia, en el expediente </w:t>
      </w:r>
      <w:r w:rsidRPr="00D60745">
        <w:rPr>
          <w:rFonts w:ascii="Arial" w:hAnsi="Arial" w:cs="Arial"/>
          <w:b/>
          <w:bCs/>
          <w:iCs/>
          <w:sz w:val="26"/>
          <w:szCs w:val="26"/>
        </w:rPr>
        <w:t>0139/2017.</w:t>
      </w:r>
    </w:p>
    <w:p w:rsidR="00A61851" w:rsidRPr="00D60745" w:rsidRDefault="00A61851" w:rsidP="00A61851">
      <w:pPr>
        <w:pStyle w:val="Textoindependiente21"/>
        <w:tabs>
          <w:tab w:val="left" w:pos="7938"/>
        </w:tabs>
        <w:spacing w:before="240" w:line="360" w:lineRule="auto"/>
        <w:ind w:right="18" w:firstLine="709"/>
        <w:rPr>
          <w:rFonts w:ascii="Arial" w:hAnsi="Arial" w:cs="Arial"/>
          <w:sz w:val="26"/>
          <w:szCs w:val="26"/>
          <w:lang w:val="es-MX"/>
        </w:rPr>
      </w:pPr>
      <w:r w:rsidRPr="00D60745">
        <w:rPr>
          <w:rFonts w:ascii="Arial" w:hAnsi="Arial" w:cs="Arial"/>
          <w:b/>
          <w:bCs/>
          <w:sz w:val="26"/>
          <w:szCs w:val="26"/>
          <w:lang w:val="es-MX"/>
        </w:rPr>
        <w:t>SEGUNDO.</w:t>
      </w:r>
      <w:r w:rsidRPr="00D60745">
        <w:rPr>
          <w:rFonts w:ascii="Arial" w:hAnsi="Arial" w:cs="Arial"/>
          <w:bCs/>
          <w:sz w:val="26"/>
          <w:szCs w:val="26"/>
          <w:lang w:val="es-MX"/>
        </w:rPr>
        <w:t xml:space="preserve"> Los agravios hechos valer se encuentran expuestos en el escrito respectivo de la recurrente, por lo que no existe necesidad de transcribirlos, virtud a que ello no implica transgresión a derecho alguno del recurrente, como tampoco se vulnera disposición expresa que imponga tal obligación</w:t>
      </w:r>
      <w:r w:rsidRPr="00D60745">
        <w:rPr>
          <w:rFonts w:ascii="Arial" w:hAnsi="Arial" w:cs="Arial"/>
          <w:sz w:val="26"/>
          <w:szCs w:val="26"/>
          <w:lang w:val="es-MX"/>
        </w:rPr>
        <w:t>.</w:t>
      </w:r>
    </w:p>
    <w:p w:rsidR="00A61851" w:rsidRPr="00D60745" w:rsidRDefault="00500D15" w:rsidP="000C54B4">
      <w:pPr>
        <w:pStyle w:val="Textoindependiente21"/>
        <w:tabs>
          <w:tab w:val="left" w:pos="7938"/>
        </w:tabs>
        <w:spacing w:before="240" w:line="360" w:lineRule="auto"/>
        <w:ind w:right="18" w:firstLine="709"/>
        <w:rPr>
          <w:rFonts w:ascii="Arial" w:hAnsi="Arial" w:cs="Arial"/>
          <w:bCs/>
          <w:color w:val="000000"/>
          <w:sz w:val="26"/>
          <w:szCs w:val="26"/>
          <w:lang w:val="es-MX"/>
        </w:rPr>
      </w:pPr>
      <w:r w:rsidRPr="00D60745">
        <w:rPr>
          <w:rFonts w:ascii="Arial" w:hAnsi="Arial" w:cs="Arial"/>
          <w:b/>
          <w:bCs/>
          <w:sz w:val="26"/>
          <w:szCs w:val="26"/>
          <w:lang w:val="es-MX"/>
        </w:rPr>
        <w:t xml:space="preserve">TERCERO. </w:t>
      </w:r>
      <w:r w:rsidR="00A61851" w:rsidRPr="00D60745">
        <w:rPr>
          <w:rFonts w:ascii="Arial" w:hAnsi="Arial" w:cs="Arial"/>
          <w:bCs/>
          <w:color w:val="000000"/>
          <w:sz w:val="26"/>
          <w:szCs w:val="26"/>
          <w:lang w:val="es-MX"/>
        </w:rPr>
        <w:t xml:space="preserve">Previo al estudio de los agravios que conforman la Litis del presente recurso, es imperativo abordar el análisis a las constancias que conforman el expediente de Primera Instancia, para en su caso advertir si se configura alguna violación procesal, aun cuando no se plantee en los motivos de inconformidad; conforme a </w:t>
      </w:r>
      <w:r w:rsidR="00904FBE" w:rsidRPr="00D60745">
        <w:rPr>
          <w:rFonts w:ascii="Arial" w:hAnsi="Arial" w:cs="Arial"/>
          <w:bCs/>
          <w:color w:val="000000"/>
          <w:sz w:val="26"/>
          <w:szCs w:val="26"/>
          <w:lang w:val="es-MX"/>
        </w:rPr>
        <w:t>lo dispuesto por el artículo 236</w:t>
      </w:r>
      <w:r w:rsidR="00A61851" w:rsidRPr="00D60745">
        <w:rPr>
          <w:rFonts w:ascii="Arial" w:hAnsi="Arial" w:cs="Arial"/>
          <w:bCs/>
          <w:color w:val="000000"/>
          <w:sz w:val="26"/>
          <w:szCs w:val="26"/>
          <w:lang w:val="es-MX"/>
        </w:rPr>
        <w:t>, fracción VII</w:t>
      </w:r>
      <w:r w:rsidR="00904FBE" w:rsidRPr="00D60745">
        <w:rPr>
          <w:rFonts w:ascii="Arial" w:hAnsi="Arial" w:cs="Arial"/>
          <w:bCs/>
          <w:color w:val="000000"/>
          <w:sz w:val="26"/>
          <w:szCs w:val="26"/>
          <w:lang w:val="es-MX"/>
        </w:rPr>
        <w:t>I</w:t>
      </w:r>
      <w:r w:rsidR="00A61851" w:rsidRPr="00D60745">
        <w:rPr>
          <w:rFonts w:ascii="Arial" w:hAnsi="Arial" w:cs="Arial"/>
          <w:bCs/>
          <w:color w:val="000000"/>
          <w:sz w:val="26"/>
          <w:szCs w:val="26"/>
          <w:lang w:val="es-MX"/>
        </w:rPr>
        <w:t xml:space="preserve">, de la Ley de </w:t>
      </w:r>
      <w:r w:rsidR="00904FBE" w:rsidRPr="00D60745">
        <w:rPr>
          <w:rFonts w:ascii="Arial" w:hAnsi="Arial" w:cs="Arial"/>
          <w:bCs/>
          <w:color w:val="000000"/>
          <w:sz w:val="26"/>
          <w:szCs w:val="26"/>
          <w:lang w:val="es-MX"/>
        </w:rPr>
        <w:t xml:space="preserve">Procedimiento y </w:t>
      </w:r>
      <w:r w:rsidR="00A61851" w:rsidRPr="00D60745">
        <w:rPr>
          <w:rFonts w:ascii="Arial" w:hAnsi="Arial" w:cs="Arial"/>
          <w:bCs/>
          <w:color w:val="000000"/>
          <w:sz w:val="26"/>
          <w:szCs w:val="26"/>
          <w:lang w:val="es-MX"/>
        </w:rPr>
        <w:t>Justicia Administrativa para el Estado.</w:t>
      </w:r>
    </w:p>
    <w:p w:rsidR="00A61851" w:rsidRPr="00D60745" w:rsidRDefault="00AC59C9" w:rsidP="00A61851">
      <w:pPr>
        <w:pStyle w:val="Sinespaciado"/>
        <w:spacing w:before="240" w:line="360" w:lineRule="auto"/>
        <w:ind w:firstLine="708"/>
        <w:jc w:val="both"/>
        <w:rPr>
          <w:rFonts w:ascii="Arial" w:hAnsi="Arial" w:cs="Arial"/>
          <w:bCs/>
          <w:color w:val="000000"/>
          <w:sz w:val="26"/>
          <w:szCs w:val="26"/>
          <w:lang w:val="es-MX"/>
        </w:rPr>
      </w:pPr>
      <w:r w:rsidRPr="00D60745">
        <w:rPr>
          <w:rFonts w:ascii="Arial" w:hAnsi="Arial" w:cs="Arial"/>
          <w:bCs/>
          <w:color w:val="000000"/>
          <w:sz w:val="26"/>
          <w:szCs w:val="26"/>
          <w:lang w:val="es-MX"/>
        </w:rPr>
        <w:t>Esto es así, porque de</w:t>
      </w:r>
      <w:r w:rsidR="00A61851" w:rsidRPr="00D60745">
        <w:rPr>
          <w:rFonts w:ascii="Arial" w:hAnsi="Arial" w:cs="Arial"/>
          <w:bCs/>
          <w:color w:val="000000"/>
          <w:sz w:val="26"/>
          <w:szCs w:val="26"/>
          <w:lang w:val="es-MX"/>
        </w:rPr>
        <w:t>l análisis, a las constancias que conforman el sumario del juicio natural, las cuales hacen prueba plena, en términos del artículo 203, fracción I, de la Ley de  Procedimiento y Justicia Administrativa para el Estado, por ser actuaciones judiciales, se advierte que la Primera Instancia incurrió en violaciones a las normas fundamentales que regulan el procedimiento, violación que influyó en el sentido de</w:t>
      </w:r>
      <w:r w:rsidR="00731FDA" w:rsidRPr="00D60745">
        <w:rPr>
          <w:rFonts w:ascii="Arial" w:hAnsi="Arial" w:cs="Arial"/>
          <w:bCs/>
          <w:color w:val="000000"/>
          <w:sz w:val="26"/>
          <w:szCs w:val="26"/>
          <w:lang w:val="es-MX"/>
        </w:rPr>
        <w:t>l fallo, al dejar sin defensa a la</w:t>
      </w:r>
      <w:r w:rsidR="00A61851" w:rsidRPr="00D60745">
        <w:rPr>
          <w:rFonts w:ascii="Arial" w:hAnsi="Arial" w:cs="Arial"/>
          <w:bCs/>
          <w:color w:val="000000"/>
          <w:sz w:val="26"/>
          <w:szCs w:val="26"/>
          <w:lang w:val="es-MX"/>
        </w:rPr>
        <w:t xml:space="preserve"> ahora recurrente, esto es así, debido a que mediante diversos proveídos se advierte las actuaciones siguientes:</w:t>
      </w:r>
    </w:p>
    <w:p w:rsidR="003E50D3" w:rsidRPr="00D60745" w:rsidRDefault="00634208" w:rsidP="003E50D3">
      <w:pPr>
        <w:spacing w:line="360" w:lineRule="auto"/>
        <w:ind w:left="567"/>
        <w:jc w:val="both"/>
        <w:rPr>
          <w:rFonts w:ascii="Arial" w:hAnsi="Arial" w:cs="Arial"/>
          <w:sz w:val="26"/>
          <w:szCs w:val="26"/>
        </w:rPr>
      </w:pPr>
      <w:r w:rsidRPr="00D60745">
        <w:rPr>
          <w:rFonts w:ascii="Arial" w:eastAsia="Calibri" w:hAnsi="Arial" w:cs="Arial"/>
          <w:b/>
          <w:bCs/>
          <w:color w:val="000000" w:themeColor="text1"/>
          <w:sz w:val="26"/>
          <w:szCs w:val="26"/>
          <w:lang w:val="es-MX"/>
        </w:rPr>
        <w:t xml:space="preserve">1.- </w:t>
      </w:r>
      <w:r w:rsidR="00620173" w:rsidRPr="00D60745">
        <w:rPr>
          <w:rFonts w:ascii="Arial" w:hAnsi="Arial" w:cs="Arial"/>
          <w:spacing w:val="-3"/>
          <w:sz w:val="26"/>
          <w:szCs w:val="26"/>
          <w:lang w:val="es-ES_tradnl"/>
        </w:rPr>
        <w:t xml:space="preserve">El </w:t>
      </w:r>
      <w:r w:rsidR="00620173" w:rsidRPr="00D60745">
        <w:rPr>
          <w:rFonts w:ascii="Arial" w:hAnsi="Arial" w:cs="Arial"/>
          <w:sz w:val="26"/>
          <w:szCs w:val="26"/>
          <w:lang w:val="es-MX"/>
        </w:rPr>
        <w:t xml:space="preserve">escrito de demanda recibido el </w:t>
      </w:r>
      <w:r w:rsidR="003E50D3" w:rsidRPr="00D60745">
        <w:rPr>
          <w:rFonts w:ascii="Arial" w:hAnsi="Arial" w:cs="Arial"/>
          <w:sz w:val="26"/>
          <w:szCs w:val="26"/>
          <w:lang w:val="es-MX"/>
        </w:rPr>
        <w:t xml:space="preserve"> diecisiete </w:t>
      </w:r>
      <w:r w:rsidR="00620173" w:rsidRPr="00D60745">
        <w:rPr>
          <w:rFonts w:ascii="Arial" w:hAnsi="Arial" w:cs="Arial"/>
          <w:sz w:val="26"/>
          <w:szCs w:val="26"/>
          <w:lang w:val="es-MX"/>
        </w:rPr>
        <w:t>de noviembre de dos mil diecisiete e</w:t>
      </w:r>
      <w:r w:rsidR="00620173" w:rsidRPr="00D60745">
        <w:rPr>
          <w:rFonts w:ascii="Arial" w:hAnsi="Arial" w:cs="Arial"/>
          <w:sz w:val="26"/>
          <w:szCs w:val="26"/>
        </w:rPr>
        <w:t>n la Oficialía de Partes Común de este Tribunal</w:t>
      </w:r>
      <w:r w:rsidR="00620173" w:rsidRPr="00D60745">
        <w:rPr>
          <w:rFonts w:ascii="Arial" w:hAnsi="Arial" w:cs="Arial"/>
          <w:sz w:val="26"/>
          <w:szCs w:val="26"/>
          <w:lang w:val="es-MX"/>
        </w:rPr>
        <w:t>,</w:t>
      </w:r>
      <w:r w:rsidR="00620173" w:rsidRPr="00D60745">
        <w:rPr>
          <w:rFonts w:ascii="Arial" w:hAnsi="Arial" w:cs="Arial"/>
          <w:sz w:val="26"/>
          <w:szCs w:val="26"/>
        </w:rPr>
        <w:t xml:space="preserve"> presentado por </w:t>
      </w:r>
      <w:r w:rsidR="001A66BE">
        <w:rPr>
          <w:rFonts w:ascii="Arial" w:hAnsi="Arial" w:cs="Arial"/>
          <w:sz w:val="26"/>
          <w:szCs w:val="26"/>
        </w:rPr>
        <w:t>**********</w:t>
      </w:r>
      <w:r w:rsidR="003E50D3" w:rsidRPr="00D60745">
        <w:rPr>
          <w:rFonts w:ascii="Arial" w:hAnsi="Arial" w:cs="Arial"/>
          <w:sz w:val="26"/>
          <w:szCs w:val="26"/>
        </w:rPr>
        <w:t xml:space="preserve">quedando radicada  en  la Segunda Sala de Primera Instancia, bajo el número de expediente 139/2017.  </w:t>
      </w:r>
    </w:p>
    <w:p w:rsidR="003E50D3" w:rsidRPr="00D60745" w:rsidRDefault="003E50D3" w:rsidP="003E50D3">
      <w:pPr>
        <w:spacing w:line="360" w:lineRule="auto"/>
        <w:ind w:left="567"/>
        <w:jc w:val="both"/>
        <w:rPr>
          <w:rFonts w:ascii="Arial" w:hAnsi="Arial" w:cs="Arial"/>
          <w:sz w:val="26"/>
          <w:szCs w:val="26"/>
        </w:rPr>
      </w:pPr>
      <w:r w:rsidRPr="00D60745">
        <w:rPr>
          <w:rFonts w:ascii="Arial" w:hAnsi="Arial" w:cs="Arial"/>
          <w:sz w:val="26"/>
          <w:szCs w:val="26"/>
        </w:rPr>
        <w:t>2.- La actora indicó como acto impugnado “</w:t>
      </w:r>
      <w:r w:rsidRPr="00D60745">
        <w:rPr>
          <w:rFonts w:ascii="Arial" w:eastAsia="Times New Roman" w:hAnsi="Arial" w:cs="Arial"/>
          <w:bCs/>
          <w:iCs/>
          <w:sz w:val="26"/>
          <w:szCs w:val="26"/>
          <w:lang w:eastAsia="es-ES"/>
        </w:rPr>
        <w:t>la nulidad del mandamiento de ejecución de 07 siete de agosto de 2017 dos mil diecisiete, emitido por la Titular de la Coordinación de Cobro Coactivo de  la Dirección de Ingresos y Recaudación de la Secretaria de Finanzas del Gobierno del Estado y el Acta de requerimiento de pago y embargo de 4 cuatro de octubre  de 2017 dos mil diecisiete, diligenciado por el Ejecutor-Notificador adscrito a la Coordinación de Cobro Coactivo de la Dirección de Ingresos y Recaudación de la Secretaria de Finanzas del Gobierno del Estado”</w:t>
      </w:r>
      <w:r w:rsidRPr="00D60745">
        <w:rPr>
          <w:rFonts w:ascii="Arial" w:hAnsi="Arial" w:cs="Arial"/>
          <w:i/>
          <w:sz w:val="26"/>
          <w:szCs w:val="26"/>
        </w:rPr>
        <w:t xml:space="preserve">, </w:t>
      </w:r>
      <w:r w:rsidRPr="00D60745">
        <w:rPr>
          <w:rFonts w:ascii="Arial" w:hAnsi="Arial" w:cs="Arial"/>
          <w:sz w:val="26"/>
          <w:szCs w:val="26"/>
        </w:rPr>
        <w:t xml:space="preserve">señalando como autoridades demandadas a la </w:t>
      </w:r>
      <w:r w:rsidRPr="00D60745">
        <w:rPr>
          <w:rFonts w:ascii="Arial" w:hAnsi="Arial" w:cs="Arial"/>
          <w:i/>
          <w:sz w:val="26"/>
          <w:szCs w:val="26"/>
        </w:rPr>
        <w:t>“</w:t>
      </w:r>
      <w:r w:rsidRPr="00D60745">
        <w:rPr>
          <w:rFonts w:ascii="Arial" w:eastAsia="Times New Roman" w:hAnsi="Arial" w:cs="Arial"/>
          <w:bCs/>
          <w:iCs/>
          <w:sz w:val="26"/>
          <w:szCs w:val="26"/>
          <w:lang w:eastAsia="es-ES"/>
        </w:rPr>
        <w:t>Coordinadora y a la Verificadora, Notificadora y Ejecutora adscrita  a  la Coordinación de Cobro Coactivo,  ambas  adscritas a la Dirección de Ingresos y Recaudación de la Secretaría de Finanzas del Poder Ejecutivo del Estado de Oaxaca</w:t>
      </w:r>
      <w:r w:rsidRPr="00D60745">
        <w:rPr>
          <w:rFonts w:ascii="Arial" w:hAnsi="Arial" w:cs="Arial"/>
          <w:i/>
          <w:sz w:val="26"/>
          <w:szCs w:val="26"/>
        </w:rPr>
        <w:t>”.</w:t>
      </w:r>
      <w:r w:rsidRPr="00D60745">
        <w:rPr>
          <w:rFonts w:ascii="Arial" w:hAnsi="Arial" w:cs="Arial"/>
          <w:sz w:val="26"/>
          <w:szCs w:val="26"/>
        </w:rPr>
        <w:t xml:space="preserve"> </w:t>
      </w:r>
    </w:p>
    <w:p w:rsidR="003E50D3" w:rsidRPr="00D60745" w:rsidRDefault="003E50D3" w:rsidP="003E50D3">
      <w:pPr>
        <w:spacing w:line="360" w:lineRule="auto"/>
        <w:ind w:left="567"/>
        <w:jc w:val="both"/>
        <w:rPr>
          <w:rFonts w:ascii="Arial" w:eastAsia="Calibri" w:hAnsi="Arial" w:cs="Arial"/>
          <w:bCs/>
          <w:sz w:val="26"/>
          <w:szCs w:val="26"/>
          <w:lang w:val="es-MX"/>
        </w:rPr>
      </w:pPr>
      <w:r w:rsidRPr="00D60745">
        <w:rPr>
          <w:rFonts w:ascii="Arial" w:hAnsi="Arial" w:cs="Arial"/>
          <w:sz w:val="26"/>
          <w:szCs w:val="26"/>
        </w:rPr>
        <w:t xml:space="preserve">3.- El acuerdo dictado el veintitrés de noviembre de dos mil diecisiete, la Magistrada de la Segunda Sala de Primera Instancia, determinó en la parte relativa: </w:t>
      </w:r>
    </w:p>
    <w:p w:rsidR="003E50D3" w:rsidRPr="00904FBE" w:rsidRDefault="003E50D3" w:rsidP="003E50D3">
      <w:pPr>
        <w:pStyle w:val="Prrafodelista"/>
        <w:spacing w:line="360" w:lineRule="auto"/>
        <w:ind w:left="1701"/>
        <w:jc w:val="both"/>
        <w:rPr>
          <w:rFonts w:ascii="Arial" w:eastAsia="Calibri" w:hAnsi="Arial" w:cs="Arial"/>
          <w:bCs/>
          <w:sz w:val="24"/>
          <w:szCs w:val="24"/>
          <w:lang w:val="es-MX"/>
        </w:rPr>
      </w:pPr>
      <w:r w:rsidRPr="00904FBE">
        <w:rPr>
          <w:rFonts w:ascii="Arial" w:hAnsi="Arial" w:cs="Arial"/>
          <w:sz w:val="24"/>
          <w:szCs w:val="24"/>
        </w:rPr>
        <w:t>“Por lo que respecta al acto impugnado consistente en resolución  de 20 veinte de agosto del año 2013 dos mil trece, emitida por la Dirección de la Contraloría Interna del Honorable Tribunal de Justicia del Estado, dado que la misma no es de naturaleza administrativa por emanar de un órgano dependiente del Poder Judicial, en consecuencia, en términos de lo dispuesto  por el artículo 95 fracción II, 96 fracción I a la XII y 152 fracción I de la Ley de Justicia Administrativa para el Estado de Oaxaca,  se desecha la demanda planteada en contra del Titular de la Dirección de Contraloría Interna del Honorable Tribunal superior de Justicia, por motivo manifiesto e indudable de improcedencia.”</w:t>
      </w:r>
    </w:p>
    <w:p w:rsidR="003E50D3" w:rsidRPr="00D60745" w:rsidRDefault="00EA3C9C" w:rsidP="00AA3C93">
      <w:pPr>
        <w:spacing w:before="240" w:line="360" w:lineRule="auto"/>
        <w:jc w:val="both"/>
        <w:rPr>
          <w:rFonts w:ascii="Arial" w:hAnsi="Arial" w:cs="Arial"/>
          <w:sz w:val="26"/>
          <w:szCs w:val="26"/>
        </w:rPr>
      </w:pPr>
      <w:r w:rsidRPr="00904FBE">
        <w:rPr>
          <w:rFonts w:ascii="Arial" w:hAnsi="Arial" w:cs="Arial"/>
          <w:sz w:val="24"/>
          <w:szCs w:val="24"/>
        </w:rPr>
        <w:tab/>
      </w:r>
      <w:r w:rsidR="00616F53" w:rsidRPr="00D60745">
        <w:rPr>
          <w:rFonts w:ascii="Arial" w:hAnsi="Arial" w:cs="Arial"/>
          <w:sz w:val="26"/>
          <w:szCs w:val="26"/>
        </w:rPr>
        <w:t xml:space="preserve">En virtud </w:t>
      </w:r>
      <w:r w:rsidR="00D1598E" w:rsidRPr="00D60745">
        <w:rPr>
          <w:rFonts w:ascii="Arial" w:hAnsi="Arial" w:cs="Arial"/>
          <w:sz w:val="26"/>
          <w:szCs w:val="26"/>
        </w:rPr>
        <w:t>de que la Sala Unitaria</w:t>
      </w:r>
      <w:r w:rsidR="00C836D2" w:rsidRPr="00D60745">
        <w:rPr>
          <w:rFonts w:ascii="Arial" w:hAnsi="Arial" w:cs="Arial"/>
          <w:sz w:val="26"/>
          <w:szCs w:val="26"/>
        </w:rPr>
        <w:t xml:space="preserve"> admitió y tramitó</w:t>
      </w:r>
      <w:r w:rsidR="009D6AA4" w:rsidRPr="00D60745">
        <w:rPr>
          <w:rFonts w:ascii="Arial" w:hAnsi="Arial" w:cs="Arial"/>
          <w:sz w:val="26"/>
          <w:szCs w:val="26"/>
        </w:rPr>
        <w:t xml:space="preserve"> el juicio de nulidad</w:t>
      </w:r>
      <w:r w:rsidR="00D1598E" w:rsidRPr="00D60745">
        <w:rPr>
          <w:rFonts w:ascii="Arial" w:hAnsi="Arial" w:cs="Arial"/>
          <w:sz w:val="26"/>
          <w:szCs w:val="26"/>
        </w:rPr>
        <w:t xml:space="preserve"> </w:t>
      </w:r>
      <w:r w:rsidR="00C836D2" w:rsidRPr="00D60745">
        <w:rPr>
          <w:rFonts w:ascii="Arial" w:hAnsi="Arial" w:cs="Arial"/>
          <w:sz w:val="26"/>
          <w:szCs w:val="26"/>
        </w:rPr>
        <w:t xml:space="preserve">con </w:t>
      </w:r>
      <w:r w:rsidR="005B3428" w:rsidRPr="00D60745">
        <w:rPr>
          <w:rFonts w:ascii="Arial" w:hAnsi="Arial" w:cs="Arial"/>
          <w:sz w:val="26"/>
          <w:szCs w:val="26"/>
        </w:rPr>
        <w:t>la Ley de Justicia Administrativa para el E</w:t>
      </w:r>
      <w:r w:rsidR="00616F53" w:rsidRPr="00D60745">
        <w:rPr>
          <w:rFonts w:ascii="Arial" w:hAnsi="Arial" w:cs="Arial"/>
          <w:sz w:val="26"/>
          <w:szCs w:val="26"/>
        </w:rPr>
        <w:t>stado de Oaxaca,</w:t>
      </w:r>
      <w:r w:rsidR="00823AD6" w:rsidRPr="00D60745">
        <w:rPr>
          <w:rFonts w:ascii="Arial" w:hAnsi="Arial" w:cs="Arial"/>
          <w:sz w:val="26"/>
          <w:szCs w:val="26"/>
        </w:rPr>
        <w:t xml:space="preserve"> </w:t>
      </w:r>
      <w:r w:rsidR="003E50D3" w:rsidRPr="00D60745">
        <w:rPr>
          <w:rFonts w:ascii="Arial" w:eastAsia="Calibri" w:hAnsi="Arial" w:cs="Arial"/>
          <w:bCs/>
          <w:color w:val="000000" w:themeColor="text1"/>
          <w:sz w:val="26"/>
          <w:szCs w:val="26"/>
          <w:lang w:val="es-MX"/>
        </w:rPr>
        <w:t>la Sala Unitaria  en su acuerdo inicial de fecha veintitrés de noviembre de dos mil diecisiete admitió la demanda que dio origen al presente juicio, fundándose en lo</w:t>
      </w:r>
      <w:r w:rsidR="00896365" w:rsidRPr="00D60745">
        <w:rPr>
          <w:rFonts w:ascii="Arial" w:eastAsia="Calibri" w:hAnsi="Arial" w:cs="Arial"/>
          <w:bCs/>
          <w:color w:val="000000" w:themeColor="text1"/>
          <w:sz w:val="26"/>
          <w:szCs w:val="26"/>
          <w:lang w:val="es-MX"/>
        </w:rPr>
        <w:t xml:space="preserve">s artículos;  81, </w:t>
      </w:r>
      <w:r w:rsidR="003E50D3" w:rsidRPr="00D60745">
        <w:rPr>
          <w:rFonts w:ascii="Arial" w:eastAsia="Calibri" w:hAnsi="Arial" w:cs="Arial"/>
          <w:bCs/>
          <w:color w:val="000000" w:themeColor="text1"/>
          <w:sz w:val="26"/>
          <w:szCs w:val="26"/>
          <w:lang w:val="es-MX"/>
        </w:rPr>
        <w:t xml:space="preserve">82 fracción I,  83, </w:t>
      </w:r>
      <w:r w:rsidR="00896365" w:rsidRPr="00D60745">
        <w:rPr>
          <w:rFonts w:ascii="Arial" w:eastAsia="Calibri" w:hAnsi="Arial" w:cs="Arial"/>
          <w:bCs/>
          <w:color w:val="000000" w:themeColor="text1"/>
          <w:sz w:val="26"/>
          <w:szCs w:val="26"/>
          <w:lang w:val="es-MX"/>
        </w:rPr>
        <w:t xml:space="preserve">84, </w:t>
      </w:r>
      <w:r w:rsidR="003E50D3" w:rsidRPr="00D60745">
        <w:rPr>
          <w:rFonts w:ascii="Arial" w:eastAsia="Calibri" w:hAnsi="Arial" w:cs="Arial"/>
          <w:bCs/>
          <w:color w:val="000000" w:themeColor="text1"/>
          <w:sz w:val="26"/>
          <w:szCs w:val="26"/>
          <w:lang w:val="es-MX"/>
        </w:rPr>
        <w:t xml:space="preserve"> 85, </w:t>
      </w:r>
      <w:r w:rsidR="00896365" w:rsidRPr="00D60745">
        <w:rPr>
          <w:rFonts w:ascii="Arial" w:eastAsia="Calibri" w:hAnsi="Arial" w:cs="Arial"/>
          <w:bCs/>
          <w:color w:val="000000" w:themeColor="text1"/>
          <w:sz w:val="26"/>
          <w:szCs w:val="26"/>
          <w:lang w:val="es-MX"/>
        </w:rPr>
        <w:t>96</w:t>
      </w:r>
      <w:r w:rsidR="003E50D3" w:rsidRPr="00D60745">
        <w:rPr>
          <w:rFonts w:ascii="Arial" w:eastAsia="Calibri" w:hAnsi="Arial" w:cs="Arial"/>
          <w:bCs/>
          <w:color w:val="000000" w:themeColor="text1"/>
          <w:sz w:val="26"/>
          <w:szCs w:val="26"/>
          <w:lang w:val="es-MX"/>
        </w:rPr>
        <w:t xml:space="preserve"> fracción </w:t>
      </w:r>
      <w:r w:rsidR="00896365" w:rsidRPr="00D60745">
        <w:rPr>
          <w:rFonts w:ascii="Arial" w:eastAsia="Calibri" w:hAnsi="Arial" w:cs="Arial"/>
          <w:bCs/>
          <w:color w:val="000000" w:themeColor="text1"/>
          <w:sz w:val="26"/>
          <w:szCs w:val="26"/>
          <w:lang w:val="es-MX"/>
        </w:rPr>
        <w:t>I</w:t>
      </w:r>
      <w:r w:rsidR="003E50D3" w:rsidRPr="00D60745">
        <w:rPr>
          <w:rFonts w:ascii="Arial" w:eastAsia="Calibri" w:hAnsi="Arial" w:cs="Arial"/>
          <w:bCs/>
          <w:color w:val="000000" w:themeColor="text1"/>
          <w:sz w:val="26"/>
          <w:szCs w:val="26"/>
          <w:lang w:val="es-MX"/>
        </w:rPr>
        <w:t xml:space="preserve">I, </w:t>
      </w:r>
      <w:r w:rsidR="00896365" w:rsidRPr="00D60745">
        <w:rPr>
          <w:rFonts w:ascii="Arial" w:eastAsia="Calibri" w:hAnsi="Arial" w:cs="Arial"/>
          <w:bCs/>
          <w:color w:val="000000" w:themeColor="text1"/>
          <w:sz w:val="26"/>
          <w:szCs w:val="26"/>
          <w:lang w:val="es-MX"/>
        </w:rPr>
        <w:t xml:space="preserve">114, 115, </w:t>
      </w:r>
      <w:r w:rsidR="003E50D3" w:rsidRPr="00D60745">
        <w:rPr>
          <w:rFonts w:ascii="Arial" w:eastAsia="Calibri" w:hAnsi="Arial" w:cs="Arial"/>
          <w:bCs/>
          <w:color w:val="000000" w:themeColor="text1"/>
          <w:sz w:val="26"/>
          <w:szCs w:val="26"/>
          <w:lang w:val="es-MX"/>
        </w:rPr>
        <w:t xml:space="preserve">116, </w:t>
      </w:r>
      <w:r w:rsidR="00896365" w:rsidRPr="00D60745">
        <w:rPr>
          <w:rFonts w:ascii="Arial" w:eastAsia="Calibri" w:hAnsi="Arial" w:cs="Arial"/>
          <w:bCs/>
          <w:color w:val="000000" w:themeColor="text1"/>
          <w:sz w:val="26"/>
          <w:szCs w:val="26"/>
          <w:lang w:val="es-MX"/>
        </w:rPr>
        <w:t xml:space="preserve">117, 118, 119, 126, 133, 134, 136, primer párrafo, </w:t>
      </w:r>
      <w:r w:rsidR="003E50D3" w:rsidRPr="00D60745">
        <w:rPr>
          <w:rFonts w:ascii="Arial" w:eastAsia="Calibri" w:hAnsi="Arial" w:cs="Arial"/>
          <w:bCs/>
          <w:color w:val="000000" w:themeColor="text1"/>
          <w:sz w:val="26"/>
          <w:szCs w:val="26"/>
          <w:lang w:val="es-MX"/>
        </w:rPr>
        <w:t xml:space="preserve"> 146, 147, </w:t>
      </w:r>
      <w:r w:rsidR="00896365" w:rsidRPr="00D60745">
        <w:rPr>
          <w:rFonts w:ascii="Arial" w:eastAsia="Calibri" w:hAnsi="Arial" w:cs="Arial"/>
          <w:bCs/>
          <w:color w:val="000000" w:themeColor="text1"/>
          <w:sz w:val="26"/>
          <w:szCs w:val="26"/>
          <w:lang w:val="es-MX"/>
        </w:rPr>
        <w:t xml:space="preserve"> 148 </w:t>
      </w:r>
      <w:r w:rsidR="003E50D3" w:rsidRPr="00D60745">
        <w:rPr>
          <w:rFonts w:ascii="Arial" w:eastAsia="Calibri" w:hAnsi="Arial" w:cs="Arial"/>
          <w:bCs/>
          <w:color w:val="000000" w:themeColor="text1"/>
          <w:sz w:val="26"/>
          <w:szCs w:val="26"/>
          <w:lang w:val="es-MX"/>
        </w:rPr>
        <w:t>de la Ley de Justicia Administrativa para el Estado de Oaxaca</w:t>
      </w:r>
      <w:r w:rsidR="003E50D3" w:rsidRPr="00D60745">
        <w:rPr>
          <w:rFonts w:ascii="Arial" w:eastAsia="Calibri" w:hAnsi="Arial" w:cs="Arial"/>
          <w:b/>
          <w:bCs/>
          <w:color w:val="000000" w:themeColor="text1"/>
          <w:sz w:val="26"/>
          <w:szCs w:val="26"/>
          <w:lang w:val="es-MX"/>
        </w:rPr>
        <w:t xml:space="preserve">, </w:t>
      </w:r>
      <w:r w:rsidR="003E50D3" w:rsidRPr="00D60745">
        <w:rPr>
          <w:rFonts w:ascii="Arial" w:eastAsia="Calibri" w:hAnsi="Arial" w:cs="Arial"/>
          <w:bCs/>
          <w:color w:val="000000" w:themeColor="text1"/>
          <w:sz w:val="26"/>
          <w:szCs w:val="26"/>
          <w:lang w:val="es-MX"/>
        </w:rPr>
        <w:t xml:space="preserve">inclusive  </w:t>
      </w:r>
      <w:r w:rsidR="00896365" w:rsidRPr="00D60745">
        <w:rPr>
          <w:rFonts w:ascii="Arial" w:eastAsia="Calibri" w:hAnsi="Arial" w:cs="Arial"/>
          <w:bCs/>
          <w:color w:val="000000" w:themeColor="text1"/>
          <w:sz w:val="26"/>
          <w:szCs w:val="26"/>
          <w:lang w:val="es-MX"/>
        </w:rPr>
        <w:t xml:space="preserve"> se ordenó emplazar  y correr traslado  a las codemandadas en términos de los artículos 153 primero, segundo y tercer párrafo y </w:t>
      </w:r>
      <w:r w:rsidR="003E50D3" w:rsidRPr="00D60745">
        <w:rPr>
          <w:rFonts w:ascii="Arial" w:eastAsia="Calibri" w:hAnsi="Arial" w:cs="Arial"/>
          <w:bCs/>
          <w:color w:val="000000" w:themeColor="text1"/>
          <w:sz w:val="26"/>
          <w:szCs w:val="26"/>
          <w:lang w:val="es-MX"/>
        </w:rPr>
        <w:t>154 de la propia Ley de Justicia Administrativa para el Estado de Oaxaca</w:t>
      </w:r>
      <w:r w:rsidR="003E50D3" w:rsidRPr="00D60745">
        <w:rPr>
          <w:rFonts w:ascii="Arial" w:eastAsia="Calibri" w:hAnsi="Arial" w:cs="Arial"/>
          <w:b/>
          <w:bCs/>
          <w:color w:val="000000" w:themeColor="text1"/>
          <w:sz w:val="26"/>
          <w:szCs w:val="26"/>
          <w:lang w:val="es-MX"/>
        </w:rPr>
        <w:t>,</w:t>
      </w:r>
      <w:r w:rsidR="003E50D3" w:rsidRPr="00D60745">
        <w:rPr>
          <w:rFonts w:ascii="Arial" w:eastAsia="Calibri" w:hAnsi="Arial" w:cs="Arial"/>
          <w:bCs/>
          <w:color w:val="000000" w:themeColor="text1"/>
          <w:sz w:val="26"/>
          <w:szCs w:val="26"/>
          <w:lang w:val="es-MX"/>
        </w:rPr>
        <w:t xml:space="preserve"> </w:t>
      </w:r>
      <w:r w:rsidR="00896365" w:rsidRPr="00D60745">
        <w:rPr>
          <w:rFonts w:ascii="Arial" w:eastAsia="Calibri" w:hAnsi="Arial" w:cs="Arial"/>
          <w:bCs/>
          <w:color w:val="000000" w:themeColor="text1"/>
          <w:sz w:val="26"/>
          <w:szCs w:val="26"/>
          <w:lang w:val="es-MX"/>
        </w:rPr>
        <w:t xml:space="preserve"> y también se les apercibió en términos del artículo 155 de la ley citada, </w:t>
      </w:r>
      <w:r w:rsidR="003E50D3" w:rsidRPr="00D60745">
        <w:rPr>
          <w:rFonts w:ascii="Arial" w:eastAsia="Calibri" w:hAnsi="Arial" w:cs="Arial"/>
          <w:bCs/>
          <w:color w:val="000000" w:themeColor="text1"/>
          <w:sz w:val="26"/>
          <w:szCs w:val="26"/>
          <w:lang w:val="es-MX"/>
        </w:rPr>
        <w:t xml:space="preserve">misma que a partir del 21 de octubre de 2017, ya se encontraba </w:t>
      </w:r>
      <w:r w:rsidR="003E50D3" w:rsidRPr="00D60745">
        <w:rPr>
          <w:rFonts w:ascii="Arial" w:eastAsia="Calibri" w:hAnsi="Arial" w:cs="Arial"/>
          <w:b/>
          <w:bCs/>
          <w:color w:val="000000" w:themeColor="text1"/>
          <w:sz w:val="26"/>
          <w:szCs w:val="26"/>
          <w:lang w:val="es-MX"/>
        </w:rPr>
        <w:t>abrogada para todos los efectos legales,</w:t>
      </w:r>
      <w:r w:rsidR="003E50D3" w:rsidRPr="00D60745">
        <w:rPr>
          <w:rFonts w:ascii="Arial" w:eastAsia="Calibri" w:hAnsi="Arial" w:cs="Arial"/>
          <w:bCs/>
          <w:color w:val="000000" w:themeColor="text1"/>
          <w:sz w:val="26"/>
          <w:szCs w:val="26"/>
          <w:lang w:val="es-MX"/>
        </w:rPr>
        <w:t xml:space="preserve"> puesto que en esa fecha ya habían entrado en vigor la actual Ley de Procedimiento y Justicia Administrativa para el Estado de Oaxaca</w:t>
      </w:r>
      <w:r w:rsidR="003E50D3" w:rsidRPr="00D60745">
        <w:rPr>
          <w:rFonts w:ascii="Arial" w:eastAsia="Calibri" w:hAnsi="Arial" w:cs="Arial"/>
          <w:b/>
          <w:bCs/>
          <w:color w:val="000000" w:themeColor="text1"/>
          <w:sz w:val="26"/>
          <w:szCs w:val="26"/>
          <w:lang w:val="es-MX"/>
        </w:rPr>
        <w:t xml:space="preserve">, </w:t>
      </w:r>
      <w:r w:rsidR="003E50D3" w:rsidRPr="00D60745">
        <w:rPr>
          <w:rFonts w:ascii="Arial" w:eastAsia="Calibri" w:hAnsi="Arial" w:cs="Arial"/>
          <w:bCs/>
          <w:color w:val="000000" w:themeColor="text1"/>
          <w:sz w:val="26"/>
          <w:szCs w:val="26"/>
          <w:lang w:val="es-MX"/>
        </w:rPr>
        <w:t xml:space="preserve">que en su artículo </w:t>
      </w:r>
      <w:r w:rsidR="003E50D3" w:rsidRPr="00D60745">
        <w:rPr>
          <w:rFonts w:ascii="Arial" w:eastAsia="Calibri" w:hAnsi="Arial" w:cs="Arial"/>
          <w:b/>
          <w:bCs/>
          <w:color w:val="000000" w:themeColor="text1"/>
          <w:sz w:val="26"/>
          <w:szCs w:val="26"/>
          <w:lang w:val="es-MX"/>
        </w:rPr>
        <w:t>TRANSITORIO TERCERO</w:t>
      </w:r>
      <w:r w:rsidR="003E50D3" w:rsidRPr="00D60745">
        <w:rPr>
          <w:rFonts w:ascii="Arial" w:eastAsia="Calibri" w:hAnsi="Arial" w:cs="Arial"/>
          <w:bCs/>
          <w:color w:val="000000" w:themeColor="text1"/>
          <w:sz w:val="26"/>
          <w:szCs w:val="26"/>
          <w:lang w:val="es-MX"/>
        </w:rPr>
        <w:t>,  determinó “</w:t>
      </w:r>
      <w:r w:rsidR="003E50D3" w:rsidRPr="00D60745">
        <w:rPr>
          <w:rFonts w:ascii="Arial" w:eastAsia="Calibri" w:hAnsi="Arial" w:cs="Arial"/>
          <w:b/>
          <w:bCs/>
          <w:color w:val="000000" w:themeColor="text1"/>
          <w:sz w:val="26"/>
          <w:szCs w:val="26"/>
          <w:lang w:val="es-MX"/>
        </w:rPr>
        <w:t>abrogar la Ley de Justicia Administrativa para el Estado de Oaxaca aprobada mediante el DECRETO No 197, de la QUINCUAGESIMA NOVENA LEGISLATURA CONSTITUCIONAL DEL ESTADO LIBRE Y SOBERANO DE OAXACA, publicada en el Periódico Oficial del Gobierno Constitucional del Estado Libre y Soberano de Oaxaca, el treinta y uno de diciembre de dos mil cinco”</w:t>
      </w:r>
      <w:r w:rsidR="00896365" w:rsidRPr="00D60745">
        <w:rPr>
          <w:rFonts w:ascii="Arial" w:eastAsia="Calibri" w:hAnsi="Arial" w:cs="Arial"/>
          <w:bCs/>
          <w:color w:val="000000" w:themeColor="text1"/>
          <w:sz w:val="26"/>
          <w:szCs w:val="26"/>
          <w:lang w:val="es-MX"/>
        </w:rPr>
        <w:t>.</w:t>
      </w:r>
      <w:r w:rsidR="003E50D3" w:rsidRPr="00D60745">
        <w:rPr>
          <w:rFonts w:ascii="Arial" w:eastAsia="Calibri" w:hAnsi="Arial" w:cs="Arial"/>
          <w:bCs/>
          <w:color w:val="000000" w:themeColor="text1"/>
          <w:sz w:val="26"/>
          <w:szCs w:val="26"/>
          <w:lang w:val="es-MX"/>
        </w:rPr>
        <w:t xml:space="preserve"> </w:t>
      </w:r>
    </w:p>
    <w:p w:rsidR="00E13DD0" w:rsidRPr="00D60745" w:rsidRDefault="00E13DD0" w:rsidP="00D60745">
      <w:pPr>
        <w:spacing w:before="240" w:line="360" w:lineRule="auto"/>
        <w:ind w:firstLine="708"/>
        <w:jc w:val="both"/>
        <w:rPr>
          <w:rFonts w:ascii="Arial" w:hAnsi="Arial" w:cs="Arial"/>
          <w:sz w:val="26"/>
          <w:szCs w:val="26"/>
        </w:rPr>
      </w:pPr>
      <w:r w:rsidRPr="00D60745">
        <w:rPr>
          <w:rFonts w:ascii="Arial" w:eastAsia="Calibri" w:hAnsi="Arial" w:cs="Arial"/>
          <w:bCs/>
          <w:color w:val="000000" w:themeColor="text1"/>
          <w:sz w:val="26"/>
          <w:szCs w:val="26"/>
          <w:lang w:val="es-MX"/>
        </w:rPr>
        <w:t>Por tanto,  la ley citada en el auto de</w:t>
      </w:r>
      <w:r w:rsidR="00BF0A06" w:rsidRPr="00D60745">
        <w:rPr>
          <w:rFonts w:ascii="Arial" w:eastAsia="Calibri" w:hAnsi="Arial" w:cs="Arial"/>
          <w:bCs/>
          <w:color w:val="000000" w:themeColor="text1"/>
          <w:sz w:val="26"/>
          <w:szCs w:val="26"/>
          <w:lang w:val="es-MX"/>
        </w:rPr>
        <w:t xml:space="preserve"> admisión de </w:t>
      </w:r>
      <w:r w:rsidRPr="00D60745">
        <w:rPr>
          <w:rFonts w:ascii="Arial" w:eastAsia="Calibri" w:hAnsi="Arial" w:cs="Arial"/>
          <w:bCs/>
          <w:color w:val="000000" w:themeColor="text1"/>
          <w:sz w:val="26"/>
          <w:szCs w:val="26"/>
          <w:lang w:val="es-MX"/>
        </w:rPr>
        <w:t xml:space="preserve"> veintitrés de noviembre de dos mil diecisiete </w:t>
      </w:r>
      <w:r w:rsidRPr="00D60745">
        <w:rPr>
          <w:rFonts w:ascii="Arial" w:hAnsi="Arial" w:cs="Arial"/>
          <w:sz w:val="26"/>
          <w:szCs w:val="26"/>
        </w:rPr>
        <w:t>ya estaba abrogada, tal como  se cor</w:t>
      </w:r>
      <w:r w:rsidR="00D60745" w:rsidRPr="00D60745">
        <w:rPr>
          <w:rFonts w:ascii="Arial" w:hAnsi="Arial" w:cs="Arial"/>
          <w:sz w:val="26"/>
          <w:szCs w:val="26"/>
        </w:rPr>
        <w:t xml:space="preserve">robora en la página de internet </w:t>
      </w:r>
      <w:hyperlink r:id="rId8" w:history="1">
        <w:r w:rsidRPr="00D60745">
          <w:rPr>
            <w:rStyle w:val="Hipervnculo"/>
            <w:rFonts w:ascii="Arial" w:hAnsi="Arial" w:cs="Arial"/>
            <w:sz w:val="26"/>
            <w:szCs w:val="26"/>
          </w:rPr>
          <w:t>http://www.periodicooficial.oaxaca.gob.mx/files/2017/10/EXT-DEC702-2017-10-20.pdf</w:t>
        </w:r>
      </w:hyperlink>
      <w:r w:rsidRPr="00D60745">
        <w:rPr>
          <w:rFonts w:ascii="Arial" w:hAnsi="Arial" w:cs="Arial"/>
          <w:sz w:val="26"/>
          <w:szCs w:val="26"/>
        </w:rPr>
        <w:t xml:space="preserve">, en  la cual se encuentra la publicación del periódico oficial Extra del 20 de octubre del 2017, del decreto número 702 que contiene la Ley de Procedimiento y Justicia Administrativa del Estado de Oaxaca, aprobada por la LXIII Legislatura el 30 de agosto del 2017, y que entró en vigor al día siguiente de su publicación en el periódico oficial del Gobierno el Estado de Oaxaca. </w:t>
      </w:r>
    </w:p>
    <w:p w:rsidR="00F02AED" w:rsidRPr="00D60745" w:rsidRDefault="00697603" w:rsidP="00AA3C93">
      <w:pPr>
        <w:spacing w:before="240" w:line="360" w:lineRule="auto"/>
        <w:jc w:val="both"/>
        <w:rPr>
          <w:rFonts w:ascii="Arial" w:hAnsi="Arial" w:cs="Arial"/>
          <w:sz w:val="26"/>
          <w:szCs w:val="26"/>
        </w:rPr>
      </w:pPr>
      <w:r w:rsidRPr="00D60745">
        <w:rPr>
          <w:rFonts w:ascii="Arial" w:hAnsi="Arial" w:cs="Arial"/>
          <w:sz w:val="26"/>
          <w:szCs w:val="26"/>
        </w:rPr>
        <w:tab/>
      </w:r>
      <w:r w:rsidR="005E1B22" w:rsidRPr="00D60745">
        <w:rPr>
          <w:rFonts w:ascii="Arial" w:hAnsi="Arial" w:cs="Arial"/>
          <w:sz w:val="26"/>
          <w:szCs w:val="26"/>
        </w:rPr>
        <w:t>E</w:t>
      </w:r>
      <w:r w:rsidR="00A5096F" w:rsidRPr="00D60745">
        <w:rPr>
          <w:rFonts w:ascii="Arial" w:hAnsi="Arial" w:cs="Arial"/>
          <w:sz w:val="26"/>
          <w:szCs w:val="26"/>
        </w:rPr>
        <w:t xml:space="preserve">n virtud de que el </w:t>
      </w:r>
      <w:r w:rsidR="008E1E39" w:rsidRPr="00D60745">
        <w:rPr>
          <w:rFonts w:ascii="Arial" w:hAnsi="Arial" w:cs="Arial"/>
          <w:sz w:val="26"/>
          <w:szCs w:val="26"/>
          <w:lang w:val="es-MX"/>
        </w:rPr>
        <w:t xml:space="preserve">escrito de demanda </w:t>
      </w:r>
      <w:r w:rsidR="00A5096F" w:rsidRPr="00D60745">
        <w:rPr>
          <w:rFonts w:ascii="Arial" w:hAnsi="Arial" w:cs="Arial"/>
          <w:sz w:val="26"/>
          <w:szCs w:val="26"/>
          <w:lang w:val="es-MX"/>
        </w:rPr>
        <w:t xml:space="preserve">fue </w:t>
      </w:r>
      <w:r w:rsidR="008E1E39" w:rsidRPr="00D60745">
        <w:rPr>
          <w:rFonts w:ascii="Arial" w:hAnsi="Arial" w:cs="Arial"/>
          <w:sz w:val="26"/>
          <w:szCs w:val="26"/>
          <w:lang w:val="es-MX"/>
        </w:rPr>
        <w:t xml:space="preserve">recibido el </w:t>
      </w:r>
      <w:r w:rsidR="00E31CCB" w:rsidRPr="00D60745">
        <w:rPr>
          <w:rFonts w:ascii="Arial" w:hAnsi="Arial" w:cs="Arial"/>
          <w:sz w:val="26"/>
          <w:szCs w:val="26"/>
          <w:lang w:val="es-MX"/>
        </w:rPr>
        <w:t xml:space="preserve">diecisiete </w:t>
      </w:r>
      <w:r w:rsidR="008E1E39" w:rsidRPr="00D60745">
        <w:rPr>
          <w:rFonts w:ascii="Arial" w:hAnsi="Arial" w:cs="Arial"/>
          <w:sz w:val="26"/>
          <w:szCs w:val="26"/>
          <w:lang w:val="es-MX"/>
        </w:rPr>
        <w:t>de noviembre de dos mil diecisiete e</w:t>
      </w:r>
      <w:r w:rsidR="008E1E39" w:rsidRPr="00D60745">
        <w:rPr>
          <w:rFonts w:ascii="Arial" w:hAnsi="Arial" w:cs="Arial"/>
          <w:sz w:val="26"/>
          <w:szCs w:val="26"/>
        </w:rPr>
        <w:t>n la Oficialía de Partes Común de este Tribunal</w:t>
      </w:r>
      <w:r w:rsidR="008E1E39" w:rsidRPr="00D60745">
        <w:rPr>
          <w:rFonts w:ascii="Arial" w:hAnsi="Arial" w:cs="Arial"/>
          <w:sz w:val="26"/>
          <w:szCs w:val="26"/>
          <w:lang w:val="es-MX"/>
        </w:rPr>
        <w:t>,</w:t>
      </w:r>
      <w:r w:rsidRPr="00D60745">
        <w:rPr>
          <w:rFonts w:ascii="Arial" w:hAnsi="Arial" w:cs="Arial"/>
          <w:sz w:val="26"/>
          <w:szCs w:val="26"/>
        </w:rPr>
        <w:t xml:space="preserve"> </w:t>
      </w:r>
      <w:r w:rsidR="008E1E39" w:rsidRPr="00D60745">
        <w:rPr>
          <w:rFonts w:ascii="Arial" w:hAnsi="Arial" w:cs="Arial"/>
          <w:sz w:val="26"/>
          <w:szCs w:val="26"/>
        </w:rPr>
        <w:t>la Ley de</w:t>
      </w:r>
      <w:r w:rsidR="00C836D2" w:rsidRPr="00D60745">
        <w:rPr>
          <w:rFonts w:ascii="Arial" w:hAnsi="Arial" w:cs="Arial"/>
          <w:sz w:val="26"/>
          <w:szCs w:val="26"/>
        </w:rPr>
        <w:t xml:space="preserve"> Justicia administrativa para el Estado de Oaxaca, ya estaba abrogada</w:t>
      </w:r>
      <w:r w:rsidR="0030731D" w:rsidRPr="00D60745">
        <w:rPr>
          <w:rFonts w:ascii="Arial" w:hAnsi="Arial" w:cs="Arial"/>
          <w:sz w:val="26"/>
          <w:szCs w:val="26"/>
        </w:rPr>
        <w:t xml:space="preserve">, </w:t>
      </w:r>
      <w:r w:rsidR="008E1E39" w:rsidRPr="00D60745">
        <w:rPr>
          <w:rFonts w:ascii="Arial" w:hAnsi="Arial" w:cs="Arial"/>
          <w:sz w:val="26"/>
          <w:szCs w:val="26"/>
        </w:rPr>
        <w:t>tal como lo determina e</w:t>
      </w:r>
      <w:r w:rsidR="003F7035" w:rsidRPr="00D60745">
        <w:rPr>
          <w:rFonts w:ascii="Arial" w:hAnsi="Arial" w:cs="Arial"/>
          <w:sz w:val="26"/>
          <w:szCs w:val="26"/>
        </w:rPr>
        <w:t xml:space="preserve">n el artículo </w:t>
      </w:r>
      <w:r w:rsidR="00377FE1" w:rsidRPr="00D60745">
        <w:rPr>
          <w:rFonts w:ascii="Arial" w:hAnsi="Arial" w:cs="Arial"/>
          <w:b/>
          <w:sz w:val="26"/>
          <w:szCs w:val="26"/>
        </w:rPr>
        <w:t>Tercero</w:t>
      </w:r>
      <w:r w:rsidR="003F7035" w:rsidRPr="00D60745">
        <w:rPr>
          <w:rFonts w:ascii="Arial" w:hAnsi="Arial" w:cs="Arial"/>
          <w:b/>
          <w:sz w:val="26"/>
          <w:szCs w:val="26"/>
        </w:rPr>
        <w:t xml:space="preserve"> Transitorio </w:t>
      </w:r>
      <w:r w:rsidR="008E5DC8" w:rsidRPr="00D60745">
        <w:rPr>
          <w:rFonts w:ascii="Arial" w:hAnsi="Arial" w:cs="Arial"/>
          <w:b/>
          <w:sz w:val="26"/>
          <w:szCs w:val="26"/>
        </w:rPr>
        <w:t>de la Ley de Procedimiento y Justicia Administrativa del E</w:t>
      </w:r>
      <w:r w:rsidR="008E1E39" w:rsidRPr="00D60745">
        <w:rPr>
          <w:rFonts w:ascii="Arial" w:hAnsi="Arial" w:cs="Arial"/>
          <w:b/>
          <w:sz w:val="26"/>
          <w:szCs w:val="26"/>
        </w:rPr>
        <w:t>stado de Oaxaca</w:t>
      </w:r>
      <w:r w:rsidR="008E1E39" w:rsidRPr="00D60745">
        <w:rPr>
          <w:rFonts w:ascii="Arial" w:hAnsi="Arial" w:cs="Arial"/>
          <w:sz w:val="26"/>
          <w:szCs w:val="26"/>
        </w:rPr>
        <w:t xml:space="preserve">, que a la letra dice: </w:t>
      </w:r>
      <w:r w:rsidR="008E1E39" w:rsidRPr="00D60745">
        <w:rPr>
          <w:rFonts w:ascii="Arial" w:hAnsi="Arial" w:cs="Arial"/>
          <w:b/>
          <w:sz w:val="26"/>
          <w:szCs w:val="26"/>
        </w:rPr>
        <w:t>“</w:t>
      </w:r>
      <w:r w:rsidR="00EE46B7" w:rsidRPr="00D60745">
        <w:rPr>
          <w:rFonts w:ascii="Arial" w:hAnsi="Arial" w:cs="Arial"/>
          <w:b/>
          <w:sz w:val="26"/>
          <w:szCs w:val="26"/>
        </w:rPr>
        <w:t>TERCERO.- S</w:t>
      </w:r>
      <w:r w:rsidR="008E1E39" w:rsidRPr="00D60745">
        <w:rPr>
          <w:rFonts w:ascii="Arial" w:hAnsi="Arial" w:cs="Arial"/>
          <w:b/>
          <w:sz w:val="26"/>
          <w:szCs w:val="26"/>
        </w:rPr>
        <w:t>e abroga</w:t>
      </w:r>
      <w:r w:rsidR="00EE46B7" w:rsidRPr="00D60745">
        <w:rPr>
          <w:rFonts w:ascii="Arial" w:hAnsi="Arial" w:cs="Arial"/>
          <w:b/>
          <w:sz w:val="26"/>
          <w:szCs w:val="26"/>
        </w:rPr>
        <w:t xml:space="preserve"> la Ley de Justicia Administrativa  para el E</w:t>
      </w:r>
      <w:r w:rsidR="008E1E39" w:rsidRPr="00D60745">
        <w:rPr>
          <w:rFonts w:ascii="Arial" w:hAnsi="Arial" w:cs="Arial"/>
          <w:b/>
          <w:sz w:val="26"/>
          <w:szCs w:val="26"/>
        </w:rPr>
        <w:t>stado de Oaxaca aprobada mediante el DECRETO No 197  de la QUINCUAGESIMA NOVENA LEGISLATURA</w:t>
      </w:r>
      <w:r w:rsidR="00EE46B7" w:rsidRPr="00D60745">
        <w:rPr>
          <w:rFonts w:ascii="Arial" w:hAnsi="Arial" w:cs="Arial"/>
          <w:b/>
          <w:sz w:val="26"/>
          <w:szCs w:val="26"/>
        </w:rPr>
        <w:t xml:space="preserve"> CONSTITUCIONAL DEL ESTADO LIBRE Y SOBERANO DE OAXACA, publicada en el </w:t>
      </w:r>
      <w:r w:rsidR="008E5DC8" w:rsidRPr="00D60745">
        <w:rPr>
          <w:rFonts w:ascii="Arial" w:hAnsi="Arial" w:cs="Arial"/>
          <w:b/>
          <w:sz w:val="26"/>
          <w:szCs w:val="26"/>
        </w:rPr>
        <w:t>P</w:t>
      </w:r>
      <w:r w:rsidR="00EE46B7" w:rsidRPr="00D60745">
        <w:rPr>
          <w:rFonts w:ascii="Arial" w:hAnsi="Arial" w:cs="Arial"/>
          <w:b/>
          <w:sz w:val="26"/>
          <w:szCs w:val="26"/>
        </w:rPr>
        <w:t xml:space="preserve">eriódico </w:t>
      </w:r>
      <w:r w:rsidR="008E5DC8" w:rsidRPr="00D60745">
        <w:rPr>
          <w:rFonts w:ascii="Arial" w:hAnsi="Arial" w:cs="Arial"/>
          <w:b/>
          <w:sz w:val="26"/>
          <w:szCs w:val="26"/>
        </w:rPr>
        <w:t xml:space="preserve"> Oficial del G</w:t>
      </w:r>
      <w:r w:rsidR="00EE46B7" w:rsidRPr="00D60745">
        <w:rPr>
          <w:rFonts w:ascii="Arial" w:hAnsi="Arial" w:cs="Arial"/>
          <w:b/>
          <w:sz w:val="26"/>
          <w:szCs w:val="26"/>
        </w:rPr>
        <w:t>obierno  Constitucional del Estado Libre y Soberano de Oaxaca, el treinta y uno de diciembre de dos mil cinco.”</w:t>
      </w:r>
      <w:r w:rsidR="00C836D2" w:rsidRPr="00D60745">
        <w:rPr>
          <w:rFonts w:ascii="Arial" w:hAnsi="Arial" w:cs="Arial"/>
          <w:sz w:val="26"/>
          <w:szCs w:val="26"/>
        </w:rPr>
        <w:t xml:space="preserve">. </w:t>
      </w:r>
    </w:p>
    <w:p w:rsidR="005E1B22" w:rsidRPr="00D60745" w:rsidRDefault="005E1B22" w:rsidP="00AA3C93">
      <w:pPr>
        <w:spacing w:before="240" w:line="360" w:lineRule="auto"/>
        <w:jc w:val="both"/>
        <w:rPr>
          <w:rFonts w:ascii="Arial" w:hAnsi="Arial" w:cs="Arial"/>
          <w:sz w:val="26"/>
          <w:szCs w:val="26"/>
        </w:rPr>
      </w:pPr>
      <w:r w:rsidRPr="00D60745">
        <w:rPr>
          <w:rFonts w:ascii="Arial" w:hAnsi="Arial" w:cs="Arial"/>
          <w:sz w:val="26"/>
          <w:szCs w:val="26"/>
        </w:rPr>
        <w:tab/>
      </w:r>
      <w:r w:rsidR="00C836D2" w:rsidRPr="00D60745">
        <w:rPr>
          <w:rFonts w:ascii="Arial" w:hAnsi="Arial" w:cs="Arial"/>
          <w:sz w:val="26"/>
          <w:szCs w:val="26"/>
        </w:rPr>
        <w:t>Ahora d</w:t>
      </w:r>
      <w:r w:rsidRPr="00D60745">
        <w:rPr>
          <w:rFonts w:ascii="Arial" w:hAnsi="Arial" w:cs="Arial"/>
          <w:sz w:val="26"/>
          <w:szCs w:val="26"/>
        </w:rPr>
        <w:t xml:space="preserve">e conformidad con el artículo 2, párrafo último, de la Constitución Política del Estado Libre y Soberano de Oaxaca, señala: </w:t>
      </w:r>
      <w:r w:rsidRPr="00D60745">
        <w:rPr>
          <w:rFonts w:ascii="Arial" w:hAnsi="Arial" w:cs="Arial"/>
          <w:b/>
          <w:sz w:val="26"/>
          <w:szCs w:val="26"/>
        </w:rPr>
        <w:t>“El poder Ejecutivo y sus Representantes solo pueden hacer lo que la ley les autoriza y deben hacer, lo que la ley les ordena. Los particulares pueden hacer lo que la ley no les prohíbe y deben hacer, lo que la ley les ordena”.</w:t>
      </w:r>
    </w:p>
    <w:p w:rsidR="00F02AED" w:rsidRPr="00D60745" w:rsidRDefault="00AA3C93" w:rsidP="00AA3C93">
      <w:pPr>
        <w:shd w:val="clear" w:color="auto" w:fill="FFFFFF"/>
        <w:spacing w:after="68" w:line="360" w:lineRule="auto"/>
        <w:ind w:firstLine="288"/>
        <w:jc w:val="both"/>
        <w:rPr>
          <w:rFonts w:ascii="Arial" w:eastAsia="Times New Roman" w:hAnsi="Arial" w:cs="Arial"/>
          <w:sz w:val="26"/>
          <w:szCs w:val="26"/>
          <w:lang w:val="es-MX" w:eastAsia="es-MX"/>
        </w:rPr>
      </w:pPr>
      <w:r w:rsidRPr="00D60745">
        <w:rPr>
          <w:rFonts w:ascii="Arial" w:eastAsia="Times New Roman" w:hAnsi="Arial" w:cs="Arial"/>
          <w:sz w:val="26"/>
          <w:szCs w:val="26"/>
          <w:lang w:val="es-MX" w:eastAsia="es-MX"/>
        </w:rPr>
        <w:tab/>
      </w:r>
      <w:r w:rsidR="0030731D" w:rsidRPr="00D60745">
        <w:rPr>
          <w:rFonts w:ascii="Arial" w:eastAsia="Times New Roman" w:hAnsi="Arial" w:cs="Arial"/>
          <w:sz w:val="26"/>
          <w:szCs w:val="26"/>
          <w:lang w:val="es-MX" w:eastAsia="es-MX"/>
        </w:rPr>
        <w:t>En relación con el</w:t>
      </w:r>
      <w:r w:rsidR="00F02AED" w:rsidRPr="00D60745">
        <w:rPr>
          <w:rFonts w:ascii="Arial" w:eastAsia="Times New Roman" w:hAnsi="Arial" w:cs="Arial"/>
          <w:sz w:val="26"/>
          <w:szCs w:val="26"/>
          <w:lang w:val="es-MX" w:eastAsia="es-MX"/>
        </w:rPr>
        <w:t xml:space="preserve"> principio de legalidad previsto en el artículo 14 </w:t>
      </w:r>
      <w:r w:rsidR="0030731D" w:rsidRPr="00D60745">
        <w:rPr>
          <w:rFonts w:ascii="Arial" w:eastAsia="Times New Roman" w:hAnsi="Arial" w:cs="Arial"/>
          <w:sz w:val="26"/>
          <w:szCs w:val="26"/>
          <w:lang w:val="es-MX" w:eastAsia="es-MX"/>
        </w:rPr>
        <w:t xml:space="preserve">de nuestra Carta Magna, que </w:t>
      </w:r>
      <w:r w:rsidR="00F02AED" w:rsidRPr="00D60745">
        <w:rPr>
          <w:rFonts w:ascii="Arial" w:eastAsia="Times New Roman" w:hAnsi="Arial" w:cs="Arial"/>
          <w:sz w:val="26"/>
          <w:szCs w:val="26"/>
          <w:lang w:val="es-MX" w:eastAsia="es-MX"/>
        </w:rPr>
        <w:t>constituye un límite externo al ejercicio de la potestad punitiva del Estado, con base en el cual la Norma Suprema impide que los Poderes Ejecutivo y Judicial -este último a través de la analogía o la mayoría de razón- configuren libremente delitos y penas, o infracciones y sanciones; es decir, el mencionado principio exige que todo acto de los órganos del Estado debe encontrarse fundado y motivado conforme a las leyes establecidas con anterioridad al hecho que se sanciona.</w:t>
      </w:r>
    </w:p>
    <w:p w:rsidR="003C21BA" w:rsidRPr="00D60745" w:rsidRDefault="003C21BA" w:rsidP="00AA3C93">
      <w:pPr>
        <w:shd w:val="clear" w:color="auto" w:fill="FFFFFF"/>
        <w:spacing w:line="360" w:lineRule="auto"/>
        <w:ind w:firstLine="288"/>
        <w:jc w:val="both"/>
        <w:rPr>
          <w:rFonts w:ascii="Arial" w:eastAsia="Times New Roman" w:hAnsi="Arial" w:cs="Arial"/>
          <w:sz w:val="26"/>
          <w:szCs w:val="26"/>
          <w:lang w:val="es-MX" w:eastAsia="es-MX"/>
        </w:rPr>
      </w:pPr>
      <w:r w:rsidRPr="00D60745">
        <w:rPr>
          <w:rFonts w:ascii="Arial" w:eastAsia="Times New Roman" w:hAnsi="Arial" w:cs="Arial"/>
          <w:sz w:val="26"/>
          <w:szCs w:val="26"/>
          <w:lang w:val="es-MX" w:eastAsia="es-MX"/>
        </w:rPr>
        <w:t>Por lo que se refiere en que determinadas materias, o ciertos desarrollos jurídicos, deben estar respaldados por la ley o simplemente que la ley es el único instrumento idóneo para regular su funcionamiento.</w:t>
      </w:r>
    </w:p>
    <w:p w:rsidR="003C21BA" w:rsidRPr="00D60745" w:rsidRDefault="003C21BA" w:rsidP="00AA3C93">
      <w:pPr>
        <w:shd w:val="clear" w:color="auto" w:fill="FFFFFF"/>
        <w:spacing w:after="68" w:line="360" w:lineRule="auto"/>
        <w:ind w:firstLine="288"/>
        <w:jc w:val="both"/>
        <w:rPr>
          <w:rFonts w:ascii="Arial" w:eastAsia="Times New Roman" w:hAnsi="Arial" w:cs="Arial"/>
          <w:sz w:val="26"/>
          <w:szCs w:val="26"/>
          <w:lang w:val="es-MX" w:eastAsia="es-MX"/>
        </w:rPr>
      </w:pPr>
      <w:r w:rsidRPr="00D60745">
        <w:rPr>
          <w:rFonts w:ascii="Arial" w:eastAsia="Times New Roman" w:hAnsi="Arial" w:cs="Arial"/>
          <w:sz w:val="26"/>
          <w:szCs w:val="26"/>
          <w:lang w:val="es-MX" w:eastAsia="es-MX"/>
        </w:rPr>
        <w:t>Por su parte, el principio de tipicidad se manifiesta como una exigencia de predeterminación normativa clara y precisa de las conductas ilícitas y de las sanciones correspondientes. Dicho en otras palabras, el principio de tipicidad se cumple cuando consta en la norma una predeterminación inteligible de la infracción y de la sanción; supone en todo caso la presencia de una ley cierta que permita predecir con suficiente grado de precisión las conductas infractoras y las sanciones.</w:t>
      </w:r>
    </w:p>
    <w:p w:rsidR="00F02AED" w:rsidRPr="00D60745" w:rsidRDefault="003C21BA" w:rsidP="00AA3C93">
      <w:pPr>
        <w:shd w:val="clear" w:color="auto" w:fill="FFFFFF"/>
        <w:spacing w:line="360" w:lineRule="auto"/>
        <w:ind w:firstLine="288"/>
        <w:jc w:val="both"/>
        <w:rPr>
          <w:rFonts w:ascii="Arial" w:eastAsia="Times New Roman" w:hAnsi="Arial" w:cs="Arial"/>
          <w:sz w:val="26"/>
          <w:szCs w:val="26"/>
          <w:lang w:val="es-MX" w:eastAsia="es-MX"/>
        </w:rPr>
      </w:pPr>
      <w:r w:rsidRPr="00D60745">
        <w:rPr>
          <w:rFonts w:ascii="Arial" w:eastAsia="Times New Roman" w:hAnsi="Arial" w:cs="Arial"/>
          <w:sz w:val="26"/>
          <w:szCs w:val="26"/>
          <w:lang w:val="es-MX" w:eastAsia="es-MX"/>
        </w:rPr>
        <w:t xml:space="preserve">Así, para garantizar debidamente la seguridad jurídica de los ciudadanos, no bastaría con una tipificación confusa o indeterminada que condujere a los gobernados a tener que realizar labores de interpretación, para las que no todos están preparados, y de esa manera tratar de conocer lo que les está permitido y lo que les está vedado hacer, así como la sanción a la que se harán acreedores en caso de llevar a cabo una conducta infractora. Es por ello esencial a toda formulación típica que sea lo suficientemente clara y precisa como para permitirles programar su comportamiento sin temor a verse sorprendidos por sanciones que en modo alguno pudieron prever. </w:t>
      </w:r>
    </w:p>
    <w:p w:rsidR="00F02AED" w:rsidRPr="00D60745" w:rsidRDefault="007D7D83" w:rsidP="00AA3C93">
      <w:pPr>
        <w:shd w:val="clear" w:color="auto" w:fill="FFFFFF"/>
        <w:spacing w:after="40" w:line="360" w:lineRule="auto"/>
        <w:ind w:firstLine="288"/>
        <w:jc w:val="both"/>
        <w:rPr>
          <w:rFonts w:ascii="Arial" w:eastAsia="Times New Roman" w:hAnsi="Arial" w:cs="Arial"/>
          <w:sz w:val="26"/>
          <w:szCs w:val="26"/>
          <w:lang w:val="es-MX" w:eastAsia="es-MX"/>
        </w:rPr>
      </w:pPr>
      <w:r w:rsidRPr="00D60745">
        <w:rPr>
          <w:rFonts w:ascii="Arial" w:eastAsia="Times New Roman" w:hAnsi="Arial" w:cs="Arial"/>
          <w:sz w:val="26"/>
          <w:szCs w:val="26"/>
          <w:lang w:val="es-MX" w:eastAsia="es-MX"/>
        </w:rPr>
        <w:t>En este orden de ideas, el</w:t>
      </w:r>
      <w:r w:rsidR="00F02AED" w:rsidRPr="00D60745">
        <w:rPr>
          <w:rFonts w:ascii="Arial" w:eastAsia="Times New Roman" w:hAnsi="Arial" w:cs="Arial"/>
          <w:sz w:val="26"/>
          <w:szCs w:val="26"/>
          <w:lang w:val="es-MX" w:eastAsia="es-MX"/>
        </w:rPr>
        <w:t xml:space="preserve"> Alto Tribunal ha sustentado en la tesis jurisprudencial identificada bajo el rubro: "TIPICIDAD. EL PRINCIPIO RELATIVO, NORMALMENTE REFERIDO A LA MATERIA PENAL, ES APLICABLE A LAS INFRACCIONES Y SANCIONES ADMINISTRATIVAS." que el principio de tipicidad, normalmente referido a la materia penal, debe hacerse extensivo a las infracciones y sanciones administrativas, de modo tal que si cierta disposición administrativa establece que cierta conducta constituye una infracción, el afectado pueda conocer exactamente la sanción a la que se hará acreedor, sin que sea lícito determinar ésta ni por analogía, ni por mayoría de razón.</w:t>
      </w:r>
    </w:p>
    <w:p w:rsidR="00CD5B46" w:rsidRPr="00D60745" w:rsidRDefault="00F02AED" w:rsidP="00AA3C93">
      <w:pPr>
        <w:shd w:val="clear" w:color="auto" w:fill="FFFFFF"/>
        <w:spacing w:after="80" w:line="360" w:lineRule="auto"/>
        <w:ind w:firstLine="288"/>
        <w:jc w:val="both"/>
        <w:rPr>
          <w:rFonts w:ascii="Arial" w:eastAsia="Times New Roman" w:hAnsi="Arial" w:cs="Arial"/>
          <w:sz w:val="26"/>
          <w:szCs w:val="26"/>
          <w:lang w:val="es-MX" w:eastAsia="es-MX"/>
        </w:rPr>
      </w:pPr>
      <w:r w:rsidRPr="00D60745">
        <w:rPr>
          <w:rFonts w:ascii="Arial" w:eastAsia="Times New Roman" w:hAnsi="Arial" w:cs="Arial"/>
          <w:sz w:val="26"/>
          <w:szCs w:val="26"/>
          <w:lang w:val="es-MX" w:eastAsia="es-MX"/>
        </w:rPr>
        <w:t xml:space="preserve">Dada esta convergencia de los principios de tipicidad y exacta aplicación de la ley en el principio de legalidad, el Tribunal Pleno de la Suprema Corte de Justicia de la Nación ha inferido de la interpretación del texto constitucional, que la garantía de exacta aplicación de la ley no se circunscribe a los meros actos de aplicación, sino que abarca también a la propia ley que se aplica, la que debe quedar redactada de tal forma que los términos mediante los cuales especifique los elementos respectivos sean claros, precisos y exactos; esto es, la autoridad legislativa no puede sustraerse al deber de consignar en las leyes penales que expida, expresiones y conceptos claros, precisos y exactos, al prever las penas y describir las conductas que señalen como típicas, incluyendo todos sus elementos, características, condiciones, términos y plazos, cuando ello sea necesario para evitar confusiones en su aplicación o demérito en la defensa del gobernado. </w:t>
      </w:r>
    </w:p>
    <w:p w:rsidR="003C21BA" w:rsidRPr="00D60745" w:rsidRDefault="00CD5B46" w:rsidP="00CA4468">
      <w:pPr>
        <w:shd w:val="clear" w:color="auto" w:fill="FFFFFF"/>
        <w:spacing w:after="80" w:line="360" w:lineRule="auto"/>
        <w:ind w:firstLine="288"/>
        <w:jc w:val="both"/>
        <w:rPr>
          <w:rFonts w:ascii="Arial" w:eastAsia="Times New Roman" w:hAnsi="Arial" w:cs="Arial"/>
          <w:sz w:val="26"/>
          <w:szCs w:val="26"/>
          <w:lang w:val="es-MX" w:eastAsia="es-MX"/>
        </w:rPr>
      </w:pPr>
      <w:r w:rsidRPr="00D60745">
        <w:rPr>
          <w:rFonts w:ascii="Arial" w:eastAsia="Times New Roman" w:hAnsi="Arial" w:cs="Arial"/>
          <w:sz w:val="26"/>
          <w:szCs w:val="26"/>
          <w:lang w:val="es-MX" w:eastAsia="es-MX"/>
        </w:rPr>
        <w:tab/>
      </w:r>
      <w:r w:rsidR="00F02AED" w:rsidRPr="00D60745">
        <w:rPr>
          <w:rFonts w:ascii="Arial" w:eastAsia="Times New Roman" w:hAnsi="Arial" w:cs="Arial"/>
          <w:sz w:val="26"/>
          <w:szCs w:val="26"/>
          <w:lang w:val="es-MX" w:eastAsia="es-MX"/>
        </w:rPr>
        <w:t xml:space="preserve">Por tanto, la ley que carezca de tales requisitos de certeza resulta violatoria de la garantía indicada prevista en el tercer párrafo del artículo 14 de la Constitución General de la República. </w:t>
      </w:r>
    </w:p>
    <w:p w:rsidR="00616F53" w:rsidRPr="00D60745" w:rsidRDefault="00AB213D" w:rsidP="00AA3C93">
      <w:pPr>
        <w:spacing w:before="240" w:line="360" w:lineRule="auto"/>
        <w:jc w:val="both"/>
        <w:rPr>
          <w:rFonts w:ascii="Arial" w:hAnsi="Arial" w:cs="Arial"/>
          <w:sz w:val="26"/>
          <w:szCs w:val="26"/>
        </w:rPr>
      </w:pPr>
      <w:r w:rsidRPr="00D60745">
        <w:rPr>
          <w:rFonts w:ascii="Arial" w:hAnsi="Arial" w:cs="Arial"/>
          <w:sz w:val="26"/>
          <w:szCs w:val="26"/>
        </w:rPr>
        <w:tab/>
        <w:t>De igual manera e</w:t>
      </w:r>
      <w:r w:rsidR="00EA3C9C" w:rsidRPr="00D60745">
        <w:rPr>
          <w:rFonts w:ascii="Arial" w:hAnsi="Arial" w:cs="Arial"/>
          <w:sz w:val="26"/>
          <w:szCs w:val="26"/>
        </w:rPr>
        <w:t xml:space="preserve">l principio de </w:t>
      </w:r>
      <w:r w:rsidR="007D7D83" w:rsidRPr="00D60745">
        <w:rPr>
          <w:rFonts w:ascii="Arial" w:hAnsi="Arial" w:cs="Arial"/>
          <w:sz w:val="26"/>
          <w:szCs w:val="26"/>
        </w:rPr>
        <w:t xml:space="preserve">Seguridad Jurídica </w:t>
      </w:r>
      <w:r w:rsidR="00EA3C9C" w:rsidRPr="00D60745">
        <w:rPr>
          <w:rFonts w:ascii="Arial" w:hAnsi="Arial" w:cs="Arial"/>
          <w:sz w:val="26"/>
          <w:szCs w:val="26"/>
        </w:rPr>
        <w:t>previsto por el artículo 16 constitucional, se</w:t>
      </w:r>
      <w:r w:rsidR="00D37E6E" w:rsidRPr="00D60745">
        <w:rPr>
          <w:rFonts w:ascii="Arial" w:hAnsi="Arial" w:cs="Arial"/>
          <w:sz w:val="26"/>
          <w:szCs w:val="26"/>
        </w:rPr>
        <w:t xml:space="preserve"> distinguen</w:t>
      </w:r>
      <w:r w:rsidR="00EA3C9C" w:rsidRPr="00D60745">
        <w:rPr>
          <w:rFonts w:ascii="Arial" w:hAnsi="Arial" w:cs="Arial"/>
          <w:sz w:val="26"/>
          <w:szCs w:val="26"/>
        </w:rPr>
        <w:t xml:space="preserve"> los siguientes derechos fundamentales: </w:t>
      </w:r>
    </w:p>
    <w:p w:rsidR="00616F53" w:rsidRPr="00904FBE" w:rsidRDefault="00EA3C9C" w:rsidP="00AA3C93">
      <w:pPr>
        <w:spacing w:before="240" w:line="360" w:lineRule="auto"/>
        <w:ind w:left="567"/>
        <w:jc w:val="both"/>
        <w:rPr>
          <w:rFonts w:ascii="Arial" w:hAnsi="Arial" w:cs="Arial"/>
          <w:sz w:val="24"/>
          <w:szCs w:val="24"/>
        </w:rPr>
      </w:pPr>
      <w:r w:rsidRPr="00904FBE">
        <w:rPr>
          <w:rFonts w:ascii="Arial" w:hAnsi="Arial" w:cs="Arial"/>
          <w:sz w:val="24"/>
          <w:szCs w:val="24"/>
        </w:rPr>
        <w:t>a) El órgano estatal del que provenga un acto que se traduzca en una molestia debe encontrarse investido con facultades expresamente consignadas en una norma legal (en sentido material) para emitirlo;</w:t>
      </w:r>
    </w:p>
    <w:p w:rsidR="00616F53" w:rsidRPr="00904FBE" w:rsidRDefault="00EA3C9C" w:rsidP="00AA3C93">
      <w:pPr>
        <w:spacing w:before="240" w:line="360" w:lineRule="auto"/>
        <w:ind w:left="567"/>
        <w:jc w:val="both"/>
        <w:rPr>
          <w:rFonts w:ascii="Arial" w:hAnsi="Arial" w:cs="Arial"/>
          <w:sz w:val="24"/>
          <w:szCs w:val="24"/>
        </w:rPr>
      </w:pPr>
      <w:r w:rsidRPr="00904FBE">
        <w:rPr>
          <w:rFonts w:ascii="Arial" w:hAnsi="Arial" w:cs="Arial"/>
          <w:sz w:val="24"/>
          <w:szCs w:val="24"/>
        </w:rPr>
        <w:t xml:space="preserve"> b) El acto o procedimiento por el cual se infiere una molestia, debe estar previsto, en cuanto a su sentido o alcance, por una norma legal; de aquí deriva el principio de que “los órganos o autoridades estatales sólo pueden hacer aquello que expresamente les permita la ley”; </w:t>
      </w:r>
    </w:p>
    <w:p w:rsidR="00616F53" w:rsidRPr="00904FBE" w:rsidRDefault="00EA3C9C" w:rsidP="00AA3C93">
      <w:pPr>
        <w:spacing w:before="240" w:line="360" w:lineRule="auto"/>
        <w:ind w:left="567"/>
        <w:jc w:val="both"/>
        <w:rPr>
          <w:rFonts w:ascii="Arial" w:hAnsi="Arial" w:cs="Arial"/>
          <w:sz w:val="24"/>
          <w:szCs w:val="24"/>
        </w:rPr>
      </w:pPr>
      <w:r w:rsidRPr="00904FBE">
        <w:rPr>
          <w:rFonts w:ascii="Arial" w:hAnsi="Arial" w:cs="Arial"/>
          <w:sz w:val="24"/>
          <w:szCs w:val="24"/>
        </w:rPr>
        <w:t xml:space="preserve">c) El acto que infiere la molestia debe derivar o estar ordenado en un mandamiento escrito, y </w:t>
      </w:r>
    </w:p>
    <w:p w:rsidR="00EA3C9C" w:rsidRPr="00904FBE" w:rsidRDefault="00EA3C9C" w:rsidP="00AA3C93">
      <w:pPr>
        <w:spacing w:before="240" w:line="360" w:lineRule="auto"/>
        <w:ind w:left="567"/>
        <w:jc w:val="both"/>
        <w:rPr>
          <w:rFonts w:ascii="Arial" w:hAnsi="Arial" w:cs="Arial"/>
          <w:sz w:val="24"/>
          <w:szCs w:val="24"/>
        </w:rPr>
      </w:pPr>
      <w:r w:rsidRPr="00904FBE">
        <w:rPr>
          <w:rFonts w:ascii="Arial" w:hAnsi="Arial" w:cs="Arial"/>
          <w:sz w:val="24"/>
          <w:szCs w:val="24"/>
        </w:rPr>
        <w:t xml:space="preserve">d) El mandamiento escrito en que se ordena que se infiera una molestia debe expresar los preceptos legales en que se fundamente y las causas legales que la motivan. </w:t>
      </w:r>
    </w:p>
    <w:p w:rsidR="006030E1" w:rsidRPr="00D60745" w:rsidRDefault="006030E1" w:rsidP="00AA3C93">
      <w:pPr>
        <w:spacing w:before="240" w:line="360" w:lineRule="auto"/>
        <w:jc w:val="both"/>
        <w:rPr>
          <w:rFonts w:ascii="Arial" w:hAnsi="Arial" w:cs="Arial"/>
          <w:bCs/>
          <w:sz w:val="26"/>
          <w:szCs w:val="26"/>
        </w:rPr>
      </w:pPr>
      <w:r w:rsidRPr="00904FBE">
        <w:rPr>
          <w:rFonts w:ascii="Arial" w:hAnsi="Arial" w:cs="Arial"/>
          <w:b/>
          <w:bCs/>
          <w:sz w:val="24"/>
          <w:szCs w:val="24"/>
        </w:rPr>
        <w:tab/>
      </w:r>
      <w:r w:rsidR="00096C2D" w:rsidRPr="00D60745">
        <w:rPr>
          <w:rFonts w:ascii="Arial" w:hAnsi="Arial" w:cs="Arial"/>
          <w:b/>
          <w:bCs/>
          <w:sz w:val="26"/>
          <w:szCs w:val="26"/>
        </w:rPr>
        <w:t xml:space="preserve">Con lo anterior, </w:t>
      </w:r>
      <w:r w:rsidR="00096C2D" w:rsidRPr="00D60745">
        <w:rPr>
          <w:rFonts w:ascii="Arial" w:hAnsi="Arial" w:cs="Arial"/>
          <w:bCs/>
          <w:sz w:val="26"/>
          <w:szCs w:val="26"/>
        </w:rPr>
        <w:t>tomando en consideración que la Ley de Procedimiento y Justicia Administrativa para el Estado de Oaxaca, ya estaba en vigor al momento d</w:t>
      </w:r>
      <w:r w:rsidR="00E13DD0" w:rsidRPr="00D60745">
        <w:rPr>
          <w:rFonts w:ascii="Arial" w:hAnsi="Arial" w:cs="Arial"/>
          <w:bCs/>
          <w:sz w:val="26"/>
          <w:szCs w:val="26"/>
        </w:rPr>
        <w:t xml:space="preserve">e la presentación de demanda de la actora </w:t>
      </w:r>
      <w:r w:rsidR="00525A09" w:rsidRPr="00D60745">
        <w:rPr>
          <w:rFonts w:ascii="Arial" w:hAnsi="Arial" w:cs="Arial"/>
          <w:bCs/>
          <w:sz w:val="26"/>
          <w:szCs w:val="26"/>
        </w:rPr>
        <w:t xml:space="preserve"> </w:t>
      </w:r>
      <w:r w:rsidR="001A66BE">
        <w:rPr>
          <w:rFonts w:ascii="Arial" w:hAnsi="Arial" w:cs="Arial"/>
          <w:b/>
          <w:sz w:val="26"/>
          <w:szCs w:val="26"/>
        </w:rPr>
        <w:t>**********</w:t>
      </w:r>
      <w:r w:rsidR="00616F53" w:rsidRPr="00D60745">
        <w:rPr>
          <w:rFonts w:ascii="Arial" w:hAnsi="Arial" w:cs="Arial"/>
          <w:bCs/>
          <w:sz w:val="26"/>
          <w:szCs w:val="26"/>
        </w:rPr>
        <w:t>;</w:t>
      </w:r>
      <w:r w:rsidR="00096C2D" w:rsidRPr="00D60745">
        <w:rPr>
          <w:rFonts w:ascii="Arial" w:hAnsi="Arial" w:cs="Arial"/>
          <w:bCs/>
          <w:sz w:val="26"/>
          <w:szCs w:val="26"/>
        </w:rPr>
        <w:t xml:space="preserve"> e</w:t>
      </w:r>
      <w:r w:rsidRPr="00D60745">
        <w:rPr>
          <w:rFonts w:ascii="Arial" w:hAnsi="Arial" w:cs="Arial"/>
          <w:bCs/>
          <w:sz w:val="26"/>
          <w:szCs w:val="26"/>
        </w:rPr>
        <w:t>n</w:t>
      </w:r>
      <w:r w:rsidRPr="00D60745">
        <w:rPr>
          <w:rFonts w:ascii="Arial" w:hAnsi="Arial" w:cs="Arial"/>
          <w:b/>
          <w:bCs/>
          <w:sz w:val="26"/>
          <w:szCs w:val="26"/>
        </w:rPr>
        <w:t xml:space="preserve"> </w:t>
      </w:r>
      <w:r w:rsidRPr="00D60745">
        <w:rPr>
          <w:rFonts w:ascii="Arial" w:hAnsi="Arial" w:cs="Arial"/>
          <w:bCs/>
          <w:sz w:val="26"/>
          <w:szCs w:val="26"/>
        </w:rPr>
        <w:t>tales condiciones</w:t>
      </w:r>
      <w:r w:rsidRPr="00D60745">
        <w:rPr>
          <w:rFonts w:ascii="Arial" w:hAnsi="Arial" w:cs="Arial"/>
          <w:b/>
          <w:bCs/>
          <w:sz w:val="26"/>
          <w:szCs w:val="26"/>
        </w:rPr>
        <w:t xml:space="preserve">, </w:t>
      </w:r>
      <w:r w:rsidR="0030731D" w:rsidRPr="00D60745">
        <w:rPr>
          <w:rFonts w:ascii="Arial" w:hAnsi="Arial" w:cs="Arial"/>
          <w:sz w:val="26"/>
          <w:szCs w:val="26"/>
        </w:rPr>
        <w:t xml:space="preserve">el juicio debió tramitarse con la Ley vigente, y no con la Ley de Justicia Administrativa para el Estado de Oaxaca, </w:t>
      </w:r>
      <w:r w:rsidR="00C836D2" w:rsidRPr="00D60745">
        <w:rPr>
          <w:rFonts w:ascii="Arial" w:hAnsi="Arial" w:cs="Arial"/>
          <w:sz w:val="26"/>
          <w:szCs w:val="26"/>
        </w:rPr>
        <w:t xml:space="preserve">en virtud de que ya estaba </w:t>
      </w:r>
      <w:r w:rsidR="0030731D" w:rsidRPr="00D60745">
        <w:rPr>
          <w:rFonts w:ascii="Arial" w:hAnsi="Arial" w:cs="Arial"/>
          <w:sz w:val="26"/>
          <w:szCs w:val="26"/>
        </w:rPr>
        <w:t xml:space="preserve">abrogada,  por lo que el </w:t>
      </w:r>
      <w:r w:rsidRPr="00D60745">
        <w:rPr>
          <w:rFonts w:ascii="Arial" w:hAnsi="Arial" w:cs="Arial"/>
          <w:bCs/>
          <w:sz w:val="26"/>
          <w:szCs w:val="26"/>
        </w:rPr>
        <w:t>dictado de</w:t>
      </w:r>
      <w:r w:rsidR="00525A09" w:rsidRPr="00D60745">
        <w:rPr>
          <w:rFonts w:ascii="Arial" w:hAnsi="Arial" w:cs="Arial"/>
          <w:bCs/>
          <w:sz w:val="26"/>
          <w:szCs w:val="26"/>
        </w:rPr>
        <w:t xml:space="preserve">l auto </w:t>
      </w:r>
      <w:r w:rsidRPr="00D60745">
        <w:rPr>
          <w:rFonts w:ascii="Arial" w:hAnsi="Arial" w:cs="Arial"/>
          <w:bCs/>
          <w:sz w:val="26"/>
          <w:szCs w:val="26"/>
        </w:rPr>
        <w:t>de fondo r</w:t>
      </w:r>
      <w:r w:rsidR="00525A09" w:rsidRPr="00D60745">
        <w:rPr>
          <w:rFonts w:ascii="Arial" w:hAnsi="Arial" w:cs="Arial"/>
          <w:bCs/>
          <w:sz w:val="26"/>
          <w:szCs w:val="26"/>
        </w:rPr>
        <w:t>esulta ilegal al estar sostenido</w:t>
      </w:r>
      <w:r w:rsidRPr="00D60745">
        <w:rPr>
          <w:rFonts w:ascii="Arial" w:hAnsi="Arial" w:cs="Arial"/>
          <w:bCs/>
          <w:sz w:val="26"/>
          <w:szCs w:val="26"/>
        </w:rPr>
        <w:t xml:space="preserve"> en un proceso viciado</w:t>
      </w:r>
      <w:r w:rsidR="0030731D" w:rsidRPr="00D60745">
        <w:rPr>
          <w:rFonts w:ascii="Arial" w:hAnsi="Arial" w:cs="Arial"/>
          <w:bCs/>
          <w:sz w:val="26"/>
          <w:szCs w:val="26"/>
        </w:rPr>
        <w:t xml:space="preserve">, tomando en consideración </w:t>
      </w:r>
      <w:r w:rsidRPr="00D60745">
        <w:rPr>
          <w:rFonts w:ascii="Arial" w:hAnsi="Arial" w:cs="Arial"/>
          <w:bCs/>
          <w:sz w:val="26"/>
          <w:szCs w:val="26"/>
        </w:rPr>
        <w:t xml:space="preserve">que el juicio fue iniciado y tramitado con una ley abrogada, de donde, a fin de reparar la violación cometida, </w:t>
      </w:r>
      <w:r w:rsidR="00096C2D" w:rsidRPr="00D60745">
        <w:rPr>
          <w:rFonts w:ascii="Arial" w:hAnsi="Arial" w:cs="Arial"/>
          <w:bCs/>
          <w:sz w:val="26"/>
          <w:szCs w:val="26"/>
        </w:rPr>
        <w:t xml:space="preserve">se </w:t>
      </w:r>
      <w:r w:rsidRPr="00D60745">
        <w:rPr>
          <w:rFonts w:ascii="Arial" w:hAnsi="Arial" w:cs="Arial"/>
          <w:bCs/>
          <w:sz w:val="26"/>
          <w:szCs w:val="26"/>
        </w:rPr>
        <w:t>procede</w:t>
      </w:r>
      <w:r w:rsidR="00096C2D" w:rsidRPr="00D60745">
        <w:rPr>
          <w:rFonts w:ascii="Arial" w:hAnsi="Arial" w:cs="Arial"/>
          <w:bCs/>
          <w:sz w:val="26"/>
          <w:szCs w:val="26"/>
        </w:rPr>
        <w:t xml:space="preserve"> </w:t>
      </w:r>
      <w:r w:rsidRPr="00D60745">
        <w:rPr>
          <w:rFonts w:ascii="Arial" w:hAnsi="Arial" w:cs="Arial"/>
          <w:bCs/>
          <w:sz w:val="26"/>
          <w:szCs w:val="26"/>
        </w:rPr>
        <w:t xml:space="preserve">dejar </w:t>
      </w:r>
      <w:r w:rsidR="00525A09" w:rsidRPr="00D60745">
        <w:rPr>
          <w:rFonts w:ascii="Arial" w:hAnsi="Arial" w:cs="Arial"/>
          <w:b/>
          <w:bCs/>
          <w:sz w:val="26"/>
          <w:szCs w:val="26"/>
        </w:rPr>
        <w:t xml:space="preserve">insubsistente las actuaciones  del auto </w:t>
      </w:r>
      <w:proofErr w:type="spellStart"/>
      <w:r w:rsidR="00525A09" w:rsidRPr="00D60745">
        <w:rPr>
          <w:rFonts w:ascii="Arial" w:hAnsi="Arial" w:cs="Arial"/>
          <w:b/>
          <w:bCs/>
          <w:sz w:val="26"/>
          <w:szCs w:val="26"/>
        </w:rPr>
        <w:t>admisorio</w:t>
      </w:r>
      <w:proofErr w:type="spellEnd"/>
      <w:r w:rsidR="00525A09" w:rsidRPr="00D60745">
        <w:rPr>
          <w:rFonts w:ascii="Arial" w:hAnsi="Arial" w:cs="Arial"/>
          <w:b/>
          <w:bCs/>
          <w:sz w:val="26"/>
          <w:szCs w:val="26"/>
        </w:rPr>
        <w:t xml:space="preserve"> </w:t>
      </w:r>
      <w:r w:rsidR="00FC28C0" w:rsidRPr="00D60745">
        <w:rPr>
          <w:rFonts w:ascii="Arial" w:hAnsi="Arial" w:cs="Arial"/>
          <w:b/>
          <w:bCs/>
          <w:sz w:val="26"/>
          <w:szCs w:val="26"/>
        </w:rPr>
        <w:t xml:space="preserve">de </w:t>
      </w:r>
      <w:r w:rsidR="00E13DD0" w:rsidRPr="00D60745">
        <w:rPr>
          <w:rFonts w:ascii="Arial" w:hAnsi="Arial" w:cs="Arial"/>
          <w:b/>
          <w:bCs/>
          <w:sz w:val="26"/>
          <w:szCs w:val="26"/>
        </w:rPr>
        <w:t xml:space="preserve">veintitrés de </w:t>
      </w:r>
      <w:r w:rsidR="000B3F2E" w:rsidRPr="00D60745">
        <w:rPr>
          <w:rFonts w:ascii="Arial" w:hAnsi="Arial" w:cs="Arial"/>
          <w:b/>
          <w:bCs/>
          <w:sz w:val="26"/>
          <w:szCs w:val="26"/>
        </w:rPr>
        <w:t>noviembre de dos mil diecisiete</w:t>
      </w:r>
      <w:r w:rsidRPr="00D60745">
        <w:rPr>
          <w:rFonts w:ascii="Arial" w:hAnsi="Arial" w:cs="Arial"/>
          <w:bCs/>
          <w:sz w:val="26"/>
          <w:szCs w:val="26"/>
        </w:rPr>
        <w:t>,</w:t>
      </w:r>
      <w:r w:rsidR="00525A09" w:rsidRPr="00D60745">
        <w:rPr>
          <w:rFonts w:ascii="Arial" w:hAnsi="Arial" w:cs="Arial"/>
          <w:bCs/>
          <w:sz w:val="26"/>
          <w:szCs w:val="26"/>
        </w:rPr>
        <w:t xml:space="preserve"> </w:t>
      </w:r>
      <w:r w:rsidRPr="00D60745">
        <w:rPr>
          <w:rFonts w:ascii="Arial" w:hAnsi="Arial" w:cs="Arial"/>
          <w:bCs/>
          <w:sz w:val="26"/>
          <w:szCs w:val="26"/>
        </w:rPr>
        <w:t xml:space="preserve">a fin de regularizar el juicio de nulidad; debiendo la </w:t>
      </w:r>
      <w:r w:rsidR="000B3F2E" w:rsidRPr="00D60745">
        <w:rPr>
          <w:rFonts w:ascii="Arial" w:hAnsi="Arial" w:cs="Arial"/>
          <w:bCs/>
          <w:sz w:val="26"/>
          <w:szCs w:val="26"/>
        </w:rPr>
        <w:t>sala unitaria</w:t>
      </w:r>
      <w:r w:rsidRPr="00D60745">
        <w:rPr>
          <w:rFonts w:ascii="Arial" w:hAnsi="Arial" w:cs="Arial"/>
          <w:bCs/>
          <w:sz w:val="26"/>
          <w:szCs w:val="26"/>
        </w:rPr>
        <w:t xml:space="preserve"> </w:t>
      </w:r>
      <w:r w:rsidR="000B3F2E" w:rsidRPr="00D60745">
        <w:rPr>
          <w:rFonts w:ascii="Arial" w:eastAsia="Times New Roman" w:hAnsi="Arial" w:cs="Arial"/>
          <w:sz w:val="26"/>
          <w:szCs w:val="26"/>
          <w:lang w:val="es-MX" w:eastAsia="es-MX"/>
        </w:rPr>
        <w:t>sujetarse a la</w:t>
      </w:r>
      <w:r w:rsidR="000B3F2E" w:rsidRPr="00D60745">
        <w:rPr>
          <w:rFonts w:ascii="Arial" w:eastAsia="Times New Roman" w:hAnsi="Arial" w:cs="Arial"/>
          <w:b/>
          <w:sz w:val="26"/>
          <w:szCs w:val="26"/>
          <w:lang w:val="es-MX" w:eastAsia="es-MX"/>
        </w:rPr>
        <w:t xml:space="preserve"> legislación vigente</w:t>
      </w:r>
      <w:r w:rsidR="000B3F2E" w:rsidRPr="00D60745">
        <w:rPr>
          <w:rFonts w:ascii="Arial" w:eastAsia="Times New Roman" w:hAnsi="Arial" w:cs="Arial"/>
          <w:sz w:val="26"/>
          <w:szCs w:val="26"/>
          <w:lang w:val="es-MX" w:eastAsia="es-MX"/>
        </w:rPr>
        <w:t xml:space="preserve"> y</w:t>
      </w:r>
      <w:r w:rsidRPr="00D60745">
        <w:rPr>
          <w:rFonts w:ascii="Arial" w:hAnsi="Arial" w:cs="Arial"/>
          <w:bCs/>
          <w:sz w:val="26"/>
          <w:szCs w:val="26"/>
        </w:rPr>
        <w:t>, posteriormente, seguir los trámites procesales hasta el dictado de la sentencia respectiva.</w:t>
      </w:r>
    </w:p>
    <w:p w:rsidR="006030E1" w:rsidRPr="00D60745" w:rsidRDefault="006030E1" w:rsidP="00AA3C93">
      <w:pPr>
        <w:spacing w:line="360" w:lineRule="auto"/>
        <w:jc w:val="both"/>
        <w:rPr>
          <w:rFonts w:ascii="Arial" w:eastAsia="Calibri" w:hAnsi="Arial" w:cs="Arial"/>
          <w:sz w:val="26"/>
          <w:szCs w:val="26"/>
        </w:rPr>
      </w:pPr>
      <w:r w:rsidRPr="00D60745">
        <w:rPr>
          <w:rFonts w:ascii="Arial" w:eastAsia="Calibri" w:hAnsi="Arial" w:cs="Arial"/>
          <w:sz w:val="26"/>
          <w:szCs w:val="26"/>
        </w:rPr>
        <w:tab/>
        <w:t xml:space="preserve">En consecuencia, se </w:t>
      </w:r>
      <w:r w:rsidRPr="00D60745">
        <w:rPr>
          <w:rFonts w:ascii="Arial" w:eastAsia="Calibri" w:hAnsi="Arial" w:cs="Arial"/>
          <w:b/>
          <w:sz w:val="26"/>
          <w:szCs w:val="26"/>
        </w:rPr>
        <w:t xml:space="preserve">REVOCA </w:t>
      </w:r>
      <w:r w:rsidR="00E13DD0" w:rsidRPr="00D60745">
        <w:rPr>
          <w:rFonts w:ascii="Arial" w:eastAsia="Calibri" w:hAnsi="Arial" w:cs="Arial"/>
          <w:b/>
          <w:sz w:val="26"/>
          <w:szCs w:val="26"/>
        </w:rPr>
        <w:t xml:space="preserve"> el auto de fecha veintitrés de noviembre  de dos mil diecisiete </w:t>
      </w:r>
      <w:r w:rsidR="00525A09" w:rsidRPr="00D60745">
        <w:rPr>
          <w:rFonts w:ascii="Arial" w:eastAsia="Calibri" w:hAnsi="Arial" w:cs="Arial"/>
          <w:sz w:val="26"/>
          <w:szCs w:val="26"/>
        </w:rPr>
        <w:t>sujet</w:t>
      </w:r>
      <w:r w:rsidR="00E13DD0" w:rsidRPr="00D60745">
        <w:rPr>
          <w:rFonts w:ascii="Arial" w:eastAsia="Calibri" w:hAnsi="Arial" w:cs="Arial"/>
          <w:sz w:val="26"/>
          <w:szCs w:val="26"/>
        </w:rPr>
        <w:t>o</w:t>
      </w:r>
      <w:r w:rsidRPr="00D60745">
        <w:rPr>
          <w:rFonts w:ascii="Arial" w:eastAsia="Calibri" w:hAnsi="Arial" w:cs="Arial"/>
          <w:sz w:val="26"/>
          <w:szCs w:val="26"/>
        </w:rPr>
        <w:t xml:space="preserve"> a revisión y con fundamento </w:t>
      </w:r>
      <w:r w:rsidR="00096C2D" w:rsidRPr="00D60745">
        <w:rPr>
          <w:rFonts w:ascii="Arial" w:hAnsi="Arial" w:cs="Arial"/>
          <w:sz w:val="26"/>
          <w:szCs w:val="26"/>
        </w:rPr>
        <w:t>en los artículos 237 y 238 de la Ley de Procedimiento y Justicia Administrativa para el Estado, se</w:t>
      </w:r>
      <w:r w:rsidRPr="00D60745">
        <w:rPr>
          <w:rFonts w:ascii="Arial" w:eastAsia="Calibri" w:hAnsi="Arial" w:cs="Arial"/>
          <w:sz w:val="26"/>
          <w:szCs w:val="26"/>
        </w:rPr>
        <w:t>:</w:t>
      </w:r>
    </w:p>
    <w:p w:rsidR="006030E1" w:rsidRPr="00D60745" w:rsidRDefault="006030E1" w:rsidP="006030E1">
      <w:pPr>
        <w:tabs>
          <w:tab w:val="left" w:pos="1134"/>
        </w:tabs>
        <w:spacing w:before="240" w:line="360" w:lineRule="auto"/>
        <w:jc w:val="center"/>
        <w:rPr>
          <w:rFonts w:ascii="Arial" w:eastAsia="Calibri" w:hAnsi="Arial" w:cs="Arial"/>
          <w:b/>
          <w:sz w:val="26"/>
          <w:szCs w:val="26"/>
        </w:rPr>
      </w:pPr>
      <w:r w:rsidRPr="00D60745">
        <w:rPr>
          <w:rFonts w:ascii="Arial" w:eastAsia="Calibri" w:hAnsi="Arial" w:cs="Arial"/>
          <w:b/>
          <w:sz w:val="26"/>
          <w:szCs w:val="26"/>
        </w:rPr>
        <w:t>R E S U E L V E</w:t>
      </w:r>
      <w:r w:rsidR="00CA4468" w:rsidRPr="00D60745">
        <w:rPr>
          <w:rFonts w:ascii="Arial" w:eastAsia="Calibri" w:hAnsi="Arial" w:cs="Arial"/>
          <w:b/>
          <w:sz w:val="26"/>
          <w:szCs w:val="26"/>
        </w:rPr>
        <w:t>:</w:t>
      </w:r>
    </w:p>
    <w:p w:rsidR="006030E1" w:rsidRPr="00D60745" w:rsidRDefault="006030E1" w:rsidP="006030E1">
      <w:pPr>
        <w:spacing w:before="240" w:line="360" w:lineRule="auto"/>
        <w:ind w:firstLine="708"/>
        <w:jc w:val="both"/>
        <w:rPr>
          <w:rFonts w:ascii="Arial" w:eastAsia="Calibri" w:hAnsi="Arial" w:cs="Arial"/>
          <w:sz w:val="26"/>
          <w:szCs w:val="26"/>
        </w:rPr>
      </w:pPr>
      <w:r w:rsidRPr="00D60745">
        <w:rPr>
          <w:rFonts w:ascii="Arial" w:eastAsia="Calibri" w:hAnsi="Arial" w:cs="Arial"/>
          <w:b/>
          <w:sz w:val="26"/>
          <w:szCs w:val="26"/>
        </w:rPr>
        <w:t>PRIMERO</w:t>
      </w:r>
      <w:r w:rsidRPr="00D60745">
        <w:rPr>
          <w:rFonts w:ascii="Arial" w:eastAsia="Calibri" w:hAnsi="Arial" w:cs="Arial"/>
          <w:sz w:val="26"/>
          <w:szCs w:val="26"/>
        </w:rPr>
        <w:t xml:space="preserve">. Se </w:t>
      </w:r>
      <w:r w:rsidRPr="00D60745">
        <w:rPr>
          <w:rFonts w:ascii="Arial" w:eastAsia="Calibri" w:hAnsi="Arial" w:cs="Arial"/>
          <w:b/>
          <w:sz w:val="26"/>
          <w:szCs w:val="26"/>
        </w:rPr>
        <w:t xml:space="preserve">REVOCA </w:t>
      </w:r>
      <w:r w:rsidR="00E13DD0" w:rsidRPr="00D60745">
        <w:rPr>
          <w:rFonts w:ascii="Arial" w:eastAsia="Calibri" w:hAnsi="Arial" w:cs="Arial"/>
          <w:b/>
          <w:sz w:val="26"/>
          <w:szCs w:val="26"/>
        </w:rPr>
        <w:t xml:space="preserve">el auto de veintitrés de noviembre de dos mil diecisiete </w:t>
      </w:r>
      <w:r w:rsidR="00E13DD0" w:rsidRPr="00D60745">
        <w:rPr>
          <w:rFonts w:ascii="Arial" w:eastAsia="Calibri" w:hAnsi="Arial" w:cs="Arial"/>
          <w:sz w:val="26"/>
          <w:szCs w:val="26"/>
        </w:rPr>
        <w:t>sujeto</w:t>
      </w:r>
      <w:r w:rsidRPr="00D60745">
        <w:rPr>
          <w:rFonts w:ascii="Arial" w:eastAsia="Calibri" w:hAnsi="Arial" w:cs="Arial"/>
          <w:sz w:val="26"/>
          <w:szCs w:val="26"/>
        </w:rPr>
        <w:t xml:space="preserve"> a revisión, como se apuntó en el </w:t>
      </w:r>
      <w:r w:rsidRPr="00D60745">
        <w:rPr>
          <w:rFonts w:ascii="Arial" w:eastAsia="Calibri" w:hAnsi="Arial" w:cs="Arial"/>
          <w:sz w:val="26"/>
          <w:szCs w:val="26"/>
          <w:lang w:eastAsia="es-ES"/>
        </w:rPr>
        <w:t>considerando que antecede</w:t>
      </w:r>
      <w:r w:rsidRPr="00D60745">
        <w:rPr>
          <w:rFonts w:ascii="Arial" w:eastAsia="Calibri" w:hAnsi="Arial" w:cs="Arial"/>
          <w:sz w:val="26"/>
          <w:szCs w:val="26"/>
        </w:rPr>
        <w:t xml:space="preserve">. </w:t>
      </w:r>
    </w:p>
    <w:p w:rsidR="006030E1" w:rsidRPr="00D60745" w:rsidRDefault="006030E1" w:rsidP="006030E1">
      <w:pPr>
        <w:spacing w:before="240" w:line="360" w:lineRule="auto"/>
        <w:ind w:firstLine="708"/>
        <w:jc w:val="both"/>
        <w:rPr>
          <w:rFonts w:ascii="Arial" w:hAnsi="Arial" w:cs="Arial"/>
          <w:sz w:val="26"/>
          <w:szCs w:val="26"/>
        </w:rPr>
      </w:pPr>
      <w:r w:rsidRPr="00D60745">
        <w:rPr>
          <w:rFonts w:ascii="Arial" w:hAnsi="Arial" w:cs="Arial"/>
          <w:b/>
          <w:sz w:val="26"/>
          <w:szCs w:val="26"/>
        </w:rPr>
        <w:t xml:space="preserve">SEGUNDO. </w:t>
      </w:r>
      <w:r w:rsidRPr="00D60745">
        <w:rPr>
          <w:rFonts w:ascii="Arial" w:hAnsi="Arial" w:cs="Arial"/>
          <w:sz w:val="26"/>
          <w:szCs w:val="26"/>
        </w:rPr>
        <w:t>Se ordena la reposición de procedimiento a partir de</w:t>
      </w:r>
      <w:r w:rsidR="00377FE1" w:rsidRPr="00D60745">
        <w:rPr>
          <w:rFonts w:ascii="Arial" w:hAnsi="Arial" w:cs="Arial"/>
          <w:sz w:val="26"/>
          <w:szCs w:val="26"/>
        </w:rPr>
        <w:t xml:space="preserve">l auto </w:t>
      </w:r>
      <w:proofErr w:type="spellStart"/>
      <w:r w:rsidR="00525A09" w:rsidRPr="00D60745">
        <w:rPr>
          <w:rFonts w:ascii="Arial" w:hAnsi="Arial" w:cs="Arial"/>
          <w:sz w:val="26"/>
          <w:szCs w:val="26"/>
        </w:rPr>
        <w:t>admisorio</w:t>
      </w:r>
      <w:proofErr w:type="spellEnd"/>
      <w:r w:rsidRPr="00D60745">
        <w:rPr>
          <w:rFonts w:ascii="Arial" w:hAnsi="Arial" w:cs="Arial"/>
          <w:sz w:val="26"/>
          <w:szCs w:val="26"/>
        </w:rPr>
        <w:t>, por las razones ya citadas en el considerando que antecede.</w:t>
      </w:r>
    </w:p>
    <w:p w:rsidR="00D60745" w:rsidRPr="00D60745" w:rsidRDefault="00D60745" w:rsidP="00D60745">
      <w:pPr>
        <w:spacing w:before="240" w:line="360" w:lineRule="auto"/>
        <w:ind w:right="-376" w:firstLine="708"/>
        <w:jc w:val="both"/>
        <w:rPr>
          <w:rFonts w:ascii="Arial" w:hAnsi="Arial" w:cs="Arial"/>
          <w:sz w:val="26"/>
          <w:szCs w:val="26"/>
          <w:lang w:val="es-MX"/>
        </w:rPr>
      </w:pPr>
      <w:r w:rsidRPr="00D60745">
        <w:rPr>
          <w:rFonts w:ascii="Arial" w:hAnsi="Arial" w:cs="Arial"/>
          <w:b/>
          <w:sz w:val="26"/>
          <w:szCs w:val="26"/>
          <w:lang w:val="es-MX"/>
        </w:rPr>
        <w:t>TERCERO</w:t>
      </w:r>
      <w:r w:rsidRPr="00D60745">
        <w:rPr>
          <w:rFonts w:ascii="Arial" w:hAnsi="Arial" w:cs="Arial"/>
          <w:sz w:val="26"/>
          <w:szCs w:val="26"/>
          <w:lang w:val="es-MX"/>
        </w:rPr>
        <w:t>.</w:t>
      </w:r>
      <w:r w:rsidRPr="00D60745">
        <w:rPr>
          <w:rFonts w:ascii="Arial" w:hAnsi="Arial" w:cs="Arial"/>
          <w:b/>
          <w:sz w:val="26"/>
          <w:szCs w:val="26"/>
        </w:rPr>
        <w:t xml:space="preserve"> </w:t>
      </w:r>
      <w:r w:rsidRPr="00D60745">
        <w:rPr>
          <w:rFonts w:ascii="Arial" w:hAnsi="Arial" w:cs="Arial"/>
          <w:sz w:val="26"/>
          <w:szCs w:val="26"/>
        </w:rPr>
        <w:t>Finalmente</w:t>
      </w:r>
      <w:r w:rsidRPr="00D60745">
        <w:rPr>
          <w:rFonts w:ascii="Arial" w:hAnsi="Arial" w:cs="Arial"/>
          <w:b/>
          <w:sz w:val="26"/>
          <w:szCs w:val="26"/>
        </w:rPr>
        <w:t xml:space="preserve"> </w:t>
      </w:r>
      <w:r w:rsidRPr="00D60745">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6030E1" w:rsidRDefault="00D60745" w:rsidP="00096C2D">
      <w:pPr>
        <w:pStyle w:val="Textoindependiente21"/>
        <w:tabs>
          <w:tab w:val="left" w:pos="-1985"/>
          <w:tab w:val="left" w:pos="7938"/>
        </w:tabs>
        <w:spacing w:before="240" w:line="360" w:lineRule="auto"/>
        <w:ind w:right="17" w:firstLine="709"/>
        <w:rPr>
          <w:rFonts w:ascii="Arial" w:eastAsia="Calibri" w:hAnsi="Arial" w:cs="Arial"/>
          <w:sz w:val="26"/>
          <w:szCs w:val="26"/>
        </w:rPr>
      </w:pPr>
      <w:r w:rsidRPr="00D60745">
        <w:rPr>
          <w:rFonts w:ascii="Arial" w:hAnsi="Arial" w:cs="Arial"/>
          <w:b/>
          <w:sz w:val="26"/>
          <w:szCs w:val="26"/>
        </w:rPr>
        <w:t>CUARTO</w:t>
      </w:r>
      <w:r w:rsidR="00096C2D" w:rsidRPr="00D60745">
        <w:rPr>
          <w:rFonts w:ascii="Arial" w:hAnsi="Arial" w:cs="Arial"/>
          <w:sz w:val="26"/>
          <w:szCs w:val="26"/>
        </w:rPr>
        <w:t xml:space="preserve">. </w:t>
      </w:r>
      <w:r w:rsidR="006030E1" w:rsidRPr="00D60745">
        <w:rPr>
          <w:rFonts w:ascii="Arial" w:hAnsi="Arial" w:cs="Arial"/>
          <w:b/>
          <w:sz w:val="26"/>
          <w:szCs w:val="26"/>
        </w:rPr>
        <w:t>NOTIFÍQUESE Y CÚMPLASE,</w:t>
      </w:r>
      <w:r w:rsidR="006030E1" w:rsidRPr="00D60745">
        <w:rPr>
          <w:rFonts w:ascii="Arial" w:hAnsi="Arial" w:cs="Arial"/>
          <w:sz w:val="26"/>
          <w:szCs w:val="26"/>
        </w:rPr>
        <w:t xml:space="preserve"> con copia certificada de la presente resolución, vuelvan las constancias remitidas a la </w:t>
      </w:r>
      <w:r w:rsidR="00E13DD0" w:rsidRPr="00D60745">
        <w:rPr>
          <w:rFonts w:ascii="Arial" w:hAnsi="Arial" w:cs="Arial"/>
          <w:sz w:val="26"/>
          <w:szCs w:val="26"/>
        </w:rPr>
        <w:t xml:space="preserve">Segunda </w:t>
      </w:r>
      <w:r w:rsidR="00096C2D" w:rsidRPr="00D60745">
        <w:rPr>
          <w:rFonts w:ascii="Arial" w:hAnsi="Arial" w:cs="Arial"/>
          <w:sz w:val="26"/>
          <w:szCs w:val="26"/>
        </w:rPr>
        <w:t>Sala</w:t>
      </w:r>
      <w:r w:rsidR="006030E1" w:rsidRPr="00D60745">
        <w:rPr>
          <w:rFonts w:ascii="Arial" w:hAnsi="Arial" w:cs="Arial"/>
          <w:sz w:val="26"/>
          <w:szCs w:val="26"/>
        </w:rPr>
        <w:t xml:space="preserve"> Unitaria de Primera Instancia, </w:t>
      </w:r>
      <w:r w:rsidR="006030E1" w:rsidRPr="00D60745">
        <w:rPr>
          <w:rFonts w:ascii="Arial" w:eastAsia="Calibri" w:hAnsi="Arial" w:cs="Arial"/>
          <w:sz w:val="26"/>
          <w:szCs w:val="26"/>
        </w:rPr>
        <w:t>y en su oportunidad archívese los cuadernos de revisión como concluidos.</w:t>
      </w:r>
    </w:p>
    <w:p w:rsidR="00D60745" w:rsidRPr="00D60745" w:rsidRDefault="00D60745" w:rsidP="00096C2D">
      <w:pPr>
        <w:pStyle w:val="Textoindependiente21"/>
        <w:tabs>
          <w:tab w:val="left" w:pos="-1985"/>
          <w:tab w:val="left" w:pos="7938"/>
        </w:tabs>
        <w:spacing w:before="240" w:line="360" w:lineRule="auto"/>
        <w:ind w:right="17" w:firstLine="709"/>
        <w:rPr>
          <w:rFonts w:ascii="Arial" w:hAnsi="Arial" w:cs="Arial"/>
          <w:b/>
          <w:sz w:val="26"/>
          <w:szCs w:val="26"/>
        </w:rPr>
      </w:pPr>
    </w:p>
    <w:p w:rsidR="00D60745" w:rsidRPr="00146B0F" w:rsidRDefault="00D60745" w:rsidP="00D60745">
      <w:pPr>
        <w:spacing w:line="360" w:lineRule="auto"/>
        <w:ind w:firstLine="708"/>
        <w:jc w:val="both"/>
        <w:rPr>
          <w:rFonts w:ascii="Arial" w:eastAsiaTheme="minorEastAsia" w:hAnsi="Arial" w:cs="Arial"/>
          <w:sz w:val="26"/>
          <w:szCs w:val="26"/>
          <w:lang w:val="es-MX" w:eastAsia="es-MX"/>
        </w:rPr>
      </w:pPr>
      <w:r w:rsidRPr="00146B0F">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D60745" w:rsidRDefault="00D60745" w:rsidP="00D60745">
      <w:pPr>
        <w:spacing w:line="360" w:lineRule="auto"/>
        <w:jc w:val="both"/>
        <w:rPr>
          <w:rFonts w:ascii="Arial" w:eastAsiaTheme="minorEastAsia" w:hAnsi="Arial" w:cs="Arial"/>
          <w:sz w:val="26"/>
          <w:szCs w:val="26"/>
          <w:lang w:val="es-MX" w:eastAsia="es-MX"/>
        </w:rPr>
      </w:pPr>
    </w:p>
    <w:p w:rsidR="00D60745" w:rsidRDefault="00D60745" w:rsidP="00D60745">
      <w:pPr>
        <w:spacing w:line="360" w:lineRule="auto"/>
        <w:jc w:val="both"/>
        <w:rPr>
          <w:rFonts w:ascii="Arial" w:eastAsiaTheme="minorEastAsia" w:hAnsi="Arial" w:cs="Arial"/>
          <w:sz w:val="26"/>
          <w:szCs w:val="26"/>
          <w:lang w:val="es-MX" w:eastAsia="es-MX"/>
        </w:rPr>
      </w:pPr>
    </w:p>
    <w:p w:rsidR="00D60745" w:rsidRDefault="00D60745" w:rsidP="00D60745">
      <w:pPr>
        <w:spacing w:line="360" w:lineRule="auto"/>
        <w:jc w:val="both"/>
        <w:rPr>
          <w:rFonts w:ascii="Arial" w:eastAsiaTheme="minorEastAsia" w:hAnsi="Arial" w:cs="Arial"/>
          <w:sz w:val="26"/>
          <w:szCs w:val="26"/>
          <w:lang w:val="es-MX" w:eastAsia="es-MX"/>
        </w:rPr>
      </w:pPr>
    </w:p>
    <w:p w:rsidR="00D60745" w:rsidRDefault="00D60745" w:rsidP="00D60745">
      <w:pPr>
        <w:pStyle w:val="Sinespaciado"/>
        <w:jc w:val="center"/>
        <w:rPr>
          <w:rFonts w:ascii="Arial" w:hAnsi="Arial" w:cs="Arial"/>
          <w:sz w:val="26"/>
          <w:szCs w:val="26"/>
          <w:lang w:val="es-MX"/>
        </w:rPr>
      </w:pPr>
      <w:r>
        <w:rPr>
          <w:rFonts w:ascii="Arial" w:hAnsi="Arial" w:cs="Arial"/>
          <w:sz w:val="26"/>
          <w:szCs w:val="26"/>
        </w:rPr>
        <w:t>MAGISTRADO ADRIÁN QUIROGA AVENDAÑO.</w:t>
      </w:r>
    </w:p>
    <w:p w:rsidR="00D60745" w:rsidRDefault="00D60745" w:rsidP="00D60745">
      <w:pPr>
        <w:pStyle w:val="Sinespaciado"/>
        <w:jc w:val="center"/>
        <w:rPr>
          <w:rFonts w:ascii="Arial" w:hAnsi="Arial" w:cs="Arial"/>
          <w:sz w:val="26"/>
          <w:szCs w:val="26"/>
        </w:rPr>
      </w:pPr>
      <w:r>
        <w:rPr>
          <w:rFonts w:ascii="Arial" w:hAnsi="Arial" w:cs="Arial"/>
          <w:sz w:val="26"/>
          <w:szCs w:val="26"/>
        </w:rPr>
        <w:t>PRESIDENTE</w:t>
      </w:r>
    </w:p>
    <w:p w:rsidR="00D60745" w:rsidRDefault="00D60745" w:rsidP="00D60745">
      <w:pPr>
        <w:spacing w:line="360" w:lineRule="auto"/>
        <w:rPr>
          <w:rFonts w:ascii="Arial" w:eastAsia="Calibri" w:hAnsi="Arial" w:cs="Arial"/>
          <w:sz w:val="26"/>
          <w:szCs w:val="26"/>
        </w:rPr>
      </w:pPr>
    </w:p>
    <w:p w:rsidR="00D60745" w:rsidRPr="00D106BB" w:rsidRDefault="00D60745" w:rsidP="00D60745">
      <w:pPr>
        <w:spacing w:line="360" w:lineRule="auto"/>
        <w:jc w:val="center"/>
        <w:rPr>
          <w:rFonts w:ascii="Arial" w:eastAsia="Calibri" w:hAnsi="Arial" w:cs="Arial"/>
          <w:b/>
          <w:sz w:val="14"/>
          <w:szCs w:val="26"/>
        </w:rPr>
      </w:pPr>
      <w:r w:rsidRPr="00D106BB">
        <w:rPr>
          <w:rFonts w:ascii="Arial" w:eastAsia="Calibri" w:hAnsi="Arial" w:cs="Arial"/>
          <w:b/>
          <w:sz w:val="14"/>
          <w:szCs w:val="26"/>
        </w:rPr>
        <w:t>LAS PRESENTES FIRMAS CORRESP</w:t>
      </w:r>
      <w:r w:rsidR="00F91FD8">
        <w:rPr>
          <w:rFonts w:ascii="Arial" w:eastAsia="Calibri" w:hAnsi="Arial" w:cs="Arial"/>
          <w:b/>
          <w:sz w:val="14"/>
          <w:szCs w:val="26"/>
        </w:rPr>
        <w:t>ONDEN AL RECURSO DE REVISIÓN 730/2017</w:t>
      </w:r>
    </w:p>
    <w:p w:rsidR="00D60745" w:rsidRDefault="00D60745" w:rsidP="00D60745">
      <w:pPr>
        <w:spacing w:line="360" w:lineRule="auto"/>
        <w:rPr>
          <w:rFonts w:ascii="Arial" w:eastAsia="Calibri" w:hAnsi="Arial" w:cs="Arial"/>
          <w:sz w:val="26"/>
          <w:szCs w:val="26"/>
        </w:rPr>
      </w:pPr>
    </w:p>
    <w:p w:rsidR="00D60745" w:rsidRDefault="00D60745" w:rsidP="00D60745">
      <w:pPr>
        <w:spacing w:line="360" w:lineRule="auto"/>
        <w:rPr>
          <w:rFonts w:ascii="Arial" w:eastAsia="Calibri" w:hAnsi="Arial" w:cs="Arial"/>
          <w:sz w:val="26"/>
          <w:szCs w:val="26"/>
        </w:rPr>
      </w:pPr>
    </w:p>
    <w:p w:rsidR="00D60745" w:rsidRDefault="00D60745" w:rsidP="00D60745">
      <w:pPr>
        <w:spacing w:line="360" w:lineRule="auto"/>
        <w:rPr>
          <w:rFonts w:ascii="Arial" w:eastAsia="Calibri" w:hAnsi="Arial" w:cs="Arial"/>
          <w:sz w:val="26"/>
          <w:szCs w:val="26"/>
        </w:rPr>
      </w:pPr>
    </w:p>
    <w:p w:rsidR="00D60745" w:rsidRDefault="00D60745" w:rsidP="00D60745">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D60745" w:rsidRDefault="00D60745" w:rsidP="00D60745">
      <w:pPr>
        <w:spacing w:line="360" w:lineRule="auto"/>
        <w:rPr>
          <w:rFonts w:ascii="Arial" w:eastAsia="Calibri" w:hAnsi="Arial" w:cs="Arial"/>
          <w:sz w:val="26"/>
          <w:szCs w:val="26"/>
        </w:rPr>
      </w:pPr>
    </w:p>
    <w:p w:rsidR="00D60745" w:rsidRDefault="00D60745" w:rsidP="00D60745">
      <w:pPr>
        <w:spacing w:line="360" w:lineRule="auto"/>
        <w:rPr>
          <w:rFonts w:ascii="Arial" w:eastAsia="Calibri" w:hAnsi="Arial" w:cs="Arial"/>
          <w:sz w:val="26"/>
          <w:szCs w:val="26"/>
        </w:rPr>
      </w:pPr>
    </w:p>
    <w:p w:rsidR="00D60745" w:rsidRDefault="00D60745" w:rsidP="00D60745">
      <w:pPr>
        <w:spacing w:line="360" w:lineRule="auto"/>
        <w:rPr>
          <w:rFonts w:ascii="Arial" w:eastAsia="Calibri" w:hAnsi="Arial" w:cs="Arial"/>
          <w:sz w:val="26"/>
          <w:szCs w:val="26"/>
        </w:rPr>
      </w:pPr>
    </w:p>
    <w:p w:rsidR="00D60745" w:rsidRDefault="00D60745" w:rsidP="00D60745">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D60745" w:rsidRDefault="00D60745" w:rsidP="00D60745">
      <w:pPr>
        <w:spacing w:line="360" w:lineRule="auto"/>
        <w:rPr>
          <w:rFonts w:ascii="Arial" w:eastAsia="Calibri" w:hAnsi="Arial" w:cs="Arial"/>
          <w:sz w:val="26"/>
          <w:szCs w:val="26"/>
        </w:rPr>
      </w:pPr>
    </w:p>
    <w:p w:rsidR="00D60745" w:rsidRDefault="00D60745" w:rsidP="00D60745">
      <w:pPr>
        <w:spacing w:line="360" w:lineRule="auto"/>
        <w:rPr>
          <w:rFonts w:ascii="Arial" w:eastAsia="Calibri" w:hAnsi="Arial" w:cs="Arial"/>
          <w:sz w:val="26"/>
          <w:szCs w:val="26"/>
        </w:rPr>
      </w:pPr>
    </w:p>
    <w:p w:rsidR="00D60745" w:rsidRDefault="00D60745" w:rsidP="00D60745">
      <w:pPr>
        <w:spacing w:line="360" w:lineRule="auto"/>
        <w:rPr>
          <w:rFonts w:ascii="Arial" w:eastAsia="Calibri" w:hAnsi="Arial" w:cs="Arial"/>
          <w:sz w:val="26"/>
          <w:szCs w:val="26"/>
        </w:rPr>
      </w:pPr>
    </w:p>
    <w:p w:rsidR="00D60745" w:rsidRDefault="00D60745" w:rsidP="00D60745">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D60745" w:rsidRDefault="00D60745" w:rsidP="00D60745">
      <w:pPr>
        <w:spacing w:line="360" w:lineRule="auto"/>
        <w:jc w:val="center"/>
        <w:rPr>
          <w:rFonts w:ascii="Arial" w:eastAsia="Calibri" w:hAnsi="Arial" w:cs="Arial"/>
          <w:sz w:val="26"/>
          <w:szCs w:val="26"/>
        </w:rPr>
      </w:pPr>
    </w:p>
    <w:p w:rsidR="00D60745" w:rsidRDefault="00D60745" w:rsidP="00D60745">
      <w:pPr>
        <w:spacing w:line="360" w:lineRule="auto"/>
        <w:rPr>
          <w:rFonts w:ascii="Arial" w:eastAsia="Calibri" w:hAnsi="Arial" w:cs="Arial"/>
          <w:sz w:val="26"/>
          <w:szCs w:val="26"/>
        </w:rPr>
      </w:pPr>
    </w:p>
    <w:p w:rsidR="00D60745" w:rsidRDefault="00D60745" w:rsidP="00D60745">
      <w:pPr>
        <w:spacing w:line="360" w:lineRule="auto"/>
        <w:rPr>
          <w:rFonts w:ascii="Arial" w:eastAsia="Calibri" w:hAnsi="Arial" w:cs="Arial"/>
          <w:sz w:val="26"/>
          <w:szCs w:val="26"/>
        </w:rPr>
      </w:pPr>
    </w:p>
    <w:p w:rsidR="00D60745" w:rsidRDefault="00D60745" w:rsidP="00D60745">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D60745" w:rsidRDefault="00D60745" w:rsidP="00D60745">
      <w:pPr>
        <w:rPr>
          <w:rFonts w:ascii="Arial" w:eastAsia="Calibri" w:hAnsi="Arial" w:cs="Arial"/>
          <w:sz w:val="26"/>
          <w:szCs w:val="26"/>
        </w:rPr>
      </w:pPr>
    </w:p>
    <w:p w:rsidR="00D60745" w:rsidRDefault="00D60745" w:rsidP="00D60745">
      <w:pPr>
        <w:rPr>
          <w:rFonts w:ascii="Arial" w:eastAsia="Calibri" w:hAnsi="Arial" w:cs="Arial"/>
          <w:sz w:val="26"/>
          <w:szCs w:val="26"/>
        </w:rPr>
      </w:pPr>
    </w:p>
    <w:p w:rsidR="00D60745" w:rsidRDefault="00D60745" w:rsidP="00D60745">
      <w:pPr>
        <w:rPr>
          <w:rFonts w:ascii="Arial" w:eastAsia="Calibri" w:hAnsi="Arial" w:cs="Arial"/>
          <w:sz w:val="26"/>
          <w:szCs w:val="26"/>
        </w:rPr>
      </w:pPr>
    </w:p>
    <w:p w:rsidR="00D60745" w:rsidRDefault="00D60745" w:rsidP="00D60745">
      <w:pPr>
        <w:rPr>
          <w:rFonts w:ascii="Arial" w:eastAsia="Calibri" w:hAnsi="Arial" w:cs="Arial"/>
          <w:sz w:val="26"/>
          <w:szCs w:val="26"/>
        </w:rPr>
      </w:pPr>
    </w:p>
    <w:p w:rsidR="00D60745" w:rsidRDefault="00D60745" w:rsidP="00D60745">
      <w:pPr>
        <w:pStyle w:val="Sinespaciado"/>
        <w:jc w:val="center"/>
        <w:rPr>
          <w:rFonts w:ascii="Arial" w:hAnsi="Arial" w:cs="Arial"/>
          <w:sz w:val="26"/>
          <w:szCs w:val="26"/>
        </w:rPr>
      </w:pPr>
      <w:r>
        <w:rPr>
          <w:rFonts w:ascii="Arial" w:hAnsi="Arial" w:cs="Arial"/>
          <w:sz w:val="26"/>
          <w:szCs w:val="26"/>
        </w:rPr>
        <w:t>LICENCIADA LETICIA GARCÍA SOTO.</w:t>
      </w:r>
    </w:p>
    <w:p w:rsidR="00D60745" w:rsidRPr="00FA26A1" w:rsidRDefault="00D60745" w:rsidP="00D60745">
      <w:pPr>
        <w:pStyle w:val="Sinespaciado"/>
        <w:jc w:val="center"/>
        <w:rPr>
          <w:rFonts w:ascii="Arial" w:hAnsi="Arial" w:cs="Arial"/>
          <w:sz w:val="26"/>
          <w:szCs w:val="26"/>
        </w:rPr>
      </w:pPr>
      <w:r>
        <w:rPr>
          <w:rFonts w:ascii="Arial" w:hAnsi="Arial" w:cs="Arial"/>
          <w:sz w:val="26"/>
          <w:szCs w:val="26"/>
        </w:rPr>
        <w:t>SECRETARIA GENERAL DE ACUERDOS.</w:t>
      </w:r>
    </w:p>
    <w:p w:rsidR="00D60745" w:rsidRPr="00737021" w:rsidRDefault="00D60745" w:rsidP="00D60745">
      <w:pPr>
        <w:spacing w:line="360" w:lineRule="auto"/>
        <w:ind w:firstLine="708"/>
        <w:jc w:val="both"/>
      </w:pPr>
    </w:p>
    <w:p w:rsidR="00D60745" w:rsidRPr="002850D8" w:rsidRDefault="00D60745" w:rsidP="00D60745"/>
    <w:p w:rsidR="0023434D" w:rsidRPr="00904FBE" w:rsidRDefault="0023434D" w:rsidP="00D60745">
      <w:pPr>
        <w:spacing w:before="240" w:line="360" w:lineRule="auto"/>
        <w:ind w:firstLine="708"/>
        <w:jc w:val="both"/>
        <w:rPr>
          <w:rFonts w:ascii="Arial" w:hAnsi="Arial" w:cs="Arial"/>
          <w:sz w:val="24"/>
          <w:szCs w:val="24"/>
        </w:rPr>
      </w:pPr>
    </w:p>
    <w:sectPr w:rsidR="0023434D" w:rsidRPr="00904FBE" w:rsidSect="00D60745">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72A" w:rsidRDefault="0072272A">
      <w:pPr>
        <w:spacing w:after="0" w:line="240" w:lineRule="auto"/>
      </w:pPr>
      <w:r>
        <w:separator/>
      </w:r>
    </w:p>
  </w:endnote>
  <w:endnote w:type="continuationSeparator" w:id="0">
    <w:p w:rsidR="0072272A" w:rsidRDefault="0072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4C" w:rsidRDefault="009C70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4C" w:rsidRDefault="009C704C">
    <w:pPr>
      <w:pStyle w:val="Piedepgina"/>
    </w:pPr>
    <w:r>
      <w:rPr>
        <w:noProof/>
        <w:lang w:val="es-MX" w:eastAsia="es-MX"/>
      </w:rPr>
      <w:drawing>
        <wp:anchor distT="0" distB="0" distL="114300" distR="114300" simplePos="0" relativeHeight="251671552" behindDoc="0" locked="0" layoutInCell="1" allowOverlap="1" wp14:anchorId="63B1FCCB" wp14:editId="3E3BDFF9">
          <wp:simplePos x="0" y="0"/>
          <wp:positionH relativeFrom="column">
            <wp:posOffset>-1349248</wp:posOffset>
          </wp:positionH>
          <wp:positionV relativeFrom="paragraph">
            <wp:posOffset>-4512056</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4C" w:rsidRDefault="009C70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72A" w:rsidRDefault="0072272A">
      <w:pPr>
        <w:spacing w:after="0" w:line="240" w:lineRule="auto"/>
      </w:pPr>
      <w:r>
        <w:separator/>
      </w:r>
    </w:p>
  </w:footnote>
  <w:footnote w:type="continuationSeparator" w:id="0">
    <w:p w:rsidR="0072272A" w:rsidRDefault="00722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E61AB6" w:rsidRDefault="009C704C" w:rsidP="00D25099">
        <w:pPr>
          <w:pStyle w:val="Encabezado"/>
          <w:jc w:val="center"/>
        </w:pPr>
        <w:r>
          <w:rPr>
            <w:noProof/>
            <w:lang w:val="es-MX" w:eastAsia="es-MX"/>
          </w:rPr>
          <w:drawing>
            <wp:anchor distT="0" distB="0" distL="114300" distR="114300" simplePos="0" relativeHeight="251677696" behindDoc="0" locked="0" layoutInCell="1" allowOverlap="1" wp14:anchorId="0CE4D030" wp14:editId="41136B3F">
              <wp:simplePos x="0" y="0"/>
              <wp:positionH relativeFrom="column">
                <wp:posOffset>5534152</wp:posOffset>
              </wp:positionH>
              <wp:positionV relativeFrom="paragraph">
                <wp:posOffset>2524379</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E61AB6">
          <w:fldChar w:fldCharType="begin"/>
        </w:r>
        <w:r w:rsidR="00E61AB6">
          <w:instrText>PAGE   \* MERGEFORMAT</w:instrText>
        </w:r>
        <w:r w:rsidR="00E61AB6">
          <w:fldChar w:fldCharType="separate"/>
        </w:r>
        <w:r>
          <w:rPr>
            <w:noProof/>
          </w:rPr>
          <w:t>8</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9C704C">
          <w:rPr>
            <w:noProof/>
          </w:rPr>
          <w:t>1</w:t>
        </w:r>
        <w:r>
          <w:rPr>
            <w:noProof/>
          </w:rPr>
          <w:fldChar w:fldCharType="end"/>
        </w:r>
      </w:p>
      <w:p w:rsidR="00E61AB6" w:rsidRDefault="009C704C"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r>
      <w:rPr>
        <w:noProof/>
        <w:lang w:val="es-MX" w:eastAsia="es-MX"/>
      </w:rPr>
      <w:drawing>
        <wp:anchor distT="0" distB="0" distL="114300" distR="114300" simplePos="0" relativeHeight="251665408" behindDoc="1" locked="0" layoutInCell="1" allowOverlap="1" wp14:anchorId="3A1C4198" wp14:editId="690D281A">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072" behindDoc="0" locked="0" layoutInCell="1" allowOverlap="1" wp14:anchorId="38C85D04" wp14:editId="79A527AF">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4C" w:rsidRDefault="009C70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CC5648"/>
    <w:multiLevelType w:val="hybridMultilevel"/>
    <w:tmpl w:val="DC346362"/>
    <w:lvl w:ilvl="0" w:tplc="613CB1C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4C133104"/>
    <w:multiLevelType w:val="hybridMultilevel"/>
    <w:tmpl w:val="18B64F16"/>
    <w:lvl w:ilvl="0" w:tplc="650C120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3"/>
  </w:num>
  <w:num w:numId="8">
    <w:abstractNumId w:val="8"/>
  </w:num>
  <w:num w:numId="9">
    <w:abstractNumId w:val="5"/>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2369"/>
    <w:rsid w:val="0001664B"/>
    <w:rsid w:val="000169A3"/>
    <w:rsid w:val="00017C09"/>
    <w:rsid w:val="00021DF1"/>
    <w:rsid w:val="0002236D"/>
    <w:rsid w:val="00026C11"/>
    <w:rsid w:val="000330FB"/>
    <w:rsid w:val="0003331C"/>
    <w:rsid w:val="00035047"/>
    <w:rsid w:val="00035379"/>
    <w:rsid w:val="00036D01"/>
    <w:rsid w:val="000410A1"/>
    <w:rsid w:val="00041D15"/>
    <w:rsid w:val="00042914"/>
    <w:rsid w:val="00042B31"/>
    <w:rsid w:val="0004575F"/>
    <w:rsid w:val="00045A11"/>
    <w:rsid w:val="00050B7F"/>
    <w:rsid w:val="00050C5A"/>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96C2D"/>
    <w:rsid w:val="000A1494"/>
    <w:rsid w:val="000A4E40"/>
    <w:rsid w:val="000A6360"/>
    <w:rsid w:val="000A6EC7"/>
    <w:rsid w:val="000A7BA9"/>
    <w:rsid w:val="000B020E"/>
    <w:rsid w:val="000B0E70"/>
    <w:rsid w:val="000B1A06"/>
    <w:rsid w:val="000B3B3B"/>
    <w:rsid w:val="000B3F2E"/>
    <w:rsid w:val="000B4122"/>
    <w:rsid w:val="000C0E02"/>
    <w:rsid w:val="000C1F7C"/>
    <w:rsid w:val="000C313C"/>
    <w:rsid w:val="000C3DBF"/>
    <w:rsid w:val="000C54B4"/>
    <w:rsid w:val="000D0E1D"/>
    <w:rsid w:val="000D1BD0"/>
    <w:rsid w:val="000D29A1"/>
    <w:rsid w:val="000D2FDE"/>
    <w:rsid w:val="000E0D51"/>
    <w:rsid w:val="000E12D3"/>
    <w:rsid w:val="000E218B"/>
    <w:rsid w:val="000E2E24"/>
    <w:rsid w:val="000E322A"/>
    <w:rsid w:val="000E4110"/>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3A30"/>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099A"/>
    <w:rsid w:val="00171831"/>
    <w:rsid w:val="00172205"/>
    <w:rsid w:val="00172B29"/>
    <w:rsid w:val="001761CB"/>
    <w:rsid w:val="00180F55"/>
    <w:rsid w:val="001827CF"/>
    <w:rsid w:val="001843E8"/>
    <w:rsid w:val="00184B23"/>
    <w:rsid w:val="00190DE9"/>
    <w:rsid w:val="001914B9"/>
    <w:rsid w:val="00191A27"/>
    <w:rsid w:val="00192287"/>
    <w:rsid w:val="00192D2F"/>
    <w:rsid w:val="00194A88"/>
    <w:rsid w:val="00194C5C"/>
    <w:rsid w:val="0019600D"/>
    <w:rsid w:val="001A2DD1"/>
    <w:rsid w:val="001A3755"/>
    <w:rsid w:val="001A5951"/>
    <w:rsid w:val="001A5B4D"/>
    <w:rsid w:val="001A608E"/>
    <w:rsid w:val="001A66B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622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44A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144E"/>
    <w:rsid w:val="00302511"/>
    <w:rsid w:val="00302C57"/>
    <w:rsid w:val="00303020"/>
    <w:rsid w:val="003032E2"/>
    <w:rsid w:val="00304999"/>
    <w:rsid w:val="0030731D"/>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663F4"/>
    <w:rsid w:val="003708D3"/>
    <w:rsid w:val="003731F5"/>
    <w:rsid w:val="00375176"/>
    <w:rsid w:val="003779D8"/>
    <w:rsid w:val="00377FE1"/>
    <w:rsid w:val="00380BAC"/>
    <w:rsid w:val="003818BD"/>
    <w:rsid w:val="00381DC3"/>
    <w:rsid w:val="00382FD0"/>
    <w:rsid w:val="003873E7"/>
    <w:rsid w:val="00387C97"/>
    <w:rsid w:val="00390879"/>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21BA"/>
    <w:rsid w:val="003C3C72"/>
    <w:rsid w:val="003C4A93"/>
    <w:rsid w:val="003C63BE"/>
    <w:rsid w:val="003D1C8C"/>
    <w:rsid w:val="003D1EF2"/>
    <w:rsid w:val="003D5E2A"/>
    <w:rsid w:val="003D707F"/>
    <w:rsid w:val="003D7F85"/>
    <w:rsid w:val="003E0B3C"/>
    <w:rsid w:val="003E0F2A"/>
    <w:rsid w:val="003E14E9"/>
    <w:rsid w:val="003E15CF"/>
    <w:rsid w:val="003E2B2E"/>
    <w:rsid w:val="003E2C06"/>
    <w:rsid w:val="003E4484"/>
    <w:rsid w:val="003E50D3"/>
    <w:rsid w:val="003E52CC"/>
    <w:rsid w:val="003E5B1E"/>
    <w:rsid w:val="003E5FDE"/>
    <w:rsid w:val="003E7801"/>
    <w:rsid w:val="003E7C2E"/>
    <w:rsid w:val="003E7C91"/>
    <w:rsid w:val="003F0345"/>
    <w:rsid w:val="003F09E7"/>
    <w:rsid w:val="003F47AD"/>
    <w:rsid w:val="003F5E8A"/>
    <w:rsid w:val="003F7035"/>
    <w:rsid w:val="00400164"/>
    <w:rsid w:val="0040457E"/>
    <w:rsid w:val="00404D0E"/>
    <w:rsid w:val="00407B2F"/>
    <w:rsid w:val="00411707"/>
    <w:rsid w:val="00412972"/>
    <w:rsid w:val="0041349D"/>
    <w:rsid w:val="004138D3"/>
    <w:rsid w:val="0041760B"/>
    <w:rsid w:val="00423A9D"/>
    <w:rsid w:val="00424229"/>
    <w:rsid w:val="00427081"/>
    <w:rsid w:val="00433FAD"/>
    <w:rsid w:val="004407BC"/>
    <w:rsid w:val="00441D6B"/>
    <w:rsid w:val="004426E6"/>
    <w:rsid w:val="00444733"/>
    <w:rsid w:val="00447E3A"/>
    <w:rsid w:val="004503A6"/>
    <w:rsid w:val="00454494"/>
    <w:rsid w:val="004547D3"/>
    <w:rsid w:val="004567C7"/>
    <w:rsid w:val="00457CC7"/>
    <w:rsid w:val="004628A3"/>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A6399"/>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0D15"/>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075A"/>
    <w:rsid w:val="00525A09"/>
    <w:rsid w:val="00526DC4"/>
    <w:rsid w:val="00527DCF"/>
    <w:rsid w:val="005300DF"/>
    <w:rsid w:val="00531A5A"/>
    <w:rsid w:val="00531A6D"/>
    <w:rsid w:val="00531B0F"/>
    <w:rsid w:val="00531B2A"/>
    <w:rsid w:val="00531DE3"/>
    <w:rsid w:val="00533C34"/>
    <w:rsid w:val="0053422E"/>
    <w:rsid w:val="00534C95"/>
    <w:rsid w:val="0053715D"/>
    <w:rsid w:val="005410B3"/>
    <w:rsid w:val="00541ACF"/>
    <w:rsid w:val="00541B18"/>
    <w:rsid w:val="00542671"/>
    <w:rsid w:val="005443FC"/>
    <w:rsid w:val="00544A76"/>
    <w:rsid w:val="00545D35"/>
    <w:rsid w:val="005478F9"/>
    <w:rsid w:val="0055061B"/>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3428"/>
    <w:rsid w:val="005B74A1"/>
    <w:rsid w:val="005C0B46"/>
    <w:rsid w:val="005C2C8E"/>
    <w:rsid w:val="005C32A7"/>
    <w:rsid w:val="005C3AA7"/>
    <w:rsid w:val="005C414F"/>
    <w:rsid w:val="005C770C"/>
    <w:rsid w:val="005C7C2F"/>
    <w:rsid w:val="005D1684"/>
    <w:rsid w:val="005D2BE8"/>
    <w:rsid w:val="005D3F0B"/>
    <w:rsid w:val="005D411C"/>
    <w:rsid w:val="005D4300"/>
    <w:rsid w:val="005D46E5"/>
    <w:rsid w:val="005D536A"/>
    <w:rsid w:val="005D62CD"/>
    <w:rsid w:val="005D65FC"/>
    <w:rsid w:val="005D74CC"/>
    <w:rsid w:val="005D751A"/>
    <w:rsid w:val="005D786E"/>
    <w:rsid w:val="005E025B"/>
    <w:rsid w:val="005E18B0"/>
    <w:rsid w:val="005E1B22"/>
    <w:rsid w:val="005E245F"/>
    <w:rsid w:val="005E31AD"/>
    <w:rsid w:val="005E3275"/>
    <w:rsid w:val="005E40A8"/>
    <w:rsid w:val="005E5273"/>
    <w:rsid w:val="005E76E1"/>
    <w:rsid w:val="005F0B76"/>
    <w:rsid w:val="005F1575"/>
    <w:rsid w:val="005F35AE"/>
    <w:rsid w:val="006012BD"/>
    <w:rsid w:val="00602086"/>
    <w:rsid w:val="006030E1"/>
    <w:rsid w:val="006031E8"/>
    <w:rsid w:val="0060326D"/>
    <w:rsid w:val="0060423E"/>
    <w:rsid w:val="00605D2B"/>
    <w:rsid w:val="006062DA"/>
    <w:rsid w:val="00607309"/>
    <w:rsid w:val="00607F3D"/>
    <w:rsid w:val="006105BC"/>
    <w:rsid w:val="006108C8"/>
    <w:rsid w:val="00610C46"/>
    <w:rsid w:val="00611349"/>
    <w:rsid w:val="00611746"/>
    <w:rsid w:val="00611DD6"/>
    <w:rsid w:val="006150FB"/>
    <w:rsid w:val="00616F53"/>
    <w:rsid w:val="00620173"/>
    <w:rsid w:val="00621035"/>
    <w:rsid w:val="00621070"/>
    <w:rsid w:val="00630C62"/>
    <w:rsid w:val="00633FA0"/>
    <w:rsid w:val="00634208"/>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603"/>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773"/>
    <w:rsid w:val="006D1203"/>
    <w:rsid w:val="006D4142"/>
    <w:rsid w:val="006D42FF"/>
    <w:rsid w:val="006D4B71"/>
    <w:rsid w:val="006D7AAA"/>
    <w:rsid w:val="006E04EF"/>
    <w:rsid w:val="006E19FC"/>
    <w:rsid w:val="006E1B16"/>
    <w:rsid w:val="006E22F2"/>
    <w:rsid w:val="006E27BA"/>
    <w:rsid w:val="006E43D3"/>
    <w:rsid w:val="006E44A9"/>
    <w:rsid w:val="006E6519"/>
    <w:rsid w:val="006F0897"/>
    <w:rsid w:val="006F0D29"/>
    <w:rsid w:val="006F2412"/>
    <w:rsid w:val="006F253C"/>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272A"/>
    <w:rsid w:val="00723286"/>
    <w:rsid w:val="00727C09"/>
    <w:rsid w:val="00731FDA"/>
    <w:rsid w:val="00733866"/>
    <w:rsid w:val="007372AF"/>
    <w:rsid w:val="007372F0"/>
    <w:rsid w:val="007402AF"/>
    <w:rsid w:val="00742461"/>
    <w:rsid w:val="00742758"/>
    <w:rsid w:val="0074315B"/>
    <w:rsid w:val="00745F93"/>
    <w:rsid w:val="00747AB7"/>
    <w:rsid w:val="007501E3"/>
    <w:rsid w:val="00752052"/>
    <w:rsid w:val="00752B02"/>
    <w:rsid w:val="00755251"/>
    <w:rsid w:val="007568F4"/>
    <w:rsid w:val="007569A2"/>
    <w:rsid w:val="0075724E"/>
    <w:rsid w:val="007633A0"/>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A33"/>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078E"/>
    <w:rsid w:val="007C4D7C"/>
    <w:rsid w:val="007C4FC7"/>
    <w:rsid w:val="007C5134"/>
    <w:rsid w:val="007C6CD3"/>
    <w:rsid w:val="007C7943"/>
    <w:rsid w:val="007C7AD1"/>
    <w:rsid w:val="007D2543"/>
    <w:rsid w:val="007D4645"/>
    <w:rsid w:val="007D4E0F"/>
    <w:rsid w:val="007D55DA"/>
    <w:rsid w:val="007D6D8D"/>
    <w:rsid w:val="007D7972"/>
    <w:rsid w:val="007D7D83"/>
    <w:rsid w:val="007E1BC3"/>
    <w:rsid w:val="007E32FC"/>
    <w:rsid w:val="007E37BF"/>
    <w:rsid w:val="007E503E"/>
    <w:rsid w:val="007E52F1"/>
    <w:rsid w:val="007E6F05"/>
    <w:rsid w:val="007E7DD4"/>
    <w:rsid w:val="007F125D"/>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23AD6"/>
    <w:rsid w:val="0083002A"/>
    <w:rsid w:val="00830884"/>
    <w:rsid w:val="00831537"/>
    <w:rsid w:val="00832757"/>
    <w:rsid w:val="00832BFA"/>
    <w:rsid w:val="00832FE5"/>
    <w:rsid w:val="0083489B"/>
    <w:rsid w:val="0084114B"/>
    <w:rsid w:val="00841573"/>
    <w:rsid w:val="00841CA9"/>
    <w:rsid w:val="00842ED4"/>
    <w:rsid w:val="00845EA4"/>
    <w:rsid w:val="00847A1D"/>
    <w:rsid w:val="00847F39"/>
    <w:rsid w:val="008550F0"/>
    <w:rsid w:val="00855650"/>
    <w:rsid w:val="00855B19"/>
    <w:rsid w:val="008561AA"/>
    <w:rsid w:val="008572F6"/>
    <w:rsid w:val="00857BD3"/>
    <w:rsid w:val="00860037"/>
    <w:rsid w:val="00860FEF"/>
    <w:rsid w:val="008618D9"/>
    <w:rsid w:val="0086361E"/>
    <w:rsid w:val="008649E5"/>
    <w:rsid w:val="00864F72"/>
    <w:rsid w:val="00866679"/>
    <w:rsid w:val="0086740D"/>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542F"/>
    <w:rsid w:val="00896365"/>
    <w:rsid w:val="00897C9D"/>
    <w:rsid w:val="008A20F1"/>
    <w:rsid w:val="008A2A09"/>
    <w:rsid w:val="008A47B2"/>
    <w:rsid w:val="008A5670"/>
    <w:rsid w:val="008A6B4E"/>
    <w:rsid w:val="008B02EC"/>
    <w:rsid w:val="008B073B"/>
    <w:rsid w:val="008B1D4F"/>
    <w:rsid w:val="008B2E64"/>
    <w:rsid w:val="008B2FDE"/>
    <w:rsid w:val="008B4B2E"/>
    <w:rsid w:val="008B4EBC"/>
    <w:rsid w:val="008B5E35"/>
    <w:rsid w:val="008C297E"/>
    <w:rsid w:val="008C380D"/>
    <w:rsid w:val="008C508D"/>
    <w:rsid w:val="008C74CA"/>
    <w:rsid w:val="008D04B8"/>
    <w:rsid w:val="008D1236"/>
    <w:rsid w:val="008D38EC"/>
    <w:rsid w:val="008E1E39"/>
    <w:rsid w:val="008E215F"/>
    <w:rsid w:val="008E4231"/>
    <w:rsid w:val="008E586E"/>
    <w:rsid w:val="008E5A8E"/>
    <w:rsid w:val="008E5DC8"/>
    <w:rsid w:val="008F05C2"/>
    <w:rsid w:val="008F52F4"/>
    <w:rsid w:val="008F6A42"/>
    <w:rsid w:val="008F7D31"/>
    <w:rsid w:val="00900115"/>
    <w:rsid w:val="009007FC"/>
    <w:rsid w:val="00900A88"/>
    <w:rsid w:val="0090282D"/>
    <w:rsid w:val="009031EC"/>
    <w:rsid w:val="00903BE5"/>
    <w:rsid w:val="009049BE"/>
    <w:rsid w:val="00904FBE"/>
    <w:rsid w:val="009073DD"/>
    <w:rsid w:val="00907FE3"/>
    <w:rsid w:val="009111EA"/>
    <w:rsid w:val="0091170B"/>
    <w:rsid w:val="00912837"/>
    <w:rsid w:val="0091304F"/>
    <w:rsid w:val="009133A9"/>
    <w:rsid w:val="009159DA"/>
    <w:rsid w:val="00920D15"/>
    <w:rsid w:val="009210A6"/>
    <w:rsid w:val="009233B3"/>
    <w:rsid w:val="00923AD2"/>
    <w:rsid w:val="00926FCD"/>
    <w:rsid w:val="00926FD4"/>
    <w:rsid w:val="00927607"/>
    <w:rsid w:val="00931E3D"/>
    <w:rsid w:val="0094005B"/>
    <w:rsid w:val="00943709"/>
    <w:rsid w:val="00943B62"/>
    <w:rsid w:val="009443A6"/>
    <w:rsid w:val="00945C2C"/>
    <w:rsid w:val="0094607A"/>
    <w:rsid w:val="00947785"/>
    <w:rsid w:val="00956CD1"/>
    <w:rsid w:val="009622E2"/>
    <w:rsid w:val="009623FA"/>
    <w:rsid w:val="00963968"/>
    <w:rsid w:val="00964969"/>
    <w:rsid w:val="00964A87"/>
    <w:rsid w:val="00964BF0"/>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C704C"/>
    <w:rsid w:val="009D1ED8"/>
    <w:rsid w:val="009D4A0A"/>
    <w:rsid w:val="009D6659"/>
    <w:rsid w:val="009D6AA4"/>
    <w:rsid w:val="009D7058"/>
    <w:rsid w:val="009E0336"/>
    <w:rsid w:val="009E10EC"/>
    <w:rsid w:val="009E3A9A"/>
    <w:rsid w:val="009E5841"/>
    <w:rsid w:val="009E7213"/>
    <w:rsid w:val="009E7F4B"/>
    <w:rsid w:val="009F50FA"/>
    <w:rsid w:val="00A022D9"/>
    <w:rsid w:val="00A033BB"/>
    <w:rsid w:val="00A0357E"/>
    <w:rsid w:val="00A045F4"/>
    <w:rsid w:val="00A05B4F"/>
    <w:rsid w:val="00A10387"/>
    <w:rsid w:val="00A14761"/>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096F"/>
    <w:rsid w:val="00A51216"/>
    <w:rsid w:val="00A5314A"/>
    <w:rsid w:val="00A57F60"/>
    <w:rsid w:val="00A61851"/>
    <w:rsid w:val="00A61A6E"/>
    <w:rsid w:val="00A65B8D"/>
    <w:rsid w:val="00A67424"/>
    <w:rsid w:val="00A703CE"/>
    <w:rsid w:val="00A7188F"/>
    <w:rsid w:val="00A7216C"/>
    <w:rsid w:val="00A75E55"/>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97B3E"/>
    <w:rsid w:val="00AA0100"/>
    <w:rsid w:val="00AA0A4A"/>
    <w:rsid w:val="00AA27AB"/>
    <w:rsid w:val="00AA29E9"/>
    <w:rsid w:val="00AA38C5"/>
    <w:rsid w:val="00AA3C93"/>
    <w:rsid w:val="00AA3DF2"/>
    <w:rsid w:val="00AA512C"/>
    <w:rsid w:val="00AB00F1"/>
    <w:rsid w:val="00AB0764"/>
    <w:rsid w:val="00AB10A6"/>
    <w:rsid w:val="00AB19C6"/>
    <w:rsid w:val="00AB1E7B"/>
    <w:rsid w:val="00AB213D"/>
    <w:rsid w:val="00AB4741"/>
    <w:rsid w:val="00AB628D"/>
    <w:rsid w:val="00AB641E"/>
    <w:rsid w:val="00AC1530"/>
    <w:rsid w:val="00AC1D64"/>
    <w:rsid w:val="00AC2BA3"/>
    <w:rsid w:val="00AC50FD"/>
    <w:rsid w:val="00AC59C9"/>
    <w:rsid w:val="00AD1E25"/>
    <w:rsid w:val="00AD38ED"/>
    <w:rsid w:val="00AD4282"/>
    <w:rsid w:val="00AD77FD"/>
    <w:rsid w:val="00AE1A7A"/>
    <w:rsid w:val="00AE4894"/>
    <w:rsid w:val="00AE5AC8"/>
    <w:rsid w:val="00AE6C12"/>
    <w:rsid w:val="00AF6174"/>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55F21"/>
    <w:rsid w:val="00B606D6"/>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9CD"/>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A06"/>
    <w:rsid w:val="00BF0DCB"/>
    <w:rsid w:val="00BF1EC0"/>
    <w:rsid w:val="00BF2AD9"/>
    <w:rsid w:val="00BF2F98"/>
    <w:rsid w:val="00C00D17"/>
    <w:rsid w:val="00C02A64"/>
    <w:rsid w:val="00C06278"/>
    <w:rsid w:val="00C06502"/>
    <w:rsid w:val="00C06661"/>
    <w:rsid w:val="00C077BB"/>
    <w:rsid w:val="00C11344"/>
    <w:rsid w:val="00C12055"/>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3ADF"/>
    <w:rsid w:val="00C446B2"/>
    <w:rsid w:val="00C45315"/>
    <w:rsid w:val="00C46DE0"/>
    <w:rsid w:val="00C52510"/>
    <w:rsid w:val="00C52BDC"/>
    <w:rsid w:val="00C539E3"/>
    <w:rsid w:val="00C55168"/>
    <w:rsid w:val="00C56885"/>
    <w:rsid w:val="00C57680"/>
    <w:rsid w:val="00C57997"/>
    <w:rsid w:val="00C57C9F"/>
    <w:rsid w:val="00C57DE8"/>
    <w:rsid w:val="00C607C9"/>
    <w:rsid w:val="00C6230B"/>
    <w:rsid w:val="00C625C8"/>
    <w:rsid w:val="00C669B9"/>
    <w:rsid w:val="00C70AD4"/>
    <w:rsid w:val="00C70DE3"/>
    <w:rsid w:val="00C72D55"/>
    <w:rsid w:val="00C732C5"/>
    <w:rsid w:val="00C734EC"/>
    <w:rsid w:val="00C747C2"/>
    <w:rsid w:val="00C80261"/>
    <w:rsid w:val="00C80FE1"/>
    <w:rsid w:val="00C811FA"/>
    <w:rsid w:val="00C8246A"/>
    <w:rsid w:val="00C830CA"/>
    <w:rsid w:val="00C83120"/>
    <w:rsid w:val="00C836D2"/>
    <w:rsid w:val="00C8387E"/>
    <w:rsid w:val="00C83BAB"/>
    <w:rsid w:val="00C84197"/>
    <w:rsid w:val="00C84663"/>
    <w:rsid w:val="00C904A0"/>
    <w:rsid w:val="00C9115E"/>
    <w:rsid w:val="00C9167C"/>
    <w:rsid w:val="00C926A1"/>
    <w:rsid w:val="00C9405A"/>
    <w:rsid w:val="00C94AA0"/>
    <w:rsid w:val="00C94C27"/>
    <w:rsid w:val="00C95207"/>
    <w:rsid w:val="00C962CF"/>
    <w:rsid w:val="00CA1B76"/>
    <w:rsid w:val="00CA4468"/>
    <w:rsid w:val="00CA4E8C"/>
    <w:rsid w:val="00CA6573"/>
    <w:rsid w:val="00CA7887"/>
    <w:rsid w:val="00CB1B3A"/>
    <w:rsid w:val="00CB27A4"/>
    <w:rsid w:val="00CB621B"/>
    <w:rsid w:val="00CB65EC"/>
    <w:rsid w:val="00CB6E8A"/>
    <w:rsid w:val="00CC1DB1"/>
    <w:rsid w:val="00CC7CEF"/>
    <w:rsid w:val="00CD0468"/>
    <w:rsid w:val="00CD1491"/>
    <w:rsid w:val="00CD5B46"/>
    <w:rsid w:val="00CD64C9"/>
    <w:rsid w:val="00CD64DE"/>
    <w:rsid w:val="00CD6EC0"/>
    <w:rsid w:val="00CE50AD"/>
    <w:rsid w:val="00CE5195"/>
    <w:rsid w:val="00CE51E4"/>
    <w:rsid w:val="00CF10FC"/>
    <w:rsid w:val="00CF1E45"/>
    <w:rsid w:val="00CF5631"/>
    <w:rsid w:val="00CF6971"/>
    <w:rsid w:val="00CF7993"/>
    <w:rsid w:val="00D00905"/>
    <w:rsid w:val="00D00AC1"/>
    <w:rsid w:val="00D014AF"/>
    <w:rsid w:val="00D03926"/>
    <w:rsid w:val="00D03B93"/>
    <w:rsid w:val="00D1093F"/>
    <w:rsid w:val="00D10E5C"/>
    <w:rsid w:val="00D12214"/>
    <w:rsid w:val="00D12D3B"/>
    <w:rsid w:val="00D154BF"/>
    <w:rsid w:val="00D1598E"/>
    <w:rsid w:val="00D16225"/>
    <w:rsid w:val="00D16547"/>
    <w:rsid w:val="00D2010F"/>
    <w:rsid w:val="00D20368"/>
    <w:rsid w:val="00D22035"/>
    <w:rsid w:val="00D24260"/>
    <w:rsid w:val="00D2489A"/>
    <w:rsid w:val="00D24BE6"/>
    <w:rsid w:val="00D25099"/>
    <w:rsid w:val="00D25F12"/>
    <w:rsid w:val="00D309C0"/>
    <w:rsid w:val="00D33C66"/>
    <w:rsid w:val="00D34A5A"/>
    <w:rsid w:val="00D35A50"/>
    <w:rsid w:val="00D35BF1"/>
    <w:rsid w:val="00D3635F"/>
    <w:rsid w:val="00D378CF"/>
    <w:rsid w:val="00D37E6E"/>
    <w:rsid w:val="00D434D5"/>
    <w:rsid w:val="00D43BA6"/>
    <w:rsid w:val="00D44218"/>
    <w:rsid w:val="00D4494B"/>
    <w:rsid w:val="00D45843"/>
    <w:rsid w:val="00D50C63"/>
    <w:rsid w:val="00D5482F"/>
    <w:rsid w:val="00D566F5"/>
    <w:rsid w:val="00D56752"/>
    <w:rsid w:val="00D56F54"/>
    <w:rsid w:val="00D5720A"/>
    <w:rsid w:val="00D57960"/>
    <w:rsid w:val="00D60745"/>
    <w:rsid w:val="00D62375"/>
    <w:rsid w:val="00D63A6F"/>
    <w:rsid w:val="00D70AB8"/>
    <w:rsid w:val="00D7104A"/>
    <w:rsid w:val="00D718E2"/>
    <w:rsid w:val="00D723E9"/>
    <w:rsid w:val="00D73B5B"/>
    <w:rsid w:val="00D73D39"/>
    <w:rsid w:val="00D74FDC"/>
    <w:rsid w:val="00D81285"/>
    <w:rsid w:val="00D81429"/>
    <w:rsid w:val="00D82506"/>
    <w:rsid w:val="00D871A9"/>
    <w:rsid w:val="00D9154A"/>
    <w:rsid w:val="00D91AF2"/>
    <w:rsid w:val="00D927CA"/>
    <w:rsid w:val="00D93271"/>
    <w:rsid w:val="00D942A7"/>
    <w:rsid w:val="00D96319"/>
    <w:rsid w:val="00D97D3A"/>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0313D"/>
    <w:rsid w:val="00E1020C"/>
    <w:rsid w:val="00E1033E"/>
    <w:rsid w:val="00E10F14"/>
    <w:rsid w:val="00E11F28"/>
    <w:rsid w:val="00E12B19"/>
    <w:rsid w:val="00E13DD0"/>
    <w:rsid w:val="00E14744"/>
    <w:rsid w:val="00E14816"/>
    <w:rsid w:val="00E1487F"/>
    <w:rsid w:val="00E154AB"/>
    <w:rsid w:val="00E164E7"/>
    <w:rsid w:val="00E16654"/>
    <w:rsid w:val="00E21CDD"/>
    <w:rsid w:val="00E22360"/>
    <w:rsid w:val="00E23669"/>
    <w:rsid w:val="00E25425"/>
    <w:rsid w:val="00E25B8B"/>
    <w:rsid w:val="00E25C3E"/>
    <w:rsid w:val="00E31CCB"/>
    <w:rsid w:val="00E31D43"/>
    <w:rsid w:val="00E32EEE"/>
    <w:rsid w:val="00E33520"/>
    <w:rsid w:val="00E34392"/>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0C9F"/>
    <w:rsid w:val="00E75BB5"/>
    <w:rsid w:val="00E808D6"/>
    <w:rsid w:val="00E80E37"/>
    <w:rsid w:val="00E83450"/>
    <w:rsid w:val="00E8389D"/>
    <w:rsid w:val="00E86739"/>
    <w:rsid w:val="00E87733"/>
    <w:rsid w:val="00E90E54"/>
    <w:rsid w:val="00E91FF2"/>
    <w:rsid w:val="00E94929"/>
    <w:rsid w:val="00E94FF3"/>
    <w:rsid w:val="00E9514D"/>
    <w:rsid w:val="00EA0F7F"/>
    <w:rsid w:val="00EA2C19"/>
    <w:rsid w:val="00EA379C"/>
    <w:rsid w:val="00EA37E1"/>
    <w:rsid w:val="00EA3C9C"/>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9CB"/>
    <w:rsid w:val="00ED2E55"/>
    <w:rsid w:val="00ED54D9"/>
    <w:rsid w:val="00ED5DDA"/>
    <w:rsid w:val="00ED7D48"/>
    <w:rsid w:val="00EE1352"/>
    <w:rsid w:val="00EE3E2A"/>
    <w:rsid w:val="00EE46B7"/>
    <w:rsid w:val="00EE480B"/>
    <w:rsid w:val="00EE695C"/>
    <w:rsid w:val="00EF363A"/>
    <w:rsid w:val="00F0156D"/>
    <w:rsid w:val="00F02AED"/>
    <w:rsid w:val="00F02DE0"/>
    <w:rsid w:val="00F053FC"/>
    <w:rsid w:val="00F06CB3"/>
    <w:rsid w:val="00F079CC"/>
    <w:rsid w:val="00F07A83"/>
    <w:rsid w:val="00F07FC2"/>
    <w:rsid w:val="00F12336"/>
    <w:rsid w:val="00F123A4"/>
    <w:rsid w:val="00F13DD5"/>
    <w:rsid w:val="00F14813"/>
    <w:rsid w:val="00F1519C"/>
    <w:rsid w:val="00F16359"/>
    <w:rsid w:val="00F20C21"/>
    <w:rsid w:val="00F21698"/>
    <w:rsid w:val="00F24A07"/>
    <w:rsid w:val="00F2514D"/>
    <w:rsid w:val="00F277ED"/>
    <w:rsid w:val="00F27F68"/>
    <w:rsid w:val="00F321E1"/>
    <w:rsid w:val="00F3568E"/>
    <w:rsid w:val="00F35DBE"/>
    <w:rsid w:val="00F36D77"/>
    <w:rsid w:val="00F370E1"/>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54C4"/>
    <w:rsid w:val="00F668B1"/>
    <w:rsid w:val="00F72E7B"/>
    <w:rsid w:val="00F7450D"/>
    <w:rsid w:val="00F762D5"/>
    <w:rsid w:val="00F76381"/>
    <w:rsid w:val="00F7668F"/>
    <w:rsid w:val="00F81765"/>
    <w:rsid w:val="00F82312"/>
    <w:rsid w:val="00F83C99"/>
    <w:rsid w:val="00F841EA"/>
    <w:rsid w:val="00F8426B"/>
    <w:rsid w:val="00F8623A"/>
    <w:rsid w:val="00F8652F"/>
    <w:rsid w:val="00F90B7E"/>
    <w:rsid w:val="00F90CCF"/>
    <w:rsid w:val="00F91FD8"/>
    <w:rsid w:val="00F92334"/>
    <w:rsid w:val="00F972BF"/>
    <w:rsid w:val="00FA0211"/>
    <w:rsid w:val="00FA03C8"/>
    <w:rsid w:val="00FA0F1F"/>
    <w:rsid w:val="00FA17DB"/>
    <w:rsid w:val="00FA26F7"/>
    <w:rsid w:val="00FA3C84"/>
    <w:rsid w:val="00FA4E53"/>
    <w:rsid w:val="00FA5C27"/>
    <w:rsid w:val="00FB0E2A"/>
    <w:rsid w:val="00FB1E09"/>
    <w:rsid w:val="00FB4039"/>
    <w:rsid w:val="00FB409B"/>
    <w:rsid w:val="00FB4892"/>
    <w:rsid w:val="00FB6C65"/>
    <w:rsid w:val="00FB6DF3"/>
    <w:rsid w:val="00FC0ED3"/>
    <w:rsid w:val="00FC1289"/>
    <w:rsid w:val="00FC15D5"/>
    <w:rsid w:val="00FC28C0"/>
    <w:rsid w:val="00FC397B"/>
    <w:rsid w:val="00FC479D"/>
    <w:rsid w:val="00FC6AFB"/>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2A7A33-8C84-4E68-8EA7-1885083B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rsid w:val="00620173"/>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620173"/>
    <w:rPr>
      <w:rFonts w:ascii="Arial" w:eastAsia="Times New Roman" w:hAnsi="Arial" w:cs="Times New Roman"/>
      <w:sz w:val="30"/>
      <w:szCs w:val="20"/>
      <w:lang w:val="es-ES_tradnl" w:eastAsia="es-ES"/>
    </w:rPr>
  </w:style>
  <w:style w:type="character" w:customStyle="1" w:styleId="red">
    <w:name w:val="red"/>
    <w:basedOn w:val="Fuentedeprrafopredeter"/>
    <w:rsid w:val="003E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093">
      <w:bodyDiv w:val="1"/>
      <w:marLeft w:val="0"/>
      <w:marRight w:val="0"/>
      <w:marTop w:val="0"/>
      <w:marBottom w:val="0"/>
      <w:divBdr>
        <w:top w:val="none" w:sz="0" w:space="0" w:color="auto"/>
        <w:left w:val="none" w:sz="0" w:space="0" w:color="auto"/>
        <w:bottom w:val="none" w:sz="0" w:space="0" w:color="auto"/>
        <w:right w:val="none" w:sz="0" w:space="0" w:color="auto"/>
      </w:divBdr>
      <w:divsChild>
        <w:div w:id="1197036357">
          <w:marLeft w:val="0"/>
          <w:marRight w:val="0"/>
          <w:marTop w:val="0"/>
          <w:marBottom w:val="40"/>
          <w:divBdr>
            <w:top w:val="none" w:sz="0" w:space="0" w:color="auto"/>
            <w:left w:val="none" w:sz="0" w:space="0" w:color="auto"/>
            <w:bottom w:val="none" w:sz="0" w:space="0" w:color="auto"/>
            <w:right w:val="none" w:sz="0" w:space="0" w:color="auto"/>
          </w:divBdr>
        </w:div>
        <w:div w:id="791047889">
          <w:marLeft w:val="0"/>
          <w:marRight w:val="0"/>
          <w:marTop w:val="0"/>
          <w:marBottom w:val="68"/>
          <w:divBdr>
            <w:top w:val="none" w:sz="0" w:space="0" w:color="auto"/>
            <w:left w:val="none" w:sz="0" w:space="0" w:color="auto"/>
            <w:bottom w:val="none" w:sz="0" w:space="0" w:color="auto"/>
            <w:right w:val="none" w:sz="0" w:space="0" w:color="auto"/>
          </w:divBdr>
        </w:div>
      </w:divsChild>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26645708">
      <w:bodyDiv w:val="1"/>
      <w:marLeft w:val="0"/>
      <w:marRight w:val="0"/>
      <w:marTop w:val="0"/>
      <w:marBottom w:val="0"/>
      <w:divBdr>
        <w:top w:val="none" w:sz="0" w:space="0" w:color="auto"/>
        <w:left w:val="none" w:sz="0" w:space="0" w:color="auto"/>
        <w:bottom w:val="none" w:sz="0" w:space="0" w:color="auto"/>
        <w:right w:val="none" w:sz="0" w:space="0" w:color="auto"/>
      </w:divBdr>
      <w:divsChild>
        <w:div w:id="285698288">
          <w:marLeft w:val="0"/>
          <w:marRight w:val="0"/>
          <w:marTop w:val="0"/>
          <w:marBottom w:val="68"/>
          <w:divBdr>
            <w:top w:val="none" w:sz="0" w:space="0" w:color="auto"/>
            <w:left w:val="none" w:sz="0" w:space="0" w:color="auto"/>
            <w:bottom w:val="none" w:sz="0" w:space="0" w:color="auto"/>
            <w:right w:val="none" w:sz="0" w:space="0" w:color="auto"/>
          </w:divBdr>
        </w:div>
        <w:div w:id="2000494242">
          <w:marLeft w:val="0"/>
          <w:marRight w:val="0"/>
          <w:marTop w:val="0"/>
          <w:marBottom w:val="68"/>
          <w:divBdr>
            <w:top w:val="none" w:sz="0" w:space="0" w:color="auto"/>
            <w:left w:val="none" w:sz="0" w:space="0" w:color="auto"/>
            <w:bottom w:val="none" w:sz="0" w:space="0" w:color="auto"/>
            <w:right w:val="none" w:sz="0" w:space="0" w:color="auto"/>
          </w:divBdr>
        </w:div>
        <w:div w:id="1164469533">
          <w:marLeft w:val="0"/>
          <w:marRight w:val="0"/>
          <w:marTop w:val="0"/>
          <w:marBottom w:val="68"/>
          <w:divBdr>
            <w:top w:val="none" w:sz="0" w:space="0" w:color="auto"/>
            <w:left w:val="none" w:sz="0" w:space="0" w:color="auto"/>
            <w:bottom w:val="none" w:sz="0" w:space="0" w:color="auto"/>
            <w:right w:val="none" w:sz="0" w:space="0" w:color="auto"/>
          </w:divBdr>
        </w:div>
        <w:div w:id="894701839">
          <w:marLeft w:val="0"/>
          <w:marRight w:val="0"/>
          <w:marTop w:val="0"/>
          <w:marBottom w:val="68"/>
          <w:divBdr>
            <w:top w:val="none" w:sz="0" w:space="0" w:color="auto"/>
            <w:left w:val="none" w:sz="0" w:space="0" w:color="auto"/>
            <w:bottom w:val="none" w:sz="0" w:space="0" w:color="auto"/>
            <w:right w:val="none" w:sz="0" w:space="0" w:color="auto"/>
          </w:divBdr>
        </w:div>
        <w:div w:id="45419318">
          <w:marLeft w:val="0"/>
          <w:marRight w:val="0"/>
          <w:marTop w:val="0"/>
          <w:marBottom w:val="68"/>
          <w:divBdr>
            <w:top w:val="none" w:sz="0" w:space="0" w:color="auto"/>
            <w:left w:val="none" w:sz="0" w:space="0" w:color="auto"/>
            <w:bottom w:val="none" w:sz="0" w:space="0" w:color="auto"/>
            <w:right w:val="none" w:sz="0" w:space="0" w:color="auto"/>
          </w:divBdr>
        </w:div>
        <w:div w:id="447821893">
          <w:marLeft w:val="0"/>
          <w:marRight w:val="0"/>
          <w:marTop w:val="0"/>
          <w:marBottom w:val="68"/>
          <w:divBdr>
            <w:top w:val="none" w:sz="0" w:space="0" w:color="auto"/>
            <w:left w:val="none" w:sz="0" w:space="0" w:color="auto"/>
            <w:bottom w:val="none" w:sz="0" w:space="0" w:color="auto"/>
            <w:right w:val="none" w:sz="0" w:space="0" w:color="auto"/>
          </w:divBdr>
        </w:div>
        <w:div w:id="1305349623">
          <w:marLeft w:val="0"/>
          <w:marRight w:val="0"/>
          <w:marTop w:val="0"/>
          <w:marBottom w:val="68"/>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956063428">
      <w:bodyDiv w:val="1"/>
      <w:marLeft w:val="0"/>
      <w:marRight w:val="0"/>
      <w:marTop w:val="0"/>
      <w:marBottom w:val="0"/>
      <w:divBdr>
        <w:top w:val="none" w:sz="0" w:space="0" w:color="auto"/>
        <w:left w:val="none" w:sz="0" w:space="0" w:color="auto"/>
        <w:bottom w:val="none" w:sz="0" w:space="0" w:color="auto"/>
        <w:right w:val="none" w:sz="0" w:space="0" w:color="auto"/>
      </w:divBdr>
      <w:divsChild>
        <w:div w:id="1346127229">
          <w:marLeft w:val="0"/>
          <w:marRight w:val="0"/>
          <w:marTop w:val="0"/>
          <w:marBottom w:val="0"/>
          <w:divBdr>
            <w:top w:val="none" w:sz="0" w:space="0" w:color="auto"/>
            <w:left w:val="none" w:sz="0" w:space="0" w:color="auto"/>
            <w:bottom w:val="none" w:sz="0" w:space="0" w:color="auto"/>
            <w:right w:val="none" w:sz="0" w:space="0" w:color="auto"/>
          </w:divBdr>
        </w:div>
      </w:divsChild>
    </w:div>
    <w:div w:id="2022657815">
      <w:bodyDiv w:val="1"/>
      <w:marLeft w:val="0"/>
      <w:marRight w:val="0"/>
      <w:marTop w:val="0"/>
      <w:marBottom w:val="0"/>
      <w:divBdr>
        <w:top w:val="none" w:sz="0" w:space="0" w:color="auto"/>
        <w:left w:val="none" w:sz="0" w:space="0" w:color="auto"/>
        <w:bottom w:val="none" w:sz="0" w:space="0" w:color="auto"/>
        <w:right w:val="none" w:sz="0" w:space="0" w:color="auto"/>
      </w:divBdr>
      <w:divsChild>
        <w:div w:id="2022775465">
          <w:marLeft w:val="0"/>
          <w:marRight w:val="0"/>
          <w:marTop w:val="0"/>
          <w:marBottom w:val="68"/>
          <w:divBdr>
            <w:top w:val="none" w:sz="0" w:space="0" w:color="auto"/>
            <w:left w:val="none" w:sz="0" w:space="0" w:color="auto"/>
            <w:bottom w:val="none" w:sz="0" w:space="0" w:color="auto"/>
            <w:right w:val="none" w:sz="0" w:space="0" w:color="auto"/>
          </w:divBdr>
        </w:div>
        <w:div w:id="1401364823">
          <w:marLeft w:val="0"/>
          <w:marRight w:val="0"/>
          <w:marTop w:val="0"/>
          <w:marBottom w:val="40"/>
          <w:divBdr>
            <w:top w:val="none" w:sz="0" w:space="0" w:color="auto"/>
            <w:left w:val="none" w:sz="0" w:space="0" w:color="auto"/>
            <w:bottom w:val="none" w:sz="0" w:space="0" w:color="auto"/>
            <w:right w:val="none" w:sz="0" w:space="0" w:color="auto"/>
          </w:divBdr>
        </w:div>
        <w:div w:id="467211471">
          <w:marLeft w:val="0"/>
          <w:marRight w:val="0"/>
          <w:marTop w:val="0"/>
          <w:marBottom w:val="80"/>
          <w:divBdr>
            <w:top w:val="none" w:sz="0" w:space="0" w:color="auto"/>
            <w:left w:val="none" w:sz="0" w:space="0" w:color="auto"/>
            <w:bottom w:val="none" w:sz="0" w:space="0" w:color="auto"/>
            <w:right w:val="none" w:sz="0" w:space="0" w:color="auto"/>
          </w:divBdr>
        </w:div>
        <w:div w:id="1174564631">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odicooficial.oaxaca.gob.mx/files/2017/10/EXT-DEC702-2017-10-2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E2E0-6546-48FD-8FFD-46A3B7E7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9</Pages>
  <Words>2683</Words>
  <Characters>14757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67</cp:revision>
  <cp:lastPrinted>2018-06-28T19:29:00Z</cp:lastPrinted>
  <dcterms:created xsi:type="dcterms:W3CDTF">2018-08-15T18:26:00Z</dcterms:created>
  <dcterms:modified xsi:type="dcterms:W3CDTF">2019-04-08T19:23:00Z</dcterms:modified>
</cp:coreProperties>
</file>