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09" w:rsidRDefault="003D4009" w:rsidP="00734134">
      <w:pPr>
        <w:spacing w:line="240" w:lineRule="auto"/>
        <w:ind w:left="2124"/>
        <w:jc w:val="both"/>
        <w:rPr>
          <w:rFonts w:ascii="Arial" w:hAnsi="Arial" w:cs="Arial"/>
          <w:b/>
          <w:sz w:val="26"/>
          <w:szCs w:val="26"/>
        </w:rPr>
      </w:pPr>
    </w:p>
    <w:p w:rsidR="00734134" w:rsidRPr="00CB6405" w:rsidRDefault="00734134" w:rsidP="00734134">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734134" w:rsidRPr="00CB6405" w:rsidRDefault="00734134" w:rsidP="00734134">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073/2018</w:t>
      </w:r>
    </w:p>
    <w:p w:rsidR="00734134" w:rsidRPr="00CB6405" w:rsidRDefault="00734134" w:rsidP="00734134">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0347/</w:t>
      </w:r>
      <w:r w:rsidRPr="00CB6405">
        <w:rPr>
          <w:rFonts w:ascii="Arial" w:hAnsi="Arial" w:cs="Arial"/>
          <w:b/>
          <w:sz w:val="26"/>
          <w:szCs w:val="26"/>
        </w:rPr>
        <w:t>201</w:t>
      </w:r>
      <w:r>
        <w:rPr>
          <w:rFonts w:ascii="Arial" w:hAnsi="Arial" w:cs="Arial"/>
          <w:b/>
          <w:sz w:val="26"/>
          <w:szCs w:val="26"/>
        </w:rPr>
        <w:t>6</w:t>
      </w:r>
      <w:r w:rsidRPr="00CB6405">
        <w:rPr>
          <w:rFonts w:ascii="Arial" w:hAnsi="Arial" w:cs="Arial"/>
          <w:b/>
          <w:sz w:val="26"/>
          <w:szCs w:val="26"/>
        </w:rPr>
        <w:t xml:space="preserve"> </w:t>
      </w:r>
      <w:r>
        <w:rPr>
          <w:rFonts w:ascii="Arial" w:hAnsi="Arial" w:cs="Arial"/>
          <w:b/>
          <w:sz w:val="26"/>
          <w:szCs w:val="26"/>
        </w:rPr>
        <w:t>SEXTA S</w:t>
      </w:r>
      <w:r w:rsidRPr="00CB6405">
        <w:rPr>
          <w:rFonts w:ascii="Arial" w:hAnsi="Arial" w:cs="Arial"/>
          <w:b/>
          <w:sz w:val="26"/>
          <w:szCs w:val="26"/>
        </w:rPr>
        <w:t>ALA UNITARIA DE PRIMERA INSTANCIA</w:t>
      </w:r>
    </w:p>
    <w:p w:rsidR="00734134" w:rsidRDefault="00734134" w:rsidP="00734134">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734134" w:rsidRPr="00CB6405" w:rsidRDefault="00734134" w:rsidP="00734134">
      <w:pPr>
        <w:spacing w:line="240" w:lineRule="auto"/>
        <w:ind w:left="2124"/>
        <w:jc w:val="both"/>
        <w:rPr>
          <w:rFonts w:ascii="Arial" w:hAnsi="Arial" w:cs="Arial"/>
          <w:b/>
          <w:sz w:val="26"/>
          <w:szCs w:val="26"/>
        </w:rPr>
      </w:pPr>
    </w:p>
    <w:p w:rsidR="00734134" w:rsidRDefault="008D2C9A" w:rsidP="00734134">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89366C">
        <w:rPr>
          <w:rFonts w:ascii="Arial" w:hAnsi="Arial" w:cs="Arial"/>
          <w:b/>
          <w:sz w:val="26"/>
          <w:szCs w:val="26"/>
        </w:rPr>
        <w:t>CATORCE</w:t>
      </w:r>
      <w:r w:rsidR="00734134">
        <w:rPr>
          <w:rFonts w:ascii="Arial" w:hAnsi="Arial" w:cs="Arial"/>
          <w:b/>
          <w:sz w:val="26"/>
          <w:szCs w:val="26"/>
        </w:rPr>
        <w:t xml:space="preserve"> DE FEBRERO DE DOS MIL DIECINUEVE.</w:t>
      </w:r>
    </w:p>
    <w:p w:rsidR="00734134" w:rsidRPr="00CB6405" w:rsidRDefault="00734134" w:rsidP="00734134">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073</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que remite la Secretaría General de Acuerdos, con motivo del recu</w:t>
      </w:r>
      <w:r>
        <w:rPr>
          <w:rFonts w:ascii="Arial" w:hAnsi="Arial" w:cs="Arial"/>
          <w:sz w:val="26"/>
          <w:szCs w:val="26"/>
        </w:rPr>
        <w:t xml:space="preserve">rso de revisión interpuesto por </w:t>
      </w:r>
      <w:r w:rsidRPr="00F314B4">
        <w:rPr>
          <w:rFonts w:ascii="Arial" w:hAnsi="Arial" w:cs="Arial"/>
          <w:b/>
          <w:sz w:val="26"/>
          <w:szCs w:val="26"/>
        </w:rPr>
        <w:t>ENCARGADO DEL DESPACHO DE LA SECRETARÍA DE VIALIDAD Y TRANSPORTE DEL ESTADO DE OAXACA</w:t>
      </w:r>
      <w:r w:rsidRPr="00CB6405">
        <w:rPr>
          <w:rFonts w:ascii="Arial" w:hAnsi="Arial" w:cs="Arial"/>
          <w:sz w:val="26"/>
          <w:szCs w:val="26"/>
        </w:rPr>
        <w:t>, en contra de</w:t>
      </w:r>
      <w:r>
        <w:rPr>
          <w:rFonts w:ascii="Arial" w:hAnsi="Arial" w:cs="Arial"/>
          <w:sz w:val="26"/>
          <w:szCs w:val="26"/>
        </w:rPr>
        <w:t xml:space="preserve"> la sentencia de nueve de enero de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Pr>
          <w:rFonts w:ascii="Arial" w:hAnsi="Arial" w:cs="Arial"/>
          <w:b/>
          <w:sz w:val="26"/>
          <w:szCs w:val="26"/>
        </w:rPr>
        <w:t>347</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Pr>
          <w:rFonts w:ascii="Arial" w:hAnsi="Arial" w:cs="Arial"/>
          <w:sz w:val="26"/>
          <w:szCs w:val="26"/>
        </w:rPr>
        <w:t xml:space="preserve">Sexta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3A24A8">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Pr>
          <w:rFonts w:ascii="Arial" w:hAnsi="Arial" w:cs="Arial"/>
          <w:b/>
          <w:sz w:val="26"/>
          <w:szCs w:val="26"/>
        </w:rPr>
        <w:t>SECRETARIO, DIRECTORA DE CONCESIONES Y DIRECTOR JURÍDICO, todos de la SECRETARÍA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 xml:space="preserve">vigente al inicio del juico principal, </w:t>
      </w:r>
      <w:r w:rsidRPr="00CB6405">
        <w:rPr>
          <w:rFonts w:ascii="Arial" w:hAnsi="Arial" w:cs="Arial"/>
          <w:sz w:val="26"/>
          <w:szCs w:val="26"/>
        </w:rPr>
        <w:t>se admite. En consecuencia, se procede a dictar resolución en los siguientes términos:</w:t>
      </w:r>
    </w:p>
    <w:p w:rsidR="00734134" w:rsidRPr="00CB6405" w:rsidRDefault="00734134" w:rsidP="00734134">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734134" w:rsidRPr="00CB6405" w:rsidRDefault="00734134" w:rsidP="00734134">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nueve de enero de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Sexta </w:t>
      </w:r>
      <w:r w:rsidRPr="00CB6405">
        <w:rPr>
          <w:rFonts w:ascii="Arial" w:hAnsi="Arial" w:cs="Arial"/>
          <w:sz w:val="26"/>
          <w:szCs w:val="26"/>
        </w:rPr>
        <w:t xml:space="preserve">Sala Unitaria de Primera Instancia, </w:t>
      </w:r>
      <w:r w:rsidRPr="00F314B4">
        <w:rPr>
          <w:rFonts w:ascii="Arial" w:hAnsi="Arial" w:cs="Arial"/>
          <w:b/>
          <w:sz w:val="26"/>
          <w:szCs w:val="26"/>
        </w:rPr>
        <w:t>ENCARGADO DEL DESPACHO DE LA SECRETARÍA DE VIALIDAD Y TRANSPORTE DEL ESTADO DE OAXACA</w:t>
      </w:r>
      <w:r w:rsidRPr="00CB6405">
        <w:rPr>
          <w:rFonts w:ascii="Arial" w:hAnsi="Arial" w:cs="Arial"/>
          <w:sz w:val="26"/>
          <w:szCs w:val="26"/>
        </w:rPr>
        <w:t>, interpuso en su contra recurso de revisión.</w:t>
      </w:r>
    </w:p>
    <w:p w:rsidR="00734134" w:rsidRDefault="00734134" w:rsidP="00734134">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3A24A8" w:rsidRDefault="00734134" w:rsidP="00734134">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Sexta Sala Unitaria fue competente para conocer </w:t>
      </w:r>
      <w:r w:rsidRPr="00C06661">
        <w:rPr>
          <w:rFonts w:ascii="Arial" w:eastAsia="Times New Roman" w:hAnsi="Arial" w:cs="Arial"/>
          <w:bCs/>
          <w:i/>
          <w:iCs/>
          <w:sz w:val="24"/>
          <w:szCs w:val="24"/>
          <w:lang w:eastAsia="es-ES"/>
        </w:rPr>
        <w:t xml:space="preserve">y resolver del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 - - - - - - </w:t>
      </w:r>
      <w:r w:rsidRPr="00C06661">
        <w:rPr>
          <w:rFonts w:ascii="Arial" w:eastAsia="Times New Roman" w:hAnsi="Arial" w:cs="Arial"/>
          <w:b/>
          <w:bCs/>
          <w:i/>
          <w:iCs/>
          <w:sz w:val="24"/>
          <w:szCs w:val="24"/>
          <w:lang w:eastAsia="es-ES"/>
        </w:rPr>
        <w:t>SEGUNDO.</w:t>
      </w:r>
      <w:r>
        <w:rPr>
          <w:rFonts w:ascii="Arial" w:eastAsia="Times New Roman" w:hAnsi="Arial" w:cs="Arial"/>
          <w:b/>
          <w:bCs/>
          <w:i/>
          <w:iCs/>
          <w:sz w:val="24"/>
          <w:szCs w:val="24"/>
          <w:lang w:eastAsia="es-ES"/>
        </w:rPr>
        <w:t>-</w:t>
      </w:r>
      <w:r w:rsidRPr="00C06661">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No se actualizaron causales de improcedencia </w:t>
      </w:r>
      <w:r>
        <w:rPr>
          <w:rFonts w:ascii="Arial" w:eastAsia="Times New Roman" w:hAnsi="Arial" w:cs="Arial"/>
          <w:bCs/>
          <w:i/>
          <w:iCs/>
          <w:sz w:val="24"/>
          <w:szCs w:val="24"/>
          <w:lang w:eastAsia="es-ES"/>
        </w:rPr>
        <w:lastRenderedPageBreak/>
        <w:t xml:space="preserve">y sobreseimiento en el presente juicio.- - </w:t>
      </w:r>
      <w:r w:rsidR="00201A25">
        <w:rPr>
          <w:rFonts w:ascii="Arial" w:eastAsia="Times New Roman" w:hAnsi="Arial" w:cs="Arial"/>
          <w:bCs/>
          <w:i/>
          <w:iCs/>
          <w:sz w:val="24"/>
          <w:szCs w:val="24"/>
          <w:lang w:eastAsia="es-ES"/>
        </w:rPr>
        <w:t xml:space="preserve">- - - - - - - - - - - - - - - </w:t>
      </w:r>
      <w:r>
        <w:rPr>
          <w:rFonts w:ascii="Arial" w:eastAsia="Times New Roman" w:hAnsi="Arial" w:cs="Arial"/>
          <w:b/>
          <w:bCs/>
          <w:i/>
          <w:iCs/>
          <w:sz w:val="24"/>
          <w:szCs w:val="24"/>
          <w:lang w:eastAsia="es-ES"/>
        </w:rPr>
        <w:t xml:space="preserve">TERCERO.- </w:t>
      </w:r>
      <w:r w:rsidRPr="00B420C9">
        <w:rPr>
          <w:rFonts w:ascii="Arial" w:eastAsia="Times New Roman" w:hAnsi="Arial" w:cs="Arial"/>
          <w:bCs/>
          <w:i/>
          <w:iCs/>
          <w:sz w:val="24"/>
          <w:szCs w:val="24"/>
          <w:lang w:eastAsia="es-ES"/>
        </w:rPr>
        <w:t>S</w:t>
      </w:r>
      <w:r>
        <w:rPr>
          <w:rFonts w:ascii="Arial" w:eastAsia="Times New Roman" w:hAnsi="Arial" w:cs="Arial"/>
          <w:bCs/>
          <w:i/>
          <w:iCs/>
          <w:sz w:val="24"/>
          <w:szCs w:val="24"/>
          <w:lang w:eastAsia="es-ES"/>
        </w:rPr>
        <w:t xml:space="preserve">e declara la </w:t>
      </w:r>
      <w:r>
        <w:rPr>
          <w:rFonts w:ascii="Arial" w:eastAsia="Times New Roman" w:hAnsi="Arial" w:cs="Arial"/>
          <w:b/>
          <w:bCs/>
          <w:i/>
          <w:iCs/>
          <w:sz w:val="24"/>
          <w:szCs w:val="24"/>
          <w:lang w:eastAsia="es-ES"/>
        </w:rPr>
        <w:t xml:space="preserve">VALIDEZ PARCIAL </w:t>
      </w:r>
      <w:r>
        <w:rPr>
          <w:rFonts w:ascii="Arial" w:eastAsia="Times New Roman" w:hAnsi="Arial" w:cs="Arial"/>
          <w:bCs/>
          <w:i/>
          <w:iCs/>
          <w:sz w:val="24"/>
          <w:szCs w:val="24"/>
          <w:lang w:eastAsia="es-ES"/>
        </w:rPr>
        <w:t xml:space="preserve">de la Convocatoria para Participar en la Obtención de una Concesión de Taxi en Huajuapan de León, Oaxaca emitida el 22 veintidós de abril del año 2013 dos mil trece, en los términos del considerando sexto de la presente sentencia.- - </w:t>
      </w:r>
      <w:r>
        <w:rPr>
          <w:rFonts w:ascii="Arial" w:eastAsia="Times New Roman" w:hAnsi="Arial" w:cs="Arial"/>
          <w:b/>
          <w:bCs/>
          <w:i/>
          <w:iCs/>
          <w:sz w:val="24"/>
          <w:szCs w:val="24"/>
          <w:lang w:eastAsia="es-ES"/>
        </w:rPr>
        <w:t xml:space="preserve">CUARTO. </w:t>
      </w:r>
      <w:r>
        <w:rPr>
          <w:rFonts w:ascii="Arial" w:eastAsia="Times New Roman" w:hAnsi="Arial" w:cs="Arial"/>
          <w:bCs/>
          <w:i/>
          <w:iCs/>
          <w:sz w:val="24"/>
          <w:szCs w:val="24"/>
          <w:lang w:eastAsia="es-ES"/>
        </w:rPr>
        <w:t xml:space="preserve">Consecuentemente se ordena a las autoridades demandadas que realicen las acciones jurídico-administrativas pertinentes para que </w:t>
      </w:r>
      <w:r w:rsidR="003A24A8">
        <w:rPr>
          <w:rFonts w:ascii="Arial" w:eastAsia="Times New Roman" w:hAnsi="Arial" w:cs="Arial"/>
          <w:bCs/>
          <w:i/>
          <w:iCs/>
          <w:sz w:val="24"/>
          <w:szCs w:val="24"/>
          <w:lang w:eastAsia="es-ES"/>
        </w:rPr>
        <w:t>*********</w:t>
      </w:r>
      <w:proofErr w:type="gramStart"/>
      <w:r w:rsidR="003A24A8">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w:t>
      </w:r>
      <w:proofErr w:type="gramEnd"/>
      <w:r>
        <w:rPr>
          <w:rFonts w:ascii="Arial" w:eastAsia="Times New Roman" w:hAnsi="Arial" w:cs="Arial"/>
          <w:bCs/>
          <w:i/>
          <w:iCs/>
          <w:sz w:val="24"/>
          <w:szCs w:val="24"/>
          <w:lang w:eastAsia="es-ES"/>
        </w:rPr>
        <w:t>sic)</w:t>
      </w:r>
    </w:p>
    <w:p w:rsidR="00734134" w:rsidRPr="00C06661" w:rsidRDefault="00734134" w:rsidP="00734134">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proofErr w:type="gramStart"/>
      <w:r>
        <w:rPr>
          <w:rFonts w:ascii="Arial" w:eastAsia="Times New Roman" w:hAnsi="Arial" w:cs="Arial"/>
          <w:bCs/>
          <w:i/>
          <w:iCs/>
          <w:sz w:val="24"/>
          <w:szCs w:val="24"/>
          <w:lang w:eastAsia="es-ES"/>
        </w:rPr>
        <w:t>aquí</w:t>
      </w:r>
      <w:proofErr w:type="gramEnd"/>
      <w:r>
        <w:rPr>
          <w:rFonts w:ascii="Arial" w:eastAsia="Times New Roman" w:hAnsi="Arial" w:cs="Arial"/>
          <w:bCs/>
          <w:i/>
          <w:iCs/>
          <w:sz w:val="24"/>
          <w:szCs w:val="24"/>
          <w:lang w:eastAsia="es-ES"/>
        </w:rPr>
        <w:t xml:space="preserve"> actor, regularice la unidad de motor con la que presta el servicio de Taxi en la Ciudad de Huajuapan de León, Oaxaca.</w:t>
      </w:r>
      <w:r w:rsidRPr="00C06661">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 xml:space="preserve">- - - - - - - - - - - - - - - - - - - - - - - - - - - - - - - - - </w:t>
      </w:r>
    </w:p>
    <w:p w:rsidR="00734134" w:rsidRPr="00C06661" w:rsidRDefault="00734134" w:rsidP="00734134">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QUINTO</w:t>
      </w:r>
      <w:r w:rsidRPr="00C06661">
        <w:rPr>
          <w:rFonts w:ascii="Arial" w:eastAsia="Times New Roman" w:hAnsi="Arial" w:cs="Arial"/>
          <w:b/>
          <w:bCs/>
          <w:i/>
          <w:iCs/>
          <w:sz w:val="24"/>
          <w:szCs w:val="24"/>
          <w:lang w:eastAsia="es-ES"/>
        </w:rPr>
        <w:t xml:space="preserve">. NOTIFÍQUESE </w:t>
      </w:r>
      <w:r w:rsidRPr="00C94AC7">
        <w:rPr>
          <w:rFonts w:ascii="Arial" w:eastAsia="Times New Roman" w:hAnsi="Arial" w:cs="Arial"/>
          <w:b/>
          <w:bCs/>
          <w:i/>
          <w:iCs/>
          <w:sz w:val="24"/>
          <w:szCs w:val="24"/>
          <w:lang w:eastAsia="es-ES"/>
        </w:rPr>
        <w:t>PERSONALMENTE AL ACTOR</w:t>
      </w:r>
      <w:r>
        <w:rPr>
          <w:rFonts w:ascii="Arial" w:eastAsia="Times New Roman" w:hAnsi="Arial" w:cs="Arial"/>
          <w:b/>
          <w:bCs/>
          <w:i/>
          <w:iCs/>
          <w:sz w:val="24"/>
          <w:szCs w:val="24"/>
          <w:lang w:eastAsia="es-ES"/>
        </w:rPr>
        <w:t xml:space="preserve"> Y </w:t>
      </w:r>
      <w:r w:rsidRPr="00C94AC7">
        <w:rPr>
          <w:rFonts w:ascii="Arial" w:eastAsia="Times New Roman" w:hAnsi="Arial" w:cs="Arial"/>
          <w:b/>
          <w:bCs/>
          <w:i/>
          <w:iCs/>
          <w:sz w:val="24"/>
          <w:szCs w:val="24"/>
          <w:lang w:eastAsia="es-ES"/>
        </w:rPr>
        <w:t>POR OFICIO A LA</w:t>
      </w:r>
      <w:r>
        <w:rPr>
          <w:rFonts w:ascii="Arial" w:eastAsia="Times New Roman" w:hAnsi="Arial" w:cs="Arial"/>
          <w:b/>
          <w:bCs/>
          <w:i/>
          <w:iCs/>
          <w:sz w:val="24"/>
          <w:szCs w:val="24"/>
          <w:lang w:eastAsia="es-ES"/>
        </w:rPr>
        <w:t>S</w:t>
      </w:r>
      <w:r w:rsidRPr="00C94AC7">
        <w:rPr>
          <w:rFonts w:ascii="Arial" w:eastAsia="Times New Roman" w:hAnsi="Arial" w:cs="Arial"/>
          <w:b/>
          <w:bCs/>
          <w:i/>
          <w:iCs/>
          <w:sz w:val="24"/>
          <w:szCs w:val="24"/>
          <w:lang w:eastAsia="es-ES"/>
        </w:rPr>
        <w:t xml:space="preserve"> AUTORIDAD</w:t>
      </w:r>
      <w:r>
        <w:rPr>
          <w:rFonts w:ascii="Arial" w:eastAsia="Times New Roman" w:hAnsi="Arial" w:cs="Arial"/>
          <w:b/>
          <w:bCs/>
          <w:i/>
          <w:iCs/>
          <w:sz w:val="24"/>
          <w:szCs w:val="24"/>
          <w:lang w:eastAsia="es-ES"/>
        </w:rPr>
        <w:t>ES</w:t>
      </w:r>
      <w:r w:rsidRPr="00C94AC7">
        <w:rPr>
          <w:rFonts w:ascii="Arial" w:eastAsia="Times New Roman" w:hAnsi="Arial" w:cs="Arial"/>
          <w:b/>
          <w:bCs/>
          <w:i/>
          <w:iCs/>
          <w:sz w:val="24"/>
          <w:szCs w:val="24"/>
          <w:lang w:eastAsia="es-ES"/>
        </w:rPr>
        <w:t xml:space="preserve"> DEMANDADA</w:t>
      </w:r>
      <w:r>
        <w:rPr>
          <w:rFonts w:ascii="Arial" w:eastAsia="Times New Roman" w:hAnsi="Arial" w:cs="Arial"/>
          <w:b/>
          <w:bCs/>
          <w:i/>
          <w:iCs/>
          <w:sz w:val="24"/>
          <w:szCs w:val="24"/>
          <w:lang w:eastAsia="es-ES"/>
        </w:rPr>
        <w:t xml:space="preserve">S, </w:t>
      </w:r>
      <w:r>
        <w:rPr>
          <w:rFonts w:ascii="Arial" w:eastAsia="Times New Roman" w:hAnsi="Arial" w:cs="Arial"/>
          <w:bCs/>
          <w:i/>
          <w:iCs/>
          <w:sz w:val="24"/>
          <w:szCs w:val="24"/>
          <w:lang w:eastAsia="es-ES"/>
        </w:rPr>
        <w:t>con fundamento en los artículos 142 fracción I y 143 fracciones I y II, de la Ley de Justicia Administrativa y de Cuentas para el Estado de Oaxaca,</w:t>
      </w:r>
      <w:r>
        <w:rPr>
          <w:rFonts w:ascii="Arial" w:eastAsia="Times New Roman" w:hAnsi="Arial" w:cs="Arial"/>
          <w:b/>
          <w:bCs/>
          <w:i/>
          <w:iCs/>
          <w:sz w:val="24"/>
          <w:szCs w:val="24"/>
          <w:lang w:eastAsia="es-ES"/>
        </w:rPr>
        <w:t xml:space="preserve"> CÚMPLASE</w:t>
      </w:r>
      <w:r>
        <w:rPr>
          <w:rFonts w:ascii="Arial" w:eastAsia="Times New Roman" w:hAnsi="Arial" w:cs="Arial"/>
          <w:bCs/>
          <w:i/>
          <w:iCs/>
          <w:sz w:val="24"/>
          <w:szCs w:val="24"/>
          <w:lang w:eastAsia="es-ES"/>
        </w:rPr>
        <w:t xml:space="preserve">.- - - - - - - - - - - - - - - - - - - - </w:t>
      </w:r>
      <w:r w:rsidRPr="00C06661">
        <w:rPr>
          <w:rFonts w:ascii="Arial" w:eastAsia="Times New Roman" w:hAnsi="Arial" w:cs="Arial"/>
          <w:bCs/>
          <w:i/>
          <w:iCs/>
          <w:sz w:val="24"/>
          <w:szCs w:val="24"/>
          <w:lang w:eastAsia="es-ES"/>
        </w:rPr>
        <w:t>”</w:t>
      </w:r>
    </w:p>
    <w:p w:rsidR="00734134" w:rsidRPr="00CB6405" w:rsidRDefault="00734134" w:rsidP="00734134">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734134" w:rsidRPr="00CB6405" w:rsidRDefault="00734134" w:rsidP="00734134">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201A25" w:rsidRPr="00F66D81">
        <w:rPr>
          <w:rFonts w:ascii="Arial" w:hAnsi="Arial" w:cs="Arial"/>
          <w:bCs/>
          <w:iCs/>
          <w:sz w:val="26"/>
          <w:szCs w:val="26"/>
        </w:rPr>
        <w:t xml:space="preserve">Esta Sala Superior es competente para conocer del presente asunto, de </w:t>
      </w:r>
      <w:r w:rsidR="00201A25" w:rsidRPr="00F66D81">
        <w:rPr>
          <w:rFonts w:ascii="Arial" w:hAnsi="Arial" w:cs="Arial"/>
          <w:bCs/>
          <w:iCs/>
          <w:sz w:val="26"/>
          <w:szCs w:val="26"/>
          <w:lang w:eastAsia="es-ES"/>
        </w:rPr>
        <w:t xml:space="preserve">conformidad con lo dispuesto por los artículos 114 Quáter, </w:t>
      </w:r>
      <w:r w:rsidR="00201A25">
        <w:rPr>
          <w:rFonts w:ascii="Arial" w:hAnsi="Arial" w:cs="Arial"/>
          <w:bCs/>
          <w:iCs/>
          <w:sz w:val="26"/>
          <w:szCs w:val="26"/>
          <w:lang w:eastAsia="es-ES"/>
        </w:rPr>
        <w:t>P</w:t>
      </w:r>
      <w:r w:rsidR="00201A25" w:rsidRPr="005A12C4">
        <w:rPr>
          <w:rFonts w:ascii="Arial" w:hAnsi="Arial" w:cs="Arial"/>
          <w:bCs/>
          <w:iCs/>
          <w:sz w:val="26"/>
          <w:szCs w:val="26"/>
          <w:lang w:eastAsia="es-ES"/>
        </w:rPr>
        <w:t>árrafo Tercero de la Constitución Política del Estado Libre y Soberano de Oaxaca</w:t>
      </w:r>
      <w:r w:rsidR="00201A25">
        <w:rPr>
          <w:rFonts w:ascii="Arial" w:hAnsi="Arial" w:cs="Arial"/>
          <w:bCs/>
          <w:iCs/>
          <w:sz w:val="26"/>
          <w:szCs w:val="26"/>
          <w:lang w:eastAsia="es-ES"/>
        </w:rPr>
        <w:t>; Cuarto y</w:t>
      </w:r>
      <w:r w:rsidR="00201A25"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201A25" w:rsidRPr="00F66D81">
        <w:rPr>
          <w:rFonts w:ascii="Arial" w:hAnsi="Arial" w:cs="Arial"/>
          <w:bCs/>
          <w:iCs/>
          <w:sz w:val="26"/>
          <w:szCs w:val="26"/>
        </w:rPr>
        <w:t xml:space="preserve">86, 88, 92, 93, fracción I, 94, 201, 206 y 208, de la Ley de Justicia Administrativa para el Estado de Oaxaca, vigente hasta el </w:t>
      </w:r>
      <w:r w:rsidR="00201A25">
        <w:rPr>
          <w:rFonts w:ascii="Arial" w:hAnsi="Arial" w:cs="Arial"/>
          <w:bCs/>
          <w:iCs/>
          <w:sz w:val="26"/>
          <w:szCs w:val="26"/>
        </w:rPr>
        <w:t xml:space="preserve">20 veinte </w:t>
      </w:r>
      <w:r w:rsidR="00201A25" w:rsidRPr="00F66D81">
        <w:rPr>
          <w:rFonts w:ascii="Arial" w:hAnsi="Arial" w:cs="Arial"/>
          <w:bCs/>
          <w:iCs/>
          <w:sz w:val="26"/>
          <w:szCs w:val="26"/>
        </w:rPr>
        <w:t xml:space="preserve">de octubre de </w:t>
      </w:r>
      <w:r w:rsidR="00201A25">
        <w:rPr>
          <w:rFonts w:ascii="Arial" w:hAnsi="Arial" w:cs="Arial"/>
          <w:bCs/>
          <w:iCs/>
          <w:sz w:val="26"/>
          <w:szCs w:val="26"/>
        </w:rPr>
        <w:t>2017</w:t>
      </w:r>
      <w:r w:rsidR="00201A25" w:rsidRPr="00F66D81">
        <w:rPr>
          <w:rFonts w:ascii="Arial" w:hAnsi="Arial" w:cs="Arial"/>
          <w:bCs/>
          <w:iCs/>
          <w:sz w:val="26"/>
          <w:szCs w:val="26"/>
        </w:rPr>
        <w:t xml:space="preserve"> dos mil diecisiete</w:t>
      </w:r>
      <w:r w:rsidR="00201A25">
        <w:rPr>
          <w:rFonts w:ascii="Arial" w:hAnsi="Arial" w:cs="Arial"/>
          <w:bCs/>
          <w:iCs/>
          <w:sz w:val="26"/>
          <w:szCs w:val="26"/>
        </w:rPr>
        <w:t>,</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a</w:t>
      </w:r>
      <w:r w:rsidRPr="00CB6405">
        <w:rPr>
          <w:rFonts w:ascii="Arial" w:hAnsi="Arial" w:cs="Arial"/>
          <w:bCs/>
          <w:iCs/>
          <w:sz w:val="26"/>
          <w:szCs w:val="26"/>
        </w:rPr>
        <w:t xml:space="preserve"> </w:t>
      </w:r>
      <w:r>
        <w:rPr>
          <w:rFonts w:ascii="Arial" w:hAnsi="Arial" w:cs="Arial"/>
          <w:bCs/>
          <w:iCs/>
          <w:sz w:val="26"/>
          <w:szCs w:val="26"/>
        </w:rPr>
        <w:t xml:space="preserve">sentencia de nueve de enero de </w:t>
      </w:r>
      <w:r w:rsidRPr="00CB6405">
        <w:rPr>
          <w:rFonts w:ascii="Arial" w:hAnsi="Arial" w:cs="Arial"/>
          <w:bCs/>
          <w:iCs/>
          <w:sz w:val="26"/>
          <w:szCs w:val="26"/>
        </w:rPr>
        <w:t>dos mil dieci</w:t>
      </w:r>
      <w:r>
        <w:rPr>
          <w:rFonts w:ascii="Arial" w:hAnsi="Arial" w:cs="Arial"/>
          <w:bCs/>
          <w:iCs/>
          <w:sz w:val="26"/>
          <w:szCs w:val="26"/>
        </w:rPr>
        <w:t xml:space="preserve">ocho, dictada </w:t>
      </w:r>
      <w:r w:rsidRPr="00CB6405">
        <w:rPr>
          <w:rFonts w:ascii="Arial" w:hAnsi="Arial" w:cs="Arial"/>
          <w:bCs/>
          <w:iCs/>
          <w:sz w:val="26"/>
          <w:szCs w:val="26"/>
        </w:rPr>
        <w:t xml:space="preserve">por la </w:t>
      </w:r>
      <w:r>
        <w:rPr>
          <w:rFonts w:ascii="Arial" w:hAnsi="Arial" w:cs="Arial"/>
          <w:bCs/>
          <w:iCs/>
          <w:sz w:val="26"/>
          <w:szCs w:val="26"/>
        </w:rPr>
        <w:t xml:space="preserve">Sexta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347/2016</w:t>
      </w:r>
      <w:r w:rsidRPr="00CB6405">
        <w:rPr>
          <w:rFonts w:ascii="Arial" w:hAnsi="Arial" w:cs="Arial"/>
          <w:sz w:val="26"/>
          <w:szCs w:val="26"/>
        </w:rPr>
        <w:t>.</w:t>
      </w:r>
    </w:p>
    <w:p w:rsidR="00734134" w:rsidRPr="00CB6405" w:rsidRDefault="00734134" w:rsidP="00734134">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734134" w:rsidRDefault="00734134" w:rsidP="00734134">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6E3040">
        <w:rPr>
          <w:rFonts w:ascii="Arial" w:eastAsia="Calibri" w:hAnsi="Arial" w:cs="Arial"/>
          <w:bCs/>
          <w:sz w:val="26"/>
          <w:szCs w:val="26"/>
        </w:rPr>
        <w:t xml:space="preserve">Son </w:t>
      </w:r>
      <w:r w:rsidRPr="006E3040">
        <w:rPr>
          <w:rFonts w:ascii="Arial" w:eastAsia="Calibri" w:hAnsi="Arial" w:cs="Arial"/>
          <w:b/>
          <w:bCs/>
          <w:sz w:val="26"/>
          <w:szCs w:val="26"/>
        </w:rPr>
        <w:t>sustancialmente</w:t>
      </w:r>
      <w:r>
        <w:rPr>
          <w:rFonts w:ascii="Arial" w:eastAsia="Calibri" w:hAnsi="Arial" w:cs="Arial"/>
          <w:b/>
          <w:bCs/>
          <w:sz w:val="26"/>
          <w:szCs w:val="26"/>
        </w:rPr>
        <w:t xml:space="preserve"> fundados </w:t>
      </w:r>
      <w:r>
        <w:rPr>
          <w:rFonts w:ascii="Arial" w:eastAsia="Calibri" w:hAnsi="Arial" w:cs="Arial"/>
          <w:bCs/>
          <w:sz w:val="26"/>
          <w:szCs w:val="26"/>
        </w:rPr>
        <w:t>los agravios planteados por el revisionista, en los que alega que la consideración del resolutor realizada en el sentido de que se contravienen los principios de equidad social y productividad, es incorrecto, porque en el procedimiento para el otorgamiento de concesiones para la prestación del servicio público de transporte, el Estado interviene en su calidad de concesionante y los particulares como solicitantes que se sujetan a las disposiciones contenidas en las normas encargadas de regular el procedimiento, como lo dispone el artículo 18 de la Ley de Tránsito; que en el caso en análisis, si bien la convocatoria fue dirigida a ciudadanos que acreditaron ser propietarios de vehículos susceptibles a regularizar, a los que se les entregó un tarjetón y una calcomanía, el actor no aportó medios de pruebas idóneos de ser propietario de un vehículo tendiente a regularizarse, ni que el otorgamiento de los elementos de identificación fueran entregas de forma irregular.</w:t>
      </w:r>
    </w:p>
    <w:p w:rsidR="002C2E8D" w:rsidRDefault="002C2E8D" w:rsidP="002C2E8D">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manifestaciones son </w:t>
      </w:r>
      <w:r>
        <w:rPr>
          <w:rFonts w:ascii="Arial" w:eastAsia="Calibri" w:hAnsi="Arial" w:cs="Arial"/>
          <w:b/>
          <w:bCs/>
          <w:sz w:val="26"/>
          <w:szCs w:val="26"/>
        </w:rPr>
        <w:t>acertadas</w:t>
      </w:r>
      <w:r>
        <w:rPr>
          <w:rFonts w:ascii="Arial" w:eastAsia="Calibri" w:hAnsi="Arial" w:cs="Arial"/>
          <w:bCs/>
          <w:sz w:val="26"/>
          <w:szCs w:val="26"/>
        </w:rPr>
        <w:t xml:space="preserve">, es así, pues del análisis </w:t>
      </w:r>
      <w:r w:rsidR="00F66942">
        <w:rPr>
          <w:rFonts w:ascii="Arial" w:eastAsia="Calibri" w:hAnsi="Arial" w:cs="Arial"/>
          <w:bCs/>
          <w:sz w:val="26"/>
          <w:szCs w:val="26"/>
        </w:rPr>
        <w:t>de las constancias del expediente natural, se obtiene e</w:t>
      </w:r>
      <w:r>
        <w:rPr>
          <w:rFonts w:ascii="Arial" w:eastAsia="Calibri" w:hAnsi="Arial" w:cs="Arial"/>
          <w:bCs/>
          <w:sz w:val="26"/>
          <w:szCs w:val="26"/>
        </w:rPr>
        <w:t xml:space="preserve">l acto impugnado (Convocatoria para participar en el procedimiento administrativo para la obtención de títulos de concesión para la prestación del servicio público de pasajeros en la modalidad de taxi, en la ciudad de Huajuapan de León, Oaxaca) agregada </w:t>
      </w:r>
      <w:r w:rsidR="00F66942">
        <w:rPr>
          <w:rFonts w:ascii="Arial" w:eastAsia="Calibri" w:hAnsi="Arial" w:cs="Arial"/>
          <w:bCs/>
          <w:sz w:val="26"/>
          <w:szCs w:val="26"/>
        </w:rPr>
        <w:t>a folios 23 veintitrés y 24 veinticuatro del sumario principal</w:t>
      </w:r>
      <w:r>
        <w:rPr>
          <w:rFonts w:ascii="Arial" w:eastAsia="Calibri" w:hAnsi="Arial" w:cs="Arial"/>
          <w:bCs/>
          <w:sz w:val="26"/>
          <w:szCs w:val="26"/>
        </w:rPr>
        <w:t>, a las que se les concede pleno valor probatorio conforme lo dispuesto por el artículo 173 fracción I</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la Ley de Justicia Administrativa para el Estado, por tratase de actuaciones judiciales; se advierte, que la Secretaría de Vialidad y Transporte del Estado de Oaxaca, como lo dispone el artículo 18</w:t>
      </w:r>
      <w:r>
        <w:rPr>
          <w:rStyle w:val="Refdenotaalpie"/>
          <w:rFonts w:ascii="Arial" w:eastAsia="Calibri" w:hAnsi="Arial" w:cs="Arial"/>
          <w:bCs/>
          <w:sz w:val="26"/>
          <w:szCs w:val="26"/>
        </w:rPr>
        <w:footnoteReference w:id="2"/>
      </w:r>
      <w:r>
        <w:rPr>
          <w:rFonts w:ascii="Arial" w:eastAsia="Calibri" w:hAnsi="Arial" w:cs="Arial"/>
          <w:bCs/>
          <w:sz w:val="26"/>
          <w:szCs w:val="26"/>
        </w:rPr>
        <w:t xml:space="preserve"> de la Ley de Tránsito reformada para el Estado, practicó un estudio de factibilidad, con el propósito de identificar las unidades de motor que prestaban el servicio de transporte de pasajeros en la modalidad de taxi, sin contar con la autorización oficial debida en la ciudad de Huajuapan de León, Oaxaca, logrando identificar aquellas unidades susceptibles de regularizarse, a las que les asignó un juego de elementos identificatorios oficiales, consistentes en un tarjetón y una calcomanía; para seguidamente convocar a los interesados en participar en el procedimiento administrativo</w:t>
      </w:r>
      <w:r w:rsidR="00F66942">
        <w:rPr>
          <w:rFonts w:ascii="Arial" w:eastAsia="Calibri" w:hAnsi="Arial" w:cs="Arial"/>
          <w:bCs/>
          <w:sz w:val="26"/>
          <w:szCs w:val="26"/>
        </w:rPr>
        <w:t xml:space="preserve"> de regularización</w:t>
      </w:r>
      <w:r>
        <w:rPr>
          <w:rFonts w:ascii="Arial" w:eastAsia="Calibri" w:hAnsi="Arial" w:cs="Arial"/>
          <w:bCs/>
          <w:sz w:val="26"/>
          <w:szCs w:val="26"/>
        </w:rPr>
        <w:t xml:space="preserve"> para la obtención de títulos de concesión para la prestación del servicio público de transporte de pasajeros, en la modalidad de taxi; esto bajo las siguientes bases:</w:t>
      </w:r>
    </w:p>
    <w:p w:rsidR="002C2E8D" w:rsidRPr="00F048DB" w:rsidRDefault="002C2E8D" w:rsidP="002C2E8D">
      <w:pPr>
        <w:spacing w:before="240" w:line="240" w:lineRule="auto"/>
        <w:ind w:left="1134" w:right="474"/>
        <w:jc w:val="both"/>
        <w:rPr>
          <w:rFonts w:ascii="Arial" w:eastAsia="Calibri" w:hAnsi="Arial" w:cs="Arial"/>
          <w:bCs/>
          <w:i/>
        </w:rPr>
      </w:pPr>
      <w:r>
        <w:rPr>
          <w:rFonts w:ascii="Arial" w:eastAsia="Calibri" w:hAnsi="Arial" w:cs="Arial"/>
          <w:bCs/>
          <w:sz w:val="26"/>
          <w:szCs w:val="26"/>
        </w:rPr>
        <w:t>“</w:t>
      </w:r>
      <w:r w:rsidRPr="00F048DB">
        <w:rPr>
          <w:rFonts w:ascii="Arial" w:eastAsia="Calibri" w:hAnsi="Arial" w:cs="Arial"/>
          <w:b/>
          <w:bCs/>
          <w:i/>
        </w:rPr>
        <w:t>PRIMERA</w:t>
      </w:r>
      <w:r w:rsidRPr="00F048DB">
        <w:rPr>
          <w:rFonts w:ascii="Arial" w:eastAsia="Calibri" w:hAnsi="Arial" w:cs="Arial"/>
          <w:bCs/>
          <w:i/>
        </w:rPr>
        <w:t>. PODRÁN PRESENTAR SUS SOLICITUDES ÚNICAMENTE LOS PROPIETARIOS DE UNIDADES DE MOTOR QUE SE ENCUENTREN REGISTRADOS EN EL PROCESO DE IDENTIFICACIÓN DE UNIDADES SUSCEPTIBLES DE REGULARIZARSE Y QUE CUENTEN CON LOS ELEMENTOS DE IDENTIFICACIÓN PROPORCIONADOS POR LA SECRETARÍA DEBIDAMENTE ADHERIDA Y LA EXHIBICIÓN DEL TARJETÓN ENTREGADO POR LA DEPENDENCIA A LOS PROPIETARIOS.</w:t>
      </w:r>
    </w:p>
    <w:p w:rsidR="002C2E8D" w:rsidRPr="00F048DB" w:rsidRDefault="002C2E8D" w:rsidP="002C2E8D">
      <w:pPr>
        <w:spacing w:before="240" w:line="240" w:lineRule="auto"/>
        <w:ind w:left="1134" w:right="474"/>
        <w:jc w:val="both"/>
        <w:rPr>
          <w:rFonts w:ascii="Arial" w:eastAsia="Calibri" w:hAnsi="Arial" w:cs="Arial"/>
          <w:bCs/>
          <w:i/>
        </w:rPr>
      </w:pPr>
      <w:r w:rsidRPr="00F048DB">
        <w:rPr>
          <w:rFonts w:ascii="Arial" w:eastAsia="Calibri" w:hAnsi="Arial" w:cs="Arial"/>
          <w:b/>
          <w:bCs/>
          <w:i/>
        </w:rPr>
        <w:t>SEGUNDA</w:t>
      </w:r>
      <w:r w:rsidRPr="00F048DB">
        <w:rPr>
          <w:rFonts w:ascii="Arial" w:eastAsia="Calibri" w:hAnsi="Arial" w:cs="Arial"/>
          <w:bCs/>
          <w:i/>
        </w:rPr>
        <w:t>. LAS SOLICITUDES DEBERÁN PRESENTARSE MEDIANTE ESCRITO LIBRE DIRIGIDO AL TITULAR DE LA SECRETARÍA DE VIALIDAD Y TRANSPORTE DONDE MANIFIESTE SU INTERÉS EN LA OBTENCIÓN DE UNA CONCESIÓN, ANEXADO LA DOCUMENTACIÓN PARA ACREDITAR EL CUMPLIMIENTO DE LOS REQUISITOS PREVISTOS EN LAS FRACCIONES I YVII DEL ARTÍCULO 94 DEL REGLAMENTO DE LA LEY DE TRÁNSITO CONFORME A LOS SIGUIENTE:</w:t>
      </w:r>
    </w:p>
    <w:p w:rsidR="002C2E8D" w:rsidRPr="00F048DB" w:rsidRDefault="002C2E8D" w:rsidP="002C2E8D">
      <w:pPr>
        <w:spacing w:before="240" w:line="240" w:lineRule="auto"/>
        <w:ind w:left="1134" w:right="474"/>
        <w:jc w:val="both"/>
        <w:rPr>
          <w:rFonts w:ascii="Arial" w:eastAsia="Calibri" w:hAnsi="Arial" w:cs="Arial"/>
          <w:bCs/>
          <w:i/>
        </w:rPr>
      </w:pPr>
      <w:r w:rsidRPr="00F048DB">
        <w:rPr>
          <w:rFonts w:ascii="Arial" w:eastAsia="Calibri" w:hAnsi="Arial" w:cs="Arial"/>
          <w:bCs/>
          <w:i/>
        </w:rPr>
        <w:t>SOLICITUD (INDICANDO DATOS PERSONALES: NOMBRE, EDAD, ESTADO CIVIL, DOMICILIO, ESCOLARIDAD, OCUPACIÓN ACTUAL, TELÉFONO Y/O CORREO ELECTRÓNICO)</w:t>
      </w:r>
    </w:p>
    <w:p w:rsidR="002C2E8D" w:rsidRPr="00F048DB" w:rsidRDefault="002C2E8D" w:rsidP="002C2E8D">
      <w:pPr>
        <w:pStyle w:val="Sinespaciado"/>
        <w:ind w:left="1134" w:right="474"/>
        <w:jc w:val="both"/>
        <w:rPr>
          <w:rFonts w:ascii="Arial" w:hAnsi="Arial" w:cs="Arial"/>
          <w:i/>
        </w:rPr>
      </w:pPr>
      <w:r w:rsidRPr="00F048DB">
        <w:rPr>
          <w:rFonts w:ascii="Arial" w:hAnsi="Arial" w:cs="Arial"/>
          <w:i/>
        </w:rPr>
        <w:t>1) ACTA DE NACIMIENTO (ORIGINAL).</w:t>
      </w:r>
    </w:p>
    <w:p w:rsidR="002C2E8D" w:rsidRPr="00F048DB" w:rsidRDefault="002C2E8D" w:rsidP="002C2E8D">
      <w:pPr>
        <w:pStyle w:val="Sinespaciado"/>
        <w:ind w:left="1134" w:right="474"/>
        <w:jc w:val="both"/>
        <w:rPr>
          <w:rFonts w:ascii="Arial" w:hAnsi="Arial" w:cs="Arial"/>
          <w:i/>
        </w:rPr>
      </w:pPr>
      <w:r w:rsidRPr="00F048DB">
        <w:rPr>
          <w:rFonts w:ascii="Arial" w:hAnsi="Arial" w:cs="Arial"/>
          <w:i/>
        </w:rPr>
        <w:t>2) CLAVE ÚNICA DE REGISTRO DE POB</w:t>
      </w:r>
      <w:r w:rsidR="00CC1CB2">
        <w:rPr>
          <w:rFonts w:ascii="Arial" w:hAnsi="Arial" w:cs="Arial"/>
          <w:i/>
        </w:rPr>
        <w:t>L</w:t>
      </w:r>
      <w:r w:rsidRPr="00F048DB">
        <w:rPr>
          <w:rFonts w:ascii="Arial" w:hAnsi="Arial" w:cs="Arial"/>
          <w:i/>
        </w:rPr>
        <w:t>ACIÓN C U R P (COPIA).</w:t>
      </w:r>
    </w:p>
    <w:p w:rsidR="002C2E8D" w:rsidRPr="00F048DB" w:rsidRDefault="002C2E8D" w:rsidP="002C2E8D">
      <w:pPr>
        <w:pStyle w:val="Sinespaciado"/>
        <w:ind w:left="1134" w:right="474"/>
        <w:jc w:val="both"/>
        <w:rPr>
          <w:rFonts w:ascii="Arial" w:hAnsi="Arial" w:cs="Arial"/>
          <w:i/>
        </w:rPr>
      </w:pPr>
      <w:r w:rsidRPr="00F048DB">
        <w:rPr>
          <w:rFonts w:ascii="Arial" w:hAnsi="Arial" w:cs="Arial"/>
          <w:i/>
        </w:rPr>
        <w:t>3) CREDENCIAL DE ELECTOR (ORIGINAL Y COPIA PARA COTEJO).</w:t>
      </w:r>
    </w:p>
    <w:p w:rsidR="002C2E8D" w:rsidRPr="00F048DB" w:rsidRDefault="002C2E8D" w:rsidP="002C2E8D">
      <w:pPr>
        <w:pStyle w:val="Sinespaciado"/>
        <w:ind w:left="1134" w:right="474"/>
        <w:jc w:val="both"/>
        <w:rPr>
          <w:rFonts w:ascii="Arial" w:hAnsi="Arial" w:cs="Arial"/>
          <w:i/>
        </w:rPr>
      </w:pPr>
      <w:r w:rsidRPr="00F048DB">
        <w:rPr>
          <w:rFonts w:ascii="Arial" w:hAnsi="Arial" w:cs="Arial"/>
          <w:i/>
        </w:rPr>
        <w:t>4) COMPROBANTE DE DOMICILIO (ORIGINAL Y COPIA PARA COTEJO).</w:t>
      </w:r>
    </w:p>
    <w:p w:rsidR="002C2E8D" w:rsidRPr="00F048DB" w:rsidRDefault="002C2E8D" w:rsidP="002C2E8D">
      <w:pPr>
        <w:pStyle w:val="Sinespaciado"/>
        <w:ind w:left="1134" w:right="474"/>
        <w:jc w:val="both"/>
        <w:rPr>
          <w:rFonts w:ascii="Arial" w:hAnsi="Arial" w:cs="Arial"/>
          <w:i/>
        </w:rPr>
      </w:pPr>
      <w:r w:rsidRPr="00F048DB">
        <w:rPr>
          <w:rFonts w:ascii="Arial" w:hAnsi="Arial" w:cs="Arial"/>
          <w:i/>
        </w:rPr>
        <w:t>5) LICENCIA DE CONDUCIR.</w:t>
      </w:r>
    </w:p>
    <w:p w:rsidR="002C2E8D" w:rsidRPr="00F048DB" w:rsidRDefault="002C2E8D" w:rsidP="002C2E8D">
      <w:pPr>
        <w:pStyle w:val="Sinespaciado"/>
        <w:ind w:left="1134" w:right="474"/>
        <w:jc w:val="both"/>
        <w:rPr>
          <w:rFonts w:ascii="Arial" w:hAnsi="Arial" w:cs="Arial"/>
          <w:i/>
        </w:rPr>
      </w:pPr>
      <w:r w:rsidRPr="00F048DB">
        <w:rPr>
          <w:rFonts w:ascii="Arial" w:hAnsi="Arial" w:cs="Arial"/>
          <w:i/>
        </w:rPr>
        <w:t>6) CARTA DE ANUENCIA DE LA AUTORIDAD MUNICIPAL.</w:t>
      </w:r>
    </w:p>
    <w:p w:rsidR="002C2E8D" w:rsidRPr="00F048DB" w:rsidRDefault="002C2E8D" w:rsidP="002C2E8D">
      <w:pPr>
        <w:pStyle w:val="Sinespaciado"/>
        <w:ind w:left="1134" w:right="474"/>
        <w:jc w:val="both"/>
        <w:rPr>
          <w:rFonts w:ascii="Arial" w:hAnsi="Arial" w:cs="Arial"/>
          <w:i/>
        </w:rPr>
      </w:pPr>
    </w:p>
    <w:p w:rsidR="002C2E8D" w:rsidRPr="00F048DB" w:rsidRDefault="002C2E8D" w:rsidP="002C2E8D">
      <w:pPr>
        <w:pStyle w:val="Sinespaciado"/>
        <w:ind w:left="1134" w:right="474"/>
        <w:jc w:val="both"/>
        <w:rPr>
          <w:rFonts w:ascii="Arial" w:hAnsi="Arial" w:cs="Arial"/>
          <w:i/>
          <w:sz w:val="24"/>
          <w:szCs w:val="24"/>
        </w:rPr>
      </w:pPr>
      <w:r w:rsidRPr="00F048DB">
        <w:rPr>
          <w:rFonts w:ascii="Arial" w:hAnsi="Arial" w:cs="Arial"/>
          <w:i/>
        </w:rPr>
        <w:t xml:space="preserve">ADEMÁS DE LO ANTERIOR, DEBERÁ INDICAR EN SU SOLICITUD DEL </w:t>
      </w:r>
      <w:r w:rsidR="00EC044D">
        <w:rPr>
          <w:rFonts w:ascii="Arial" w:hAnsi="Arial" w:cs="Arial"/>
          <w:i/>
        </w:rPr>
        <w:t>TARJETÓN ENTREGADOS EN EL PROCES</w:t>
      </w:r>
      <w:r w:rsidRPr="00F048DB">
        <w:rPr>
          <w:rFonts w:ascii="Arial" w:hAnsi="Arial" w:cs="Arial"/>
          <w:i/>
        </w:rPr>
        <w:t>O DE IDENTIFICACIÓN DE UNIDADES SUSCEPTIBLES A REGULARIZAR.</w:t>
      </w:r>
      <w:r w:rsidRPr="00F048DB">
        <w:rPr>
          <w:rFonts w:ascii="Arial" w:hAnsi="Arial" w:cs="Arial"/>
          <w:i/>
          <w:sz w:val="26"/>
          <w:szCs w:val="26"/>
        </w:rPr>
        <w:t>”</w:t>
      </w:r>
    </w:p>
    <w:p w:rsidR="002C2E8D" w:rsidRDefault="002C2E8D" w:rsidP="002C2E8D">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De lo anterior se sigue, que la convocatoria fue dirigida a ciudadanos que acreditaron ser propietarios de vehículos susceptibles a regularizarse, a los que se les entregaron un tarjetón y una calcomanía</w:t>
      </w:r>
      <w:r w:rsidR="00F66942">
        <w:rPr>
          <w:rFonts w:ascii="Arial" w:eastAsia="Calibri" w:hAnsi="Arial" w:cs="Arial"/>
          <w:bCs/>
          <w:sz w:val="26"/>
          <w:szCs w:val="26"/>
        </w:rPr>
        <w:t xml:space="preserve"> </w:t>
      </w:r>
      <w:r w:rsidR="00F66942">
        <w:rPr>
          <w:rFonts w:ascii="Arial" w:eastAsia="Calibri" w:hAnsi="Arial" w:cs="Arial"/>
          <w:b/>
          <w:bCs/>
          <w:sz w:val="26"/>
          <w:szCs w:val="26"/>
        </w:rPr>
        <w:t xml:space="preserve">y, </w:t>
      </w:r>
      <w:r>
        <w:rPr>
          <w:rFonts w:ascii="Arial" w:eastAsia="Calibri" w:hAnsi="Arial" w:cs="Arial"/>
          <w:bCs/>
          <w:sz w:val="26"/>
          <w:szCs w:val="26"/>
        </w:rPr>
        <w:t>el actor no aportó medios de prueba idóneos que acreditaran que es propietario de un vehículo tendiente a regularizarse</w:t>
      </w:r>
      <w:r w:rsidR="00F66942">
        <w:rPr>
          <w:rFonts w:ascii="Arial" w:eastAsia="Calibri" w:hAnsi="Arial" w:cs="Arial"/>
          <w:bCs/>
          <w:sz w:val="26"/>
          <w:szCs w:val="26"/>
        </w:rPr>
        <w:t>, ni indicó en su solicitud el tarjetón entregado en el proceso de identificación de unidades susceptibles a regularizarse</w:t>
      </w:r>
      <w:r>
        <w:rPr>
          <w:rFonts w:ascii="Arial" w:eastAsia="Calibri" w:hAnsi="Arial" w:cs="Arial"/>
          <w:bCs/>
          <w:sz w:val="26"/>
          <w:szCs w:val="26"/>
        </w:rPr>
        <w:t xml:space="preserve">; pues de constancias de autos no se advierte haya exhibido los documentos referidos en la bases primera y segunda de la convocatoria, además de que el propio actor corroboró mediante escrito de veinticinco de junio de dos mil trece (folios </w:t>
      </w:r>
      <w:r w:rsidR="00422A03">
        <w:rPr>
          <w:rFonts w:ascii="Arial" w:eastAsia="Calibri" w:hAnsi="Arial" w:cs="Arial"/>
          <w:bCs/>
          <w:sz w:val="26"/>
          <w:szCs w:val="26"/>
        </w:rPr>
        <w:t>201</w:t>
      </w:r>
      <w:r>
        <w:rPr>
          <w:rFonts w:ascii="Arial" w:eastAsia="Calibri" w:hAnsi="Arial" w:cs="Arial"/>
          <w:bCs/>
          <w:sz w:val="26"/>
          <w:szCs w:val="26"/>
        </w:rPr>
        <w:t xml:space="preserve"> y </w:t>
      </w:r>
      <w:r w:rsidR="00422A03">
        <w:rPr>
          <w:rFonts w:ascii="Arial" w:eastAsia="Calibri" w:hAnsi="Arial" w:cs="Arial"/>
          <w:bCs/>
          <w:sz w:val="26"/>
          <w:szCs w:val="26"/>
        </w:rPr>
        <w:t>202</w:t>
      </w:r>
      <w:r>
        <w:rPr>
          <w:rFonts w:ascii="Arial" w:eastAsia="Calibri" w:hAnsi="Arial" w:cs="Arial"/>
          <w:bCs/>
          <w:sz w:val="26"/>
          <w:szCs w:val="26"/>
        </w:rPr>
        <w:t>) al manifestar “</w:t>
      </w:r>
      <w:r w:rsidRPr="00246EEA">
        <w:rPr>
          <w:rFonts w:ascii="Arial" w:eastAsia="Calibri" w:hAnsi="Arial" w:cs="Arial"/>
          <w:bCs/>
          <w:i/>
          <w:sz w:val="24"/>
          <w:szCs w:val="24"/>
        </w:rPr>
        <w:t>El vehículo antes descrito, no se encuentra registrado en el proceso de identificación de unidades susceptibles de regularizarse, tampoco cuenta con los elementos de identificación ni con el tarjetón proporcionados por la Secretaría de Vialidad y Transporte del Estado de Oaxaca</w:t>
      </w:r>
      <w:r>
        <w:rPr>
          <w:rFonts w:ascii="Arial" w:eastAsia="Calibri" w:hAnsi="Arial" w:cs="Arial"/>
          <w:bCs/>
          <w:sz w:val="26"/>
          <w:szCs w:val="26"/>
        </w:rPr>
        <w:t>.”; de ahí que, no exista violación al principio de equidad social, como lo aduce la Primera Instancia, pues en la convocatoria materia del juicio de nulidad, se establecieron una serie de requisitos a cumplirse para poder participar en el procedimiento indicado, mismos que no fueron acatados.</w:t>
      </w:r>
    </w:p>
    <w:p w:rsidR="00F66942" w:rsidRDefault="00F66942" w:rsidP="00F66942">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Alega también, que le causa agravio la declaración de validez parcial de</w:t>
      </w:r>
      <w:r w:rsidR="00CC1CB2">
        <w:rPr>
          <w:rFonts w:ascii="Arial" w:eastAsia="Calibri" w:hAnsi="Arial" w:cs="Arial"/>
          <w:bCs/>
          <w:sz w:val="26"/>
          <w:szCs w:val="26"/>
        </w:rPr>
        <w:t xml:space="preserve"> </w:t>
      </w:r>
      <w:r>
        <w:rPr>
          <w:rFonts w:ascii="Arial" w:eastAsia="Calibri" w:hAnsi="Arial" w:cs="Arial"/>
          <w:bCs/>
          <w:sz w:val="26"/>
          <w:szCs w:val="26"/>
        </w:rPr>
        <w:t xml:space="preserve">la convocatoria impugnada, para el efecto de que se realicen las acciones jurídico administrativas para que </w:t>
      </w:r>
      <w:r w:rsidR="003A24A8">
        <w:rPr>
          <w:rFonts w:ascii="Arial" w:eastAsia="Calibri" w:hAnsi="Arial" w:cs="Arial"/>
          <w:bCs/>
          <w:sz w:val="26"/>
          <w:szCs w:val="26"/>
        </w:rPr>
        <w:t>**********</w:t>
      </w:r>
      <w:r>
        <w:rPr>
          <w:rFonts w:ascii="Arial" w:eastAsia="Calibri" w:hAnsi="Arial" w:cs="Arial"/>
          <w:bCs/>
          <w:sz w:val="26"/>
          <w:szCs w:val="26"/>
        </w:rPr>
        <w:t xml:space="preserve">, regularice la unidad de motor con la que presuntamente presta el servicio público de transporte (taxi) en la localidad de Huajuapan de León, Oaxaca, pues considera que tal acción contravendría disposiciones de orden público y se alteraría la armonía y paz social de la localidad, al afectarse la esfera jurídica de los verdaderos concesionarios que se presentaron con su debida documentación, en tiempo y forma, reiterando, que el actor no probó contar con un vehículo de motor susceptible de regularizarse. </w:t>
      </w:r>
    </w:p>
    <w:p w:rsidR="00F66942" w:rsidRDefault="00F66942" w:rsidP="00F66942">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Del mismo modo es </w:t>
      </w:r>
      <w:r>
        <w:rPr>
          <w:rFonts w:ascii="Arial" w:eastAsia="Calibri" w:hAnsi="Arial" w:cs="Arial"/>
          <w:b/>
          <w:bCs/>
          <w:sz w:val="26"/>
          <w:szCs w:val="26"/>
        </w:rPr>
        <w:t xml:space="preserve">acertada </w:t>
      </w:r>
      <w:r>
        <w:rPr>
          <w:rFonts w:ascii="Arial" w:eastAsia="Calibri" w:hAnsi="Arial" w:cs="Arial"/>
          <w:bCs/>
          <w:sz w:val="26"/>
          <w:szCs w:val="26"/>
        </w:rPr>
        <w:t>la anterior manifestación, pues como ya se estableció en párrafos precedentes, el actor no probó contar con un vehículo susceptible de regularizarse, como fue establecido en la convocatoria para poder participar, ni menos acreditó haber cumplido con los requisitos que fueron</w:t>
      </w:r>
      <w:r w:rsidR="00DC0155">
        <w:rPr>
          <w:rFonts w:ascii="Arial" w:eastAsia="Calibri" w:hAnsi="Arial" w:cs="Arial"/>
          <w:bCs/>
          <w:sz w:val="26"/>
          <w:szCs w:val="26"/>
        </w:rPr>
        <w:t xml:space="preserve"> plasmados en la convocatoria; y sin embargo, como lo aduce el recurrente, de declararse la validez parcial para que se realicen las acciones jurídico-administrativas para que se incluya al actor en el referido procedimiento administrativo de regularización para la obtención de títulos de concesión para la prestación del servicio público de pasajeros en la modalidad de taxi, aun cuando no cumplió con los requisitos para poder participar, se transgrediría el principio de igualdad de aquéllas personas que cumplieron con los requisitos para participar en tiempo y forma, al pretenderse que exista un trato igualitario, para aquéllas que no cumplieron, con los que sí cumplieron.</w:t>
      </w:r>
    </w:p>
    <w:p w:rsidR="00F94002" w:rsidRDefault="00DC0155" w:rsidP="00F94002">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Importa señalar que el principio de igualdad pretende que las personas reciban un</w:t>
      </w:r>
      <w:r w:rsidR="003B0B14">
        <w:rPr>
          <w:rFonts w:ascii="Arial" w:eastAsia="Calibri" w:hAnsi="Arial" w:cs="Arial"/>
          <w:bCs/>
          <w:sz w:val="26"/>
          <w:szCs w:val="26"/>
        </w:rPr>
        <w:t xml:space="preserve"> mismo tratamiento ante la ley</w:t>
      </w:r>
      <w:r w:rsidR="00F94002">
        <w:rPr>
          <w:rFonts w:ascii="Arial" w:eastAsia="Calibri" w:hAnsi="Arial" w:cs="Arial"/>
          <w:bCs/>
          <w:sz w:val="26"/>
          <w:szCs w:val="26"/>
        </w:rPr>
        <w:t xml:space="preserve"> </w:t>
      </w:r>
      <w:r w:rsidR="003B0B14">
        <w:rPr>
          <w:rFonts w:ascii="Arial" w:eastAsia="Calibri" w:hAnsi="Arial" w:cs="Arial"/>
          <w:bCs/>
          <w:sz w:val="26"/>
          <w:szCs w:val="26"/>
        </w:rPr>
        <w:t>igual</w:t>
      </w:r>
      <w:r w:rsidR="00F94002">
        <w:rPr>
          <w:rFonts w:ascii="Arial" w:eastAsia="Calibri" w:hAnsi="Arial" w:cs="Arial"/>
          <w:bCs/>
          <w:sz w:val="26"/>
          <w:szCs w:val="26"/>
        </w:rPr>
        <w:t xml:space="preserve"> en condiciones iguales, es decir, si su supuesto es el mismo. Ya que en el caso de que no se hallen en el mismo supuesto, entonces </w:t>
      </w:r>
      <w:r w:rsidR="00F94002">
        <w:rPr>
          <w:rFonts w:ascii="Arial" w:eastAsia="Calibri" w:hAnsi="Arial" w:cs="Arial"/>
          <w:bCs/>
          <w:i/>
          <w:sz w:val="26"/>
          <w:szCs w:val="26"/>
        </w:rPr>
        <w:t xml:space="preserve">a priori </w:t>
      </w:r>
      <w:r w:rsidR="00F94002">
        <w:rPr>
          <w:rFonts w:ascii="Arial" w:eastAsia="Calibri" w:hAnsi="Arial" w:cs="Arial"/>
          <w:bCs/>
          <w:sz w:val="26"/>
          <w:szCs w:val="26"/>
        </w:rPr>
        <w:t>no puede establecerse una situación de desigualdad, debido a que sus propias condiciones no son similares. El principio de igualdad implica que se trate igual a los que son iguales y desigual a aquéllos que son desiguales. También el principio de igualdad implica un ejercicio comparativo entre las personas u objetos que habrán de sujetarse al escrutinio de trato semejante, pero esa determinación comparativa en manera alguna puede ser arbitraria ni libre, debido a que indudablemente tendrá que atender a las características propias de las personas u objetos en análisis. Estas ideas encuentra</w:t>
      </w:r>
      <w:r w:rsidR="00CC1CB2">
        <w:rPr>
          <w:rFonts w:ascii="Arial" w:eastAsia="Calibri" w:hAnsi="Arial" w:cs="Arial"/>
          <w:bCs/>
          <w:sz w:val="26"/>
          <w:szCs w:val="26"/>
        </w:rPr>
        <w:t xml:space="preserve">n apoyo en las jurisprudencias </w:t>
      </w:r>
      <w:r w:rsidR="008D3A43">
        <w:rPr>
          <w:rFonts w:ascii="Arial" w:eastAsia="Calibri" w:hAnsi="Arial" w:cs="Arial"/>
          <w:bCs/>
          <w:sz w:val="26"/>
          <w:szCs w:val="26"/>
        </w:rPr>
        <w:t>1</w:t>
      </w:r>
      <w:r w:rsidR="00F94002">
        <w:rPr>
          <w:rFonts w:ascii="Arial" w:eastAsia="Calibri" w:hAnsi="Arial" w:cs="Arial"/>
          <w:bCs/>
          <w:sz w:val="26"/>
          <w:szCs w:val="26"/>
        </w:rPr>
        <w:t>a.J 55/2006 d</w:t>
      </w:r>
      <w:r w:rsidR="008D3A43">
        <w:rPr>
          <w:rFonts w:ascii="Arial" w:eastAsia="Calibri" w:hAnsi="Arial" w:cs="Arial"/>
          <w:bCs/>
          <w:sz w:val="26"/>
          <w:szCs w:val="26"/>
        </w:rPr>
        <w:t>ictada por</w:t>
      </w:r>
      <w:r w:rsidR="00F94002">
        <w:rPr>
          <w:rFonts w:ascii="Arial" w:eastAsia="Calibri" w:hAnsi="Arial" w:cs="Arial"/>
          <w:bCs/>
          <w:sz w:val="26"/>
          <w:szCs w:val="26"/>
        </w:rPr>
        <w:t xml:space="preserve"> la Primera Sala de la Suprema Corte de Justicia de la Nación</w:t>
      </w:r>
      <w:r w:rsidR="008D3A43">
        <w:rPr>
          <w:rFonts w:ascii="Arial" w:eastAsia="Calibri" w:hAnsi="Arial" w:cs="Arial"/>
          <w:bCs/>
          <w:sz w:val="26"/>
          <w:szCs w:val="26"/>
        </w:rPr>
        <w:t xml:space="preserve"> en la novena época</w:t>
      </w:r>
      <w:r w:rsidR="00F94002">
        <w:rPr>
          <w:rFonts w:ascii="Arial" w:eastAsia="Calibri" w:hAnsi="Arial" w:cs="Arial"/>
          <w:bCs/>
          <w:sz w:val="26"/>
          <w:szCs w:val="26"/>
        </w:rPr>
        <w:t>, la cual está publicada en el Semanario Judicial de la Federación y su Gaceta en el Tomo XXIV de septiembre de 2006, en la página 75, bajo el rubro y texto siguientes:</w:t>
      </w:r>
    </w:p>
    <w:p w:rsidR="00F94002" w:rsidRPr="00CC1CB2" w:rsidRDefault="008D3A43" w:rsidP="008D3A43">
      <w:pPr>
        <w:autoSpaceDE w:val="0"/>
        <w:autoSpaceDN w:val="0"/>
        <w:adjustRightInd w:val="0"/>
        <w:spacing w:after="0" w:line="360" w:lineRule="auto"/>
        <w:ind w:left="851" w:right="616"/>
        <w:jc w:val="both"/>
        <w:rPr>
          <w:rFonts w:ascii="Arial" w:eastAsia="Calibri" w:hAnsi="Arial" w:cs="Arial"/>
          <w:bCs/>
          <w:i/>
          <w:sz w:val="24"/>
          <w:szCs w:val="24"/>
        </w:rPr>
      </w:pPr>
      <w:r w:rsidRPr="00CC1CB2">
        <w:rPr>
          <w:rFonts w:ascii="Arial" w:hAnsi="Arial" w:cs="Arial"/>
          <w:i/>
          <w:sz w:val="24"/>
          <w:szCs w:val="24"/>
          <w:lang w:val="es-MX"/>
        </w:rPr>
        <w:t>“</w:t>
      </w:r>
      <w:r w:rsidR="00F94002" w:rsidRPr="00CC1CB2">
        <w:rPr>
          <w:rFonts w:ascii="Arial" w:hAnsi="Arial" w:cs="Arial"/>
          <w:b/>
          <w:i/>
          <w:sz w:val="24"/>
          <w:szCs w:val="24"/>
          <w:lang w:val="es-MX"/>
        </w:rPr>
        <w:t>IGUALDAD. CRITERIOS PARA DETERMINAR SI EL LEGISLADOR RESPETA ESE PRINCIPIO CONSTITUCIONAL</w:t>
      </w:r>
      <w:r w:rsidR="00F94002" w:rsidRPr="00CC1CB2">
        <w:rPr>
          <w:rFonts w:ascii="Arial" w:hAnsi="Arial" w:cs="Arial"/>
          <w:i/>
          <w:sz w:val="24"/>
          <w:szCs w:val="24"/>
          <w:lang w:val="es-MX"/>
        </w:rPr>
        <w:t>. 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 En ese tenor, cuando la Suprema Corte de Justicia de la Nación conoce de un caso en el cual la ley distingue entre dos o varios hechos, sucesos, personas o colectivos, debe analizar si dicha 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w:t>
      </w:r>
      <w:r w:rsidRPr="00CC1CB2">
        <w:rPr>
          <w:rFonts w:ascii="Arial" w:hAnsi="Arial" w:cs="Arial"/>
          <w:i/>
          <w:sz w:val="24"/>
          <w:szCs w:val="24"/>
          <w:lang w:val="es-MX"/>
        </w:rPr>
        <w:t xml:space="preserve"> </w:t>
      </w:r>
      <w:r w:rsidR="00F94002" w:rsidRPr="00CC1CB2">
        <w:rPr>
          <w:rFonts w:ascii="Arial" w:hAnsi="Arial" w:cs="Arial"/>
          <w:i/>
          <w:sz w:val="24"/>
          <w:szCs w:val="24"/>
          <w:lang w:val="es-MX"/>
        </w:rPr>
        <w:t xml:space="preserve">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w:t>
      </w:r>
      <w:proofErr w:type="spellStart"/>
      <w:r w:rsidR="00F94002" w:rsidRPr="00CC1CB2">
        <w:rPr>
          <w:rFonts w:ascii="Arial" w:hAnsi="Arial" w:cs="Arial"/>
          <w:i/>
          <w:sz w:val="24"/>
          <w:szCs w:val="24"/>
          <w:lang w:val="es-MX"/>
        </w:rPr>
        <w:t>instrumentalidad</w:t>
      </w:r>
      <w:proofErr w:type="spellEnd"/>
      <w:r w:rsidR="00F94002" w:rsidRPr="00CC1CB2">
        <w:rPr>
          <w:rFonts w:ascii="Arial" w:hAnsi="Arial" w:cs="Arial"/>
          <w:i/>
          <w:sz w:val="24"/>
          <w:szCs w:val="24"/>
          <w:lang w:val="es-MX"/>
        </w:rPr>
        <w:t xml:space="preserve"> entre la medida clasificatoria y el fin 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w:t>
      </w:r>
      <w:r w:rsidRPr="00CC1CB2">
        <w:rPr>
          <w:rFonts w:ascii="Arial" w:hAnsi="Arial" w:cs="Arial"/>
          <w:i/>
          <w:sz w:val="24"/>
          <w:szCs w:val="24"/>
          <w:lang w:val="es-MX"/>
        </w:rPr>
        <w:t xml:space="preserve"> </w:t>
      </w:r>
      <w:r w:rsidR="00F94002" w:rsidRPr="00CC1CB2">
        <w:rPr>
          <w:rFonts w:ascii="Arial" w:hAnsi="Arial" w:cs="Arial"/>
          <w:i/>
          <w:sz w:val="24"/>
          <w:szCs w:val="24"/>
          <w:lang w:val="es-MX"/>
        </w:rPr>
        <w:t>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r w:rsidRPr="00CC1CB2">
        <w:rPr>
          <w:rFonts w:ascii="Arial" w:hAnsi="Arial" w:cs="Arial"/>
          <w:i/>
          <w:sz w:val="24"/>
          <w:szCs w:val="24"/>
          <w:lang w:val="es-MX"/>
        </w:rPr>
        <w:t>”</w:t>
      </w:r>
    </w:p>
    <w:p w:rsidR="008D3A43" w:rsidRPr="008D3A43" w:rsidRDefault="008D3A43" w:rsidP="008D3A43">
      <w:pPr>
        <w:spacing w:before="240" w:line="360" w:lineRule="auto"/>
        <w:jc w:val="both"/>
        <w:rPr>
          <w:rFonts w:ascii="Arial" w:hAnsi="Arial" w:cs="Arial"/>
          <w:sz w:val="24"/>
          <w:szCs w:val="24"/>
        </w:rPr>
      </w:pPr>
      <w:r>
        <w:rPr>
          <w:rFonts w:ascii="Arial" w:eastAsia="Calibri" w:hAnsi="Arial" w:cs="Arial"/>
          <w:bCs/>
          <w:sz w:val="26"/>
          <w:szCs w:val="26"/>
        </w:rPr>
        <w:tab/>
      </w:r>
      <w:r w:rsidRPr="008D3A43">
        <w:rPr>
          <w:rFonts w:ascii="Arial" w:eastAsia="Calibri" w:hAnsi="Arial" w:cs="Arial"/>
          <w:bCs/>
          <w:sz w:val="24"/>
          <w:szCs w:val="24"/>
        </w:rPr>
        <w:t xml:space="preserve">Y la jurisprudencia </w:t>
      </w:r>
      <w:r w:rsidRPr="008D3A43">
        <w:rPr>
          <w:rFonts w:ascii="Arial" w:hAnsi="Arial" w:cs="Arial"/>
          <w:sz w:val="24"/>
          <w:szCs w:val="24"/>
        </w:rPr>
        <w:t>1a</w:t>
      </w:r>
      <w:proofErr w:type="gramStart"/>
      <w:r w:rsidRPr="008D3A43">
        <w:rPr>
          <w:rFonts w:ascii="Arial" w:hAnsi="Arial" w:cs="Arial"/>
          <w:sz w:val="24"/>
          <w:szCs w:val="24"/>
        </w:rPr>
        <w:t>./</w:t>
      </w:r>
      <w:proofErr w:type="gramEnd"/>
      <w:r w:rsidRPr="008D3A43">
        <w:rPr>
          <w:rFonts w:ascii="Arial" w:hAnsi="Arial" w:cs="Arial"/>
          <w:sz w:val="24"/>
          <w:szCs w:val="24"/>
        </w:rPr>
        <w:t xml:space="preserve">J. 46/2016 (10a.) también de la Primera Sala de la Suprema Corte de Justicia de la Nación dictada en la Décima época la cual se encuentra inserta en la Gaceta del Semanario Judicial de la Federación en el Libro 34, de septiembre de 2016, a Tomo I y que está visible a página 357, con el rubro y texto siguientes: </w:t>
      </w:r>
    </w:p>
    <w:p w:rsidR="008D3A43" w:rsidRPr="00CC1CB2" w:rsidRDefault="008D3A43" w:rsidP="008D3A43">
      <w:pPr>
        <w:spacing w:after="0" w:line="360" w:lineRule="auto"/>
        <w:ind w:left="851" w:right="616"/>
        <w:jc w:val="both"/>
        <w:rPr>
          <w:rFonts w:ascii="Arial" w:hAnsi="Arial" w:cs="Arial"/>
          <w:i/>
          <w:sz w:val="24"/>
          <w:szCs w:val="24"/>
        </w:rPr>
      </w:pPr>
      <w:r w:rsidRPr="00CC1CB2">
        <w:rPr>
          <w:rFonts w:ascii="Arial" w:hAnsi="Arial" w:cs="Arial"/>
          <w:i/>
          <w:sz w:val="24"/>
          <w:szCs w:val="24"/>
        </w:rPr>
        <w:t>“</w:t>
      </w:r>
      <w:r w:rsidRPr="00CC1CB2">
        <w:rPr>
          <w:rFonts w:ascii="Arial" w:hAnsi="Arial" w:cs="Arial"/>
          <w:b/>
          <w:i/>
          <w:sz w:val="24"/>
          <w:szCs w:val="24"/>
        </w:rPr>
        <w:t>IGUALDAD. DELIMITACIÓN CONCEPTUAL DE ESTE PRINCIPIO</w:t>
      </w:r>
      <w:r w:rsidRPr="00CC1CB2">
        <w:rPr>
          <w:rFonts w:ascii="Arial" w:hAnsi="Arial" w:cs="Arial"/>
          <w:i/>
          <w:sz w:val="24"/>
          <w:szCs w:val="24"/>
        </w:rPr>
        <w:t>. El derecho fundamental a la igualdad instituido por la Constitución Política de los Estados Unidos Mexicanos no pretende generar una igualdad matemática y ciega ante las diferentes situaciones que surgen en la realidad, sino que se refiere a una igualdad de trato ante la ley. Si bien el emisor de la norma puede prever situaciones fácticas que requieren un trato diferente, éste debe sustentarse en criterios razonables y objetivos que lo justifiquen, sin dejarlo al capricho o voluntad del legislador. Además, la igualdad designa un concepto relacional y no una cualidad intrínseca, ya que es una relación que se da al menos entre dos personas, objetos o situaciones, y siempre es resultado de un juicio que recae sobre una pluralidad de "términos de comparación", los cuales, así como las características que los distinguen, dependen de la determinación por el sujeto que efectúa dicha comparación, según el punto de vista del escrutinio de igualdad. Así, la determinación del punto desde el cual se establece cuándo una diferencia es relevante será libre mas no arbitraria, y sólo a partir de ella tendrá sentido cualquier juicio de igualdad.”</w:t>
      </w:r>
    </w:p>
    <w:p w:rsidR="008D3A43" w:rsidRPr="008D3A43" w:rsidRDefault="008D3A43" w:rsidP="002C2E8D">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 por esto, que la razón otorgada por la sala de origen no es precisa en establecer que la inclusión del actor en el procedimiento administrativo de regularización es acorde al principio de igualdad, debido a que como se ha reiterado en el actual documento, de las constancias aparece que incumplió con los requisitos establecidos en la Convocatoria impugnada, </w:t>
      </w:r>
      <w:r>
        <w:rPr>
          <w:rFonts w:ascii="Arial" w:eastAsia="Calibri" w:hAnsi="Arial" w:cs="Arial"/>
          <w:b/>
          <w:bCs/>
          <w:sz w:val="26"/>
          <w:szCs w:val="26"/>
        </w:rPr>
        <w:t xml:space="preserve">luego </w:t>
      </w:r>
      <w:r>
        <w:rPr>
          <w:rFonts w:ascii="Arial" w:eastAsia="Calibri" w:hAnsi="Arial" w:cs="Arial"/>
          <w:bCs/>
          <w:sz w:val="26"/>
          <w:szCs w:val="26"/>
        </w:rPr>
        <w:t xml:space="preserve">no tiene las mismas condiciones que las personas que sí satisficieron esos requisitos, de ahí que, como se adelantó, </w:t>
      </w:r>
      <w:r>
        <w:rPr>
          <w:rFonts w:ascii="Arial" w:eastAsia="Calibri" w:hAnsi="Arial" w:cs="Arial"/>
          <w:b/>
          <w:bCs/>
          <w:sz w:val="26"/>
          <w:szCs w:val="26"/>
        </w:rPr>
        <w:t xml:space="preserve">contrario </w:t>
      </w:r>
      <w:r>
        <w:rPr>
          <w:rFonts w:ascii="Arial" w:eastAsia="Calibri" w:hAnsi="Arial" w:cs="Arial"/>
          <w:bCs/>
          <w:sz w:val="26"/>
          <w:szCs w:val="26"/>
        </w:rPr>
        <w:t xml:space="preserve">a lo resuelto por la juzgadora primigenia el efecto que otorga en su sentencia implica un trato desigual con las personas que sí reunieron las calidades contenidas en la citada Convocatoria, de ahí que como lo aduce la recurrente, dicho efecto impreso por la juzgadora afectaría la esfera jurídica de los que si cumplieron con los requisitos al transgredirse el principio de igualdad. </w:t>
      </w:r>
    </w:p>
    <w:p w:rsidR="002C2E8D" w:rsidRDefault="002C2E8D" w:rsidP="002C2E8D">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t>En consecuencia, al haberse establecido que el actor no acreditó que cumplió con los requisitos necesarios para poder participar en el procedimiento administrativo para la obtención de títulos de concesión para la prestación del servicio público de pasajeros en la modalidad de taxi, y haber quedado establecido por la primera instancia que los conceptos de impugnación esgrimidos por la parte actora, son insuficientes para determinar la nulidad lisa y llana de la convocatoria impugnada “</w:t>
      </w:r>
      <w:r w:rsidRPr="00964BEF">
        <w:rPr>
          <w:rFonts w:ascii="Arial" w:eastAsia="Calibri" w:hAnsi="Arial" w:cs="Arial"/>
          <w:bCs/>
          <w:i/>
          <w:sz w:val="24"/>
          <w:szCs w:val="24"/>
        </w:rPr>
        <w:t xml:space="preserve">Ahora bien, de un análisis integral de todos los conceptos de impugnación esgrimidos por la parte actora, resulta oportuno pronunciarse que los </w:t>
      </w:r>
      <w:r w:rsidR="00CC1CB2">
        <w:rPr>
          <w:rFonts w:ascii="Arial" w:eastAsia="Calibri" w:hAnsi="Arial" w:cs="Arial"/>
          <w:bCs/>
          <w:i/>
          <w:sz w:val="24"/>
          <w:szCs w:val="24"/>
        </w:rPr>
        <w:t>m</w:t>
      </w:r>
      <w:r w:rsidRPr="00964BEF">
        <w:rPr>
          <w:rFonts w:ascii="Arial" w:eastAsia="Calibri" w:hAnsi="Arial" w:cs="Arial"/>
          <w:bCs/>
          <w:i/>
          <w:sz w:val="24"/>
          <w:szCs w:val="24"/>
        </w:rPr>
        <w:t>ismos son insuficientes para determinar la nulidad lisa y llana de la Convocatoria en estudio, los alcances y efectos de la misma y el procedimiento en su conjunto en los términos que solicita la parte actora, porque declarando la nulidad del acto impugnado podría dejarse en estado de indefensión a los administrados que hayan participado en los términos de la convocatoria en comento</w:t>
      </w:r>
      <w:r>
        <w:rPr>
          <w:rFonts w:ascii="Arial" w:eastAsia="Calibri" w:hAnsi="Arial" w:cs="Arial"/>
          <w:bCs/>
          <w:sz w:val="26"/>
          <w:szCs w:val="26"/>
        </w:rPr>
        <w:t xml:space="preserve">”; por ello, resulta procedente </w:t>
      </w:r>
      <w:r w:rsidRPr="0073681A">
        <w:rPr>
          <w:rFonts w:ascii="Arial" w:eastAsia="Calibri" w:hAnsi="Arial" w:cs="Arial"/>
          <w:b/>
          <w:bCs/>
          <w:sz w:val="26"/>
          <w:szCs w:val="26"/>
        </w:rPr>
        <w:t>modificar</w:t>
      </w:r>
      <w:r>
        <w:rPr>
          <w:rFonts w:ascii="Arial" w:eastAsia="Calibri" w:hAnsi="Arial" w:cs="Arial"/>
          <w:bCs/>
          <w:sz w:val="26"/>
          <w:szCs w:val="26"/>
        </w:rPr>
        <w:t xml:space="preserve"> la sentencia recurrida, para el efecto de declarar la </w:t>
      </w:r>
      <w:r w:rsidRPr="00964BEF">
        <w:rPr>
          <w:rFonts w:ascii="Arial" w:eastAsia="Calibri" w:hAnsi="Arial" w:cs="Arial"/>
          <w:b/>
          <w:bCs/>
          <w:sz w:val="26"/>
          <w:szCs w:val="26"/>
        </w:rPr>
        <w:t>validez</w:t>
      </w:r>
      <w:r>
        <w:rPr>
          <w:rFonts w:ascii="Arial" w:eastAsia="Calibri" w:hAnsi="Arial" w:cs="Arial"/>
          <w:bCs/>
          <w:sz w:val="26"/>
          <w:szCs w:val="26"/>
        </w:rPr>
        <w:t xml:space="preserve"> de la convocatoria, en base a los argumentos esgrimidos en la presente resolución y aquellos que pronunció la primera instancia para considerar que no se puede determinar la nulidad lisa y llana.</w:t>
      </w:r>
    </w:p>
    <w:p w:rsidR="002C2E8D" w:rsidRDefault="002C2E8D" w:rsidP="002C2E8D">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Por tanto, ante lo sustancialmente </w:t>
      </w:r>
      <w:r>
        <w:rPr>
          <w:rFonts w:ascii="Arial" w:eastAsia="Calibri" w:hAnsi="Arial" w:cs="Arial"/>
          <w:b/>
          <w:bCs/>
          <w:sz w:val="26"/>
          <w:szCs w:val="26"/>
        </w:rPr>
        <w:t xml:space="preserve">fundado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MODIFICAR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artículos 207 y 208 de la Ley de Justicia Administrativa para el Estado, </w:t>
      </w:r>
      <w:r>
        <w:rPr>
          <w:rFonts w:ascii="Arial" w:hAnsi="Arial" w:cs="Arial"/>
          <w:bCs/>
          <w:iCs/>
          <w:sz w:val="26"/>
          <w:szCs w:val="26"/>
        </w:rPr>
        <w:t>vigente al inicio del juico principal,</w:t>
      </w:r>
      <w:r>
        <w:rPr>
          <w:rFonts w:ascii="Arial" w:hAnsi="Arial" w:cs="Arial"/>
          <w:sz w:val="26"/>
          <w:szCs w:val="26"/>
        </w:rPr>
        <w:t xml:space="preserve"> se:</w:t>
      </w:r>
    </w:p>
    <w:p w:rsidR="002C2E8D" w:rsidRDefault="002C2E8D" w:rsidP="002C2E8D">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C2E8D" w:rsidRDefault="002C2E8D" w:rsidP="002C2E8D">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MODIFICA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en los términos precisados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826265">
        <w:rPr>
          <w:rFonts w:ascii="Arial" w:hAnsi="Arial" w:cs="Arial"/>
          <w:sz w:val="26"/>
          <w:szCs w:val="26"/>
        </w:rPr>
        <w:t xml:space="preserve">Sexta </w:t>
      </w:r>
      <w:r>
        <w:rPr>
          <w:rFonts w:ascii="Arial" w:hAnsi="Arial" w:cs="Arial"/>
          <w:sz w:val="26"/>
          <w:szCs w:val="26"/>
        </w:rPr>
        <w:t>Sala Unitaria de Primera Instancia de este Tribunal y en su oportunidad archívese el presente cuaderno de revisión como asunto concluido.</w:t>
      </w:r>
    </w:p>
    <w:p w:rsidR="003815FF" w:rsidRDefault="003815FF" w:rsidP="003815FF">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84255C" w:rsidRDefault="0084255C" w:rsidP="0084255C">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4255C" w:rsidRDefault="0084255C" w:rsidP="0084255C">
      <w:pPr>
        <w:spacing w:line="360" w:lineRule="auto"/>
        <w:jc w:val="both"/>
        <w:rPr>
          <w:rFonts w:ascii="Arial" w:eastAsiaTheme="minorEastAsia" w:hAnsi="Arial" w:cs="Arial"/>
          <w:sz w:val="26"/>
          <w:szCs w:val="26"/>
          <w:lang w:val="es-MX" w:eastAsia="es-MX"/>
        </w:rPr>
      </w:pPr>
    </w:p>
    <w:p w:rsidR="0084255C" w:rsidRDefault="0084255C" w:rsidP="0084255C">
      <w:pPr>
        <w:spacing w:line="360" w:lineRule="auto"/>
        <w:jc w:val="both"/>
        <w:rPr>
          <w:rFonts w:ascii="Arial" w:eastAsiaTheme="minorEastAsia" w:hAnsi="Arial" w:cs="Arial"/>
          <w:sz w:val="26"/>
          <w:szCs w:val="26"/>
          <w:lang w:val="es-MX" w:eastAsia="es-MX"/>
        </w:rPr>
      </w:pPr>
    </w:p>
    <w:p w:rsidR="0084255C" w:rsidRDefault="0084255C" w:rsidP="0084255C">
      <w:pPr>
        <w:spacing w:line="360" w:lineRule="auto"/>
        <w:jc w:val="both"/>
        <w:rPr>
          <w:rFonts w:ascii="Arial" w:eastAsiaTheme="minorEastAsia" w:hAnsi="Arial" w:cs="Arial"/>
          <w:sz w:val="26"/>
          <w:szCs w:val="26"/>
          <w:lang w:val="es-MX" w:eastAsia="es-MX"/>
        </w:rPr>
      </w:pPr>
    </w:p>
    <w:p w:rsidR="0084255C" w:rsidRDefault="0084255C" w:rsidP="0084255C">
      <w:pPr>
        <w:pStyle w:val="Sinespaciado"/>
        <w:jc w:val="center"/>
        <w:rPr>
          <w:rFonts w:ascii="Arial" w:hAnsi="Arial" w:cs="Arial"/>
          <w:sz w:val="26"/>
          <w:szCs w:val="26"/>
          <w:lang w:val="es-MX"/>
        </w:rPr>
      </w:pPr>
      <w:r>
        <w:rPr>
          <w:rFonts w:ascii="Arial" w:hAnsi="Arial" w:cs="Arial"/>
          <w:sz w:val="26"/>
          <w:szCs w:val="26"/>
        </w:rPr>
        <w:t>MAGISTRADO ADRIÁN QUIROGA AVENDAÑO.</w:t>
      </w:r>
    </w:p>
    <w:p w:rsidR="0084255C" w:rsidRDefault="0084255C" w:rsidP="0084255C">
      <w:pPr>
        <w:pStyle w:val="Sinespaciado"/>
        <w:jc w:val="center"/>
        <w:rPr>
          <w:rFonts w:ascii="Arial" w:hAnsi="Arial" w:cs="Arial"/>
          <w:sz w:val="26"/>
          <w:szCs w:val="26"/>
        </w:rPr>
      </w:pPr>
      <w:r>
        <w:rPr>
          <w:rFonts w:ascii="Arial" w:hAnsi="Arial" w:cs="Arial"/>
          <w:sz w:val="26"/>
          <w:szCs w:val="26"/>
        </w:rPr>
        <w:t>PRESIDENTE</w:t>
      </w:r>
    </w:p>
    <w:p w:rsidR="0084255C" w:rsidRDefault="0084255C" w:rsidP="0084255C">
      <w:pPr>
        <w:spacing w:line="360" w:lineRule="auto"/>
        <w:rPr>
          <w:rFonts w:ascii="Arial" w:eastAsia="Calibri" w:hAnsi="Arial" w:cs="Arial"/>
          <w:sz w:val="26"/>
          <w:szCs w:val="26"/>
        </w:rPr>
      </w:pPr>
    </w:p>
    <w:p w:rsidR="0084255C" w:rsidRDefault="0084255C" w:rsidP="0084255C">
      <w:pPr>
        <w:spacing w:line="360" w:lineRule="auto"/>
        <w:rPr>
          <w:rFonts w:ascii="Arial" w:eastAsia="Calibri" w:hAnsi="Arial" w:cs="Arial"/>
          <w:sz w:val="26"/>
          <w:szCs w:val="26"/>
        </w:rPr>
      </w:pPr>
    </w:p>
    <w:p w:rsidR="0084255C" w:rsidRPr="000101AC" w:rsidRDefault="0084255C" w:rsidP="000101AC">
      <w:pPr>
        <w:spacing w:line="360" w:lineRule="auto"/>
        <w:jc w:val="center"/>
        <w:rPr>
          <w:rFonts w:ascii="Arial" w:eastAsia="Calibri" w:hAnsi="Arial" w:cs="Arial"/>
          <w:b/>
          <w:sz w:val="14"/>
          <w:szCs w:val="26"/>
        </w:rPr>
      </w:pPr>
      <w:r w:rsidRPr="000101AC">
        <w:rPr>
          <w:rFonts w:ascii="Arial" w:eastAsia="Calibri" w:hAnsi="Arial" w:cs="Arial"/>
          <w:b/>
          <w:sz w:val="14"/>
          <w:szCs w:val="26"/>
        </w:rPr>
        <w:t>LAS PRESENTES FIRMAS CORRESPONDEN AL RECURSO DE REVISIÓN 73/2018</w:t>
      </w:r>
    </w:p>
    <w:p w:rsidR="0084255C" w:rsidRDefault="0084255C" w:rsidP="0084255C">
      <w:pPr>
        <w:spacing w:line="360" w:lineRule="auto"/>
        <w:rPr>
          <w:rFonts w:ascii="Arial" w:eastAsia="Calibri" w:hAnsi="Arial" w:cs="Arial"/>
          <w:sz w:val="26"/>
          <w:szCs w:val="26"/>
        </w:rPr>
      </w:pPr>
    </w:p>
    <w:p w:rsidR="0084255C" w:rsidRDefault="0084255C" w:rsidP="0084255C">
      <w:pPr>
        <w:spacing w:line="360" w:lineRule="auto"/>
        <w:rPr>
          <w:rFonts w:ascii="Arial" w:eastAsia="Calibri" w:hAnsi="Arial" w:cs="Arial"/>
          <w:sz w:val="26"/>
          <w:szCs w:val="26"/>
        </w:rPr>
      </w:pPr>
    </w:p>
    <w:p w:rsidR="0084255C" w:rsidRDefault="0084255C" w:rsidP="0084255C">
      <w:pPr>
        <w:spacing w:line="360" w:lineRule="auto"/>
        <w:rPr>
          <w:rFonts w:ascii="Arial" w:eastAsia="Calibri" w:hAnsi="Arial" w:cs="Arial"/>
          <w:sz w:val="26"/>
          <w:szCs w:val="26"/>
        </w:rPr>
      </w:pPr>
    </w:p>
    <w:p w:rsidR="000101AC" w:rsidRDefault="000101AC" w:rsidP="0084255C">
      <w:pPr>
        <w:spacing w:line="360" w:lineRule="auto"/>
        <w:rPr>
          <w:rFonts w:ascii="Arial" w:eastAsia="Calibri" w:hAnsi="Arial" w:cs="Arial"/>
          <w:sz w:val="26"/>
          <w:szCs w:val="26"/>
        </w:rPr>
      </w:pPr>
    </w:p>
    <w:p w:rsidR="0084255C" w:rsidRDefault="0084255C" w:rsidP="0084255C">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84255C" w:rsidRDefault="0084255C" w:rsidP="0084255C">
      <w:pPr>
        <w:spacing w:line="360" w:lineRule="auto"/>
        <w:rPr>
          <w:rFonts w:ascii="Arial" w:eastAsia="Calibri" w:hAnsi="Arial" w:cs="Arial"/>
          <w:sz w:val="26"/>
          <w:szCs w:val="26"/>
        </w:rPr>
      </w:pPr>
    </w:p>
    <w:p w:rsidR="0084255C" w:rsidRDefault="0084255C" w:rsidP="0084255C">
      <w:pPr>
        <w:spacing w:line="360" w:lineRule="auto"/>
        <w:rPr>
          <w:rFonts w:ascii="Arial" w:eastAsia="Calibri" w:hAnsi="Arial" w:cs="Arial"/>
          <w:sz w:val="26"/>
          <w:szCs w:val="26"/>
        </w:rPr>
      </w:pPr>
    </w:p>
    <w:p w:rsidR="000101AC" w:rsidRDefault="000101AC" w:rsidP="0084255C">
      <w:pPr>
        <w:spacing w:line="360" w:lineRule="auto"/>
        <w:rPr>
          <w:rFonts w:ascii="Arial" w:eastAsia="Calibri" w:hAnsi="Arial" w:cs="Arial"/>
          <w:sz w:val="26"/>
          <w:szCs w:val="26"/>
        </w:rPr>
      </w:pPr>
    </w:p>
    <w:p w:rsidR="0084255C" w:rsidRDefault="0084255C" w:rsidP="0084255C">
      <w:pPr>
        <w:spacing w:line="360" w:lineRule="auto"/>
        <w:rPr>
          <w:rFonts w:ascii="Arial" w:eastAsia="Calibri" w:hAnsi="Arial" w:cs="Arial"/>
          <w:sz w:val="26"/>
          <w:szCs w:val="26"/>
        </w:rPr>
      </w:pPr>
    </w:p>
    <w:p w:rsidR="0084255C" w:rsidRDefault="0084255C" w:rsidP="0084255C">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84255C" w:rsidRDefault="0084255C" w:rsidP="0084255C">
      <w:pPr>
        <w:spacing w:line="360" w:lineRule="auto"/>
        <w:rPr>
          <w:rFonts w:ascii="Arial" w:eastAsia="Calibri" w:hAnsi="Arial" w:cs="Arial"/>
          <w:sz w:val="26"/>
          <w:szCs w:val="26"/>
        </w:rPr>
      </w:pPr>
    </w:p>
    <w:p w:rsidR="0084255C" w:rsidRDefault="0084255C" w:rsidP="0084255C">
      <w:pPr>
        <w:spacing w:line="360" w:lineRule="auto"/>
        <w:rPr>
          <w:rFonts w:ascii="Arial" w:eastAsia="Calibri" w:hAnsi="Arial" w:cs="Arial"/>
          <w:sz w:val="26"/>
          <w:szCs w:val="26"/>
        </w:rPr>
      </w:pPr>
    </w:p>
    <w:p w:rsidR="000101AC" w:rsidRDefault="000101AC" w:rsidP="0084255C">
      <w:pPr>
        <w:spacing w:line="360" w:lineRule="auto"/>
        <w:rPr>
          <w:rFonts w:ascii="Arial" w:eastAsia="Calibri" w:hAnsi="Arial" w:cs="Arial"/>
          <w:sz w:val="26"/>
          <w:szCs w:val="26"/>
        </w:rPr>
      </w:pPr>
    </w:p>
    <w:p w:rsidR="0084255C" w:rsidRDefault="0084255C" w:rsidP="0084255C">
      <w:pPr>
        <w:spacing w:line="360" w:lineRule="auto"/>
        <w:rPr>
          <w:rFonts w:ascii="Arial" w:eastAsia="Calibri" w:hAnsi="Arial" w:cs="Arial"/>
          <w:sz w:val="26"/>
          <w:szCs w:val="26"/>
        </w:rPr>
      </w:pPr>
    </w:p>
    <w:p w:rsidR="0084255C" w:rsidRDefault="0084255C" w:rsidP="0084255C">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84255C" w:rsidRDefault="0084255C" w:rsidP="0084255C">
      <w:pPr>
        <w:spacing w:line="360" w:lineRule="auto"/>
        <w:jc w:val="center"/>
        <w:rPr>
          <w:rFonts w:ascii="Arial" w:eastAsia="Calibri" w:hAnsi="Arial" w:cs="Arial"/>
          <w:sz w:val="26"/>
          <w:szCs w:val="26"/>
        </w:rPr>
      </w:pPr>
    </w:p>
    <w:p w:rsidR="0084255C" w:rsidRDefault="0084255C" w:rsidP="0084255C">
      <w:pPr>
        <w:spacing w:line="360" w:lineRule="auto"/>
        <w:jc w:val="center"/>
        <w:rPr>
          <w:rFonts w:ascii="Arial" w:eastAsia="Calibri" w:hAnsi="Arial" w:cs="Arial"/>
          <w:sz w:val="26"/>
          <w:szCs w:val="26"/>
        </w:rPr>
      </w:pPr>
    </w:p>
    <w:p w:rsidR="0084255C" w:rsidRDefault="0084255C" w:rsidP="0084255C">
      <w:pPr>
        <w:spacing w:line="360" w:lineRule="auto"/>
        <w:jc w:val="center"/>
        <w:rPr>
          <w:rFonts w:ascii="Arial" w:eastAsia="Calibri" w:hAnsi="Arial" w:cs="Arial"/>
          <w:sz w:val="26"/>
          <w:szCs w:val="26"/>
        </w:rPr>
      </w:pPr>
    </w:p>
    <w:p w:rsidR="000101AC" w:rsidRDefault="000101AC" w:rsidP="0084255C">
      <w:pPr>
        <w:spacing w:line="360" w:lineRule="auto"/>
        <w:jc w:val="center"/>
        <w:rPr>
          <w:rFonts w:ascii="Arial" w:eastAsia="Calibri" w:hAnsi="Arial" w:cs="Arial"/>
          <w:sz w:val="26"/>
          <w:szCs w:val="26"/>
        </w:rPr>
      </w:pPr>
    </w:p>
    <w:p w:rsidR="0084255C" w:rsidRDefault="0084255C" w:rsidP="0084255C">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84255C" w:rsidRDefault="0084255C" w:rsidP="0084255C">
      <w:pPr>
        <w:rPr>
          <w:rFonts w:ascii="Arial" w:eastAsia="Calibri" w:hAnsi="Arial" w:cs="Arial"/>
          <w:sz w:val="26"/>
          <w:szCs w:val="26"/>
        </w:rPr>
      </w:pPr>
    </w:p>
    <w:p w:rsidR="0084255C" w:rsidRDefault="0084255C" w:rsidP="0084255C">
      <w:pPr>
        <w:rPr>
          <w:rFonts w:ascii="Arial" w:eastAsia="Calibri" w:hAnsi="Arial" w:cs="Arial"/>
          <w:sz w:val="26"/>
          <w:szCs w:val="26"/>
        </w:rPr>
      </w:pPr>
    </w:p>
    <w:p w:rsidR="0084255C" w:rsidRDefault="0084255C" w:rsidP="0084255C">
      <w:pPr>
        <w:rPr>
          <w:rFonts w:ascii="Arial" w:eastAsia="Calibri" w:hAnsi="Arial" w:cs="Arial"/>
          <w:sz w:val="26"/>
          <w:szCs w:val="26"/>
        </w:rPr>
      </w:pPr>
    </w:p>
    <w:p w:rsidR="000101AC" w:rsidRDefault="000101AC" w:rsidP="0084255C">
      <w:pPr>
        <w:rPr>
          <w:rFonts w:ascii="Arial" w:eastAsia="Calibri" w:hAnsi="Arial" w:cs="Arial"/>
          <w:sz w:val="26"/>
          <w:szCs w:val="26"/>
        </w:rPr>
      </w:pPr>
    </w:p>
    <w:p w:rsidR="0084255C" w:rsidRDefault="0084255C" w:rsidP="0084255C">
      <w:pPr>
        <w:pStyle w:val="Sinespaciado"/>
        <w:jc w:val="center"/>
        <w:rPr>
          <w:rFonts w:ascii="Arial" w:hAnsi="Arial" w:cs="Arial"/>
          <w:sz w:val="26"/>
          <w:szCs w:val="26"/>
        </w:rPr>
      </w:pPr>
      <w:r>
        <w:rPr>
          <w:rFonts w:ascii="Arial" w:hAnsi="Arial" w:cs="Arial"/>
          <w:sz w:val="26"/>
          <w:szCs w:val="26"/>
        </w:rPr>
        <w:t>LICENCIADA LETICIA GARCÍA SOTO.</w:t>
      </w:r>
    </w:p>
    <w:p w:rsidR="0084255C" w:rsidRPr="00FA26A1" w:rsidRDefault="0084255C" w:rsidP="0084255C">
      <w:pPr>
        <w:pStyle w:val="Sinespaciado"/>
        <w:jc w:val="center"/>
        <w:rPr>
          <w:rFonts w:ascii="Arial" w:hAnsi="Arial" w:cs="Arial"/>
          <w:sz w:val="26"/>
          <w:szCs w:val="26"/>
        </w:rPr>
      </w:pPr>
      <w:r>
        <w:rPr>
          <w:rFonts w:ascii="Arial" w:hAnsi="Arial" w:cs="Arial"/>
          <w:sz w:val="26"/>
          <w:szCs w:val="26"/>
        </w:rPr>
        <w:t>SECRETARIA GENERAL DE ACUERDOS.</w:t>
      </w:r>
    </w:p>
    <w:p w:rsidR="003815FF" w:rsidRDefault="003815FF" w:rsidP="0084255C">
      <w:pPr>
        <w:spacing w:line="360" w:lineRule="auto"/>
        <w:ind w:firstLine="708"/>
        <w:jc w:val="both"/>
        <w:rPr>
          <w:sz w:val="26"/>
          <w:szCs w:val="26"/>
        </w:rPr>
      </w:pPr>
    </w:p>
    <w:p w:rsidR="004D0312" w:rsidRDefault="004D0312">
      <w:pPr>
        <w:spacing w:line="360" w:lineRule="auto"/>
        <w:ind w:firstLine="708"/>
        <w:jc w:val="both"/>
        <w:rPr>
          <w:sz w:val="26"/>
          <w:szCs w:val="26"/>
        </w:rPr>
      </w:pPr>
    </w:p>
    <w:sectPr w:rsidR="004D0312" w:rsidSect="008D2C9A">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81F" w:rsidRDefault="0020681F">
      <w:pPr>
        <w:spacing w:after="0" w:line="240" w:lineRule="auto"/>
      </w:pPr>
      <w:r>
        <w:separator/>
      </w:r>
    </w:p>
  </w:endnote>
  <w:endnote w:type="continuationSeparator" w:id="0">
    <w:p w:rsidR="0020681F" w:rsidRDefault="0020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83" w:rsidRDefault="00B514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83" w:rsidRDefault="00B51483">
    <w:pPr>
      <w:pStyle w:val="Piedepgina"/>
    </w:pPr>
    <w:r>
      <w:rPr>
        <w:noProof/>
        <w:lang w:val="es-MX" w:eastAsia="es-MX"/>
      </w:rPr>
      <w:drawing>
        <wp:anchor distT="0" distB="0" distL="114300" distR="114300" simplePos="0" relativeHeight="251668992" behindDoc="0" locked="0" layoutInCell="1" allowOverlap="1" wp14:anchorId="34132299" wp14:editId="5D232398">
          <wp:simplePos x="0" y="0"/>
          <wp:positionH relativeFrom="column">
            <wp:posOffset>-1325118</wp:posOffset>
          </wp:positionH>
          <wp:positionV relativeFrom="paragraph">
            <wp:posOffset>-4487545</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83" w:rsidRDefault="00B514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81F" w:rsidRDefault="0020681F">
      <w:pPr>
        <w:spacing w:after="0" w:line="240" w:lineRule="auto"/>
      </w:pPr>
      <w:r>
        <w:separator/>
      </w:r>
    </w:p>
  </w:footnote>
  <w:footnote w:type="continuationSeparator" w:id="0">
    <w:p w:rsidR="0020681F" w:rsidRDefault="0020681F">
      <w:pPr>
        <w:spacing w:after="0" w:line="240" w:lineRule="auto"/>
      </w:pPr>
      <w:r>
        <w:continuationSeparator/>
      </w:r>
    </w:p>
  </w:footnote>
  <w:footnote w:id="1">
    <w:p w:rsidR="002C2E8D" w:rsidRDefault="002C2E8D" w:rsidP="002C2E8D">
      <w:pPr>
        <w:pStyle w:val="Textonotapie"/>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2C2E8D" w:rsidRDefault="002C2E8D" w:rsidP="002C2E8D">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2C2E8D" w:rsidRPr="00D85145" w:rsidRDefault="002C2E8D" w:rsidP="002C2E8D">
      <w:pPr>
        <w:pStyle w:val="Textonotapie"/>
        <w:rPr>
          <w:lang w:val="es-MX"/>
        </w:rPr>
      </w:pPr>
      <w:r>
        <w:rPr>
          <w:lang w:val="es-MX"/>
        </w:rPr>
        <w:t xml:space="preserve">   …”</w:t>
      </w:r>
    </w:p>
  </w:footnote>
  <w:footnote w:id="2">
    <w:p w:rsidR="002C2E8D" w:rsidRPr="0082205C" w:rsidRDefault="002C2E8D" w:rsidP="002C2E8D">
      <w:pPr>
        <w:pStyle w:val="Textonotapie"/>
        <w:jc w:val="both"/>
        <w:rPr>
          <w:lang w:val="es-MX"/>
        </w:rPr>
      </w:pPr>
      <w:r>
        <w:rPr>
          <w:rStyle w:val="Refdenotaalpie"/>
        </w:rPr>
        <w:footnoteRef/>
      </w:r>
      <w:r>
        <w:t xml:space="preserve"> </w:t>
      </w:r>
      <w:r>
        <w:rPr>
          <w:lang w:val="es-MX"/>
        </w:rPr>
        <w:t>“</w:t>
      </w:r>
      <w:r>
        <w:rPr>
          <w:b/>
          <w:lang w:val="es-MX"/>
        </w:rPr>
        <w:t xml:space="preserve">Artículo 18.- </w:t>
      </w:r>
      <w:r>
        <w:rPr>
          <w:lang w:val="es-MX"/>
        </w:rPr>
        <w:t>El establecimiento y la explotación de los servicios públicos de transporte de pasajeros o de carga así como sus servicios conexos, solamente podrán efectuarse mediante concesión o permiso que otorgue el Gobernador del Estado, previo procedimiento administrativo seguido ante la Secretaría de Transporte, quien determinará las necesidades de tales servicios con base en los estudios de factibilidad que elabore al efecto.”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E61AB6" w:rsidRDefault="00B51483" w:rsidP="00D25099">
        <w:pPr>
          <w:pStyle w:val="Encabezado"/>
          <w:jc w:val="center"/>
        </w:pPr>
        <w:r>
          <w:rPr>
            <w:noProof/>
            <w:lang w:val="es-MX" w:eastAsia="es-MX"/>
          </w:rPr>
          <w:drawing>
            <wp:anchor distT="0" distB="0" distL="114300" distR="114300" simplePos="0" relativeHeight="251675136" behindDoc="0" locked="0" layoutInCell="1" allowOverlap="1" wp14:anchorId="4DAA7F40" wp14:editId="20E0ABFE">
              <wp:simplePos x="0" y="0"/>
              <wp:positionH relativeFrom="column">
                <wp:posOffset>5546598</wp:posOffset>
              </wp:positionH>
              <wp:positionV relativeFrom="paragraph">
                <wp:posOffset>4865370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E61AB6">
          <w:fldChar w:fldCharType="begin"/>
        </w:r>
        <w:r w:rsidR="00E61AB6">
          <w:instrText>PAGE   \* MERGEFORMAT</w:instrText>
        </w:r>
        <w:r w:rsidR="00E61AB6">
          <w:fldChar w:fldCharType="separate"/>
        </w:r>
        <w:r w:rsidR="00FC4FD7">
          <w:rPr>
            <w:noProof/>
          </w:rPr>
          <w:t>10</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FC4FD7">
          <w:rPr>
            <w:noProof/>
          </w:rPr>
          <w:t>1</w:t>
        </w:r>
        <w:r>
          <w:rPr>
            <w:noProof/>
          </w:rPr>
          <w:fldChar w:fldCharType="end"/>
        </w:r>
      </w:p>
      <w:p w:rsidR="00B51483" w:rsidRDefault="00FC4FD7" w:rsidP="008C74CA">
        <w:pPr>
          <w:pStyle w:val="Encabezado"/>
          <w:jc w:val="center"/>
        </w:pPr>
      </w:p>
    </w:sdtContent>
  </w:sdt>
  <w:p w:rsidR="00E61AB6" w:rsidRDefault="00E61AB6" w:rsidP="008C74CA">
    <w:pPr>
      <w:pStyle w:val="Encabezado"/>
      <w:jc w:val="center"/>
    </w:pPr>
  </w:p>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63872" behindDoc="1" locked="0" layoutInCell="1" allowOverlap="1" wp14:anchorId="32CBC3D6" wp14:editId="4E24B7DE">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584" behindDoc="0" locked="0" layoutInCell="1" allowOverlap="1" wp14:anchorId="71AE924B" wp14:editId="512F2E7F">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83" w:rsidRDefault="00B514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01AC"/>
    <w:rsid w:val="00011594"/>
    <w:rsid w:val="000169A3"/>
    <w:rsid w:val="00017C09"/>
    <w:rsid w:val="00021DF1"/>
    <w:rsid w:val="0002236D"/>
    <w:rsid w:val="00026C11"/>
    <w:rsid w:val="00026F35"/>
    <w:rsid w:val="000330FB"/>
    <w:rsid w:val="0003331C"/>
    <w:rsid w:val="00035047"/>
    <w:rsid w:val="00035379"/>
    <w:rsid w:val="00036D01"/>
    <w:rsid w:val="000410A1"/>
    <w:rsid w:val="00041164"/>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E12D3"/>
    <w:rsid w:val="000E218B"/>
    <w:rsid w:val="000E2E24"/>
    <w:rsid w:val="000E322A"/>
    <w:rsid w:val="000E48D1"/>
    <w:rsid w:val="000E504E"/>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0E0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1F7AC3"/>
    <w:rsid w:val="00200843"/>
    <w:rsid w:val="00201A25"/>
    <w:rsid w:val="0020247E"/>
    <w:rsid w:val="00203FD3"/>
    <w:rsid w:val="00206222"/>
    <w:rsid w:val="0020681F"/>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3D60"/>
    <w:rsid w:val="002675D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2E8D"/>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54A"/>
    <w:rsid w:val="00310EFD"/>
    <w:rsid w:val="00312470"/>
    <w:rsid w:val="003124A7"/>
    <w:rsid w:val="0031531C"/>
    <w:rsid w:val="00315C76"/>
    <w:rsid w:val="0031730E"/>
    <w:rsid w:val="00321AAB"/>
    <w:rsid w:val="00321C1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5FF"/>
    <w:rsid w:val="003818BD"/>
    <w:rsid w:val="00381DC3"/>
    <w:rsid w:val="00382FD0"/>
    <w:rsid w:val="003873E7"/>
    <w:rsid w:val="00387C97"/>
    <w:rsid w:val="00394200"/>
    <w:rsid w:val="00395802"/>
    <w:rsid w:val="003965ED"/>
    <w:rsid w:val="003A0ACC"/>
    <w:rsid w:val="003A1F55"/>
    <w:rsid w:val="003A24A8"/>
    <w:rsid w:val="003A3A38"/>
    <w:rsid w:val="003A3DAA"/>
    <w:rsid w:val="003A7955"/>
    <w:rsid w:val="003B0B14"/>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4009"/>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2A03"/>
    <w:rsid w:val="00423A9D"/>
    <w:rsid w:val="00424229"/>
    <w:rsid w:val="00427081"/>
    <w:rsid w:val="00433FAD"/>
    <w:rsid w:val="004407BC"/>
    <w:rsid w:val="00441D6B"/>
    <w:rsid w:val="004426E6"/>
    <w:rsid w:val="00444733"/>
    <w:rsid w:val="004503A6"/>
    <w:rsid w:val="00451BE8"/>
    <w:rsid w:val="00454494"/>
    <w:rsid w:val="004547D3"/>
    <w:rsid w:val="004567C7"/>
    <w:rsid w:val="00457CC7"/>
    <w:rsid w:val="004633DC"/>
    <w:rsid w:val="004715AF"/>
    <w:rsid w:val="00472E19"/>
    <w:rsid w:val="00474E30"/>
    <w:rsid w:val="0047763B"/>
    <w:rsid w:val="0048005F"/>
    <w:rsid w:val="0048396A"/>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0312"/>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4F76F5"/>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047"/>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30C62"/>
    <w:rsid w:val="00632CF5"/>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8E5"/>
    <w:rsid w:val="00655BA3"/>
    <w:rsid w:val="00655D87"/>
    <w:rsid w:val="00661E08"/>
    <w:rsid w:val="0066306B"/>
    <w:rsid w:val="0066335A"/>
    <w:rsid w:val="0066407D"/>
    <w:rsid w:val="006640C5"/>
    <w:rsid w:val="006665EB"/>
    <w:rsid w:val="00670A3B"/>
    <w:rsid w:val="006735F6"/>
    <w:rsid w:val="00674D05"/>
    <w:rsid w:val="00675661"/>
    <w:rsid w:val="00676DFB"/>
    <w:rsid w:val="00681F17"/>
    <w:rsid w:val="00682164"/>
    <w:rsid w:val="006826DA"/>
    <w:rsid w:val="0068325D"/>
    <w:rsid w:val="00683DC9"/>
    <w:rsid w:val="00684713"/>
    <w:rsid w:val="00685A2A"/>
    <w:rsid w:val="00687B92"/>
    <w:rsid w:val="006921D8"/>
    <w:rsid w:val="00692778"/>
    <w:rsid w:val="006931B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4F1A"/>
    <w:rsid w:val="00727C09"/>
    <w:rsid w:val="00733866"/>
    <w:rsid w:val="00734134"/>
    <w:rsid w:val="0073634D"/>
    <w:rsid w:val="007372AF"/>
    <w:rsid w:val="007372F0"/>
    <w:rsid w:val="007402AF"/>
    <w:rsid w:val="00742461"/>
    <w:rsid w:val="00742758"/>
    <w:rsid w:val="0074315B"/>
    <w:rsid w:val="007448CD"/>
    <w:rsid w:val="00745F93"/>
    <w:rsid w:val="00747A2A"/>
    <w:rsid w:val="00747AB7"/>
    <w:rsid w:val="00752052"/>
    <w:rsid w:val="00752B02"/>
    <w:rsid w:val="007544D5"/>
    <w:rsid w:val="00754545"/>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2A0A"/>
    <w:rsid w:val="00815878"/>
    <w:rsid w:val="0082010D"/>
    <w:rsid w:val="00821C04"/>
    <w:rsid w:val="00826265"/>
    <w:rsid w:val="0083002A"/>
    <w:rsid w:val="00830884"/>
    <w:rsid w:val="00831537"/>
    <w:rsid w:val="00832757"/>
    <w:rsid w:val="00832BFA"/>
    <w:rsid w:val="00832FE5"/>
    <w:rsid w:val="0084114B"/>
    <w:rsid w:val="00841573"/>
    <w:rsid w:val="00841CA9"/>
    <w:rsid w:val="0084255C"/>
    <w:rsid w:val="00842ED4"/>
    <w:rsid w:val="00845EA4"/>
    <w:rsid w:val="00847A1D"/>
    <w:rsid w:val="00847F39"/>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366C"/>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508D"/>
    <w:rsid w:val="008C5745"/>
    <w:rsid w:val="008C74CA"/>
    <w:rsid w:val="008D04B8"/>
    <w:rsid w:val="008D1236"/>
    <w:rsid w:val="008D2C9A"/>
    <w:rsid w:val="008D38EC"/>
    <w:rsid w:val="008D3A43"/>
    <w:rsid w:val="008E215F"/>
    <w:rsid w:val="008E4231"/>
    <w:rsid w:val="008E586E"/>
    <w:rsid w:val="008E5A8E"/>
    <w:rsid w:val="008F05C2"/>
    <w:rsid w:val="008F112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42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432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2797"/>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4F44"/>
    <w:rsid w:val="00A57F60"/>
    <w:rsid w:val="00A61A6E"/>
    <w:rsid w:val="00A65B8D"/>
    <w:rsid w:val="00A67424"/>
    <w:rsid w:val="00A67E6B"/>
    <w:rsid w:val="00A703CE"/>
    <w:rsid w:val="00A7188F"/>
    <w:rsid w:val="00A7216C"/>
    <w:rsid w:val="00A7622C"/>
    <w:rsid w:val="00A778B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282"/>
    <w:rsid w:val="00AD77FD"/>
    <w:rsid w:val="00AE1A7A"/>
    <w:rsid w:val="00AE4894"/>
    <w:rsid w:val="00AE5AC8"/>
    <w:rsid w:val="00AF15FC"/>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483"/>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86"/>
    <w:rsid w:val="00BB62D7"/>
    <w:rsid w:val="00BB6931"/>
    <w:rsid w:val="00BB7BCF"/>
    <w:rsid w:val="00BC05E2"/>
    <w:rsid w:val="00BC0C9A"/>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6AE7"/>
    <w:rsid w:val="00CA7887"/>
    <w:rsid w:val="00CB27A4"/>
    <w:rsid w:val="00CB2F1C"/>
    <w:rsid w:val="00CB621B"/>
    <w:rsid w:val="00CB65EC"/>
    <w:rsid w:val="00CB6E8A"/>
    <w:rsid w:val="00CC1CB2"/>
    <w:rsid w:val="00CC1DB1"/>
    <w:rsid w:val="00CC1F58"/>
    <w:rsid w:val="00CC7CEF"/>
    <w:rsid w:val="00CD0468"/>
    <w:rsid w:val="00CD1491"/>
    <w:rsid w:val="00CD3268"/>
    <w:rsid w:val="00CD64DE"/>
    <w:rsid w:val="00CD6EC0"/>
    <w:rsid w:val="00CE50AD"/>
    <w:rsid w:val="00CE5195"/>
    <w:rsid w:val="00CE51E4"/>
    <w:rsid w:val="00CF10FC"/>
    <w:rsid w:val="00CF1E45"/>
    <w:rsid w:val="00CF3428"/>
    <w:rsid w:val="00CF5631"/>
    <w:rsid w:val="00CF6971"/>
    <w:rsid w:val="00CF7993"/>
    <w:rsid w:val="00D00AC1"/>
    <w:rsid w:val="00D014AF"/>
    <w:rsid w:val="00D03926"/>
    <w:rsid w:val="00D03B93"/>
    <w:rsid w:val="00D12214"/>
    <w:rsid w:val="00D12D3B"/>
    <w:rsid w:val="00D16225"/>
    <w:rsid w:val="00D16547"/>
    <w:rsid w:val="00D2010F"/>
    <w:rsid w:val="00D20368"/>
    <w:rsid w:val="00D21B24"/>
    <w:rsid w:val="00D22035"/>
    <w:rsid w:val="00D24260"/>
    <w:rsid w:val="00D2489A"/>
    <w:rsid w:val="00D24BE6"/>
    <w:rsid w:val="00D24FB0"/>
    <w:rsid w:val="00D25099"/>
    <w:rsid w:val="00D309C0"/>
    <w:rsid w:val="00D33C66"/>
    <w:rsid w:val="00D34A5A"/>
    <w:rsid w:val="00D35A50"/>
    <w:rsid w:val="00D35BF1"/>
    <w:rsid w:val="00D3635F"/>
    <w:rsid w:val="00D378CF"/>
    <w:rsid w:val="00D434D5"/>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155"/>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3911"/>
    <w:rsid w:val="00E25425"/>
    <w:rsid w:val="00E25B8B"/>
    <w:rsid w:val="00E25C3E"/>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044D"/>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415"/>
    <w:rsid w:val="00F54463"/>
    <w:rsid w:val="00F54E38"/>
    <w:rsid w:val="00F551B0"/>
    <w:rsid w:val="00F62D24"/>
    <w:rsid w:val="00F6398A"/>
    <w:rsid w:val="00F668B1"/>
    <w:rsid w:val="00F66942"/>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4002"/>
    <w:rsid w:val="00F972BF"/>
    <w:rsid w:val="00FA0211"/>
    <w:rsid w:val="00FA0F1F"/>
    <w:rsid w:val="00FA17DB"/>
    <w:rsid w:val="00FA26F7"/>
    <w:rsid w:val="00FA3C84"/>
    <w:rsid w:val="00FA4E53"/>
    <w:rsid w:val="00FA7264"/>
    <w:rsid w:val="00FB0E2A"/>
    <w:rsid w:val="00FB1E09"/>
    <w:rsid w:val="00FB4039"/>
    <w:rsid w:val="00FB409B"/>
    <w:rsid w:val="00FB4334"/>
    <w:rsid w:val="00FB4892"/>
    <w:rsid w:val="00FB5BC0"/>
    <w:rsid w:val="00FB6C65"/>
    <w:rsid w:val="00FB6DF3"/>
    <w:rsid w:val="00FC0ED3"/>
    <w:rsid w:val="00FC1289"/>
    <w:rsid w:val="00FC15D5"/>
    <w:rsid w:val="00FC479D"/>
    <w:rsid w:val="00FC4FD7"/>
    <w:rsid w:val="00FC7940"/>
    <w:rsid w:val="00FD0CFA"/>
    <w:rsid w:val="00FD0F89"/>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050"/>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C47652-1370-45B7-96FD-0427963D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040134696">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51113113">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3396-7D93-4785-BBF3-3E845E28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3151</Words>
  <Characters>17336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15</cp:revision>
  <cp:lastPrinted>2019-02-15T17:24:00Z</cp:lastPrinted>
  <dcterms:created xsi:type="dcterms:W3CDTF">2019-02-08T20:08:00Z</dcterms:created>
  <dcterms:modified xsi:type="dcterms:W3CDTF">2019-04-08T19:24:00Z</dcterms:modified>
</cp:coreProperties>
</file>