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7342" w14:textId="77777777" w:rsidR="0088757B" w:rsidRPr="00A04ADC" w:rsidRDefault="0088757B" w:rsidP="0088757B">
      <w:pPr>
        <w:tabs>
          <w:tab w:val="left" w:pos="3103"/>
        </w:tabs>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14:paraId="405E70E3" w14:textId="77777777" w:rsidR="0088757B" w:rsidRPr="00A04ADC" w:rsidRDefault="0088757B" w:rsidP="0088757B">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14:paraId="021D7A01" w14:textId="77777777" w:rsidR="0088757B" w:rsidRPr="00A04ADC" w:rsidRDefault="0088757B" w:rsidP="0088757B">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RECURSO DE REVISIÓN:   0</w:t>
      </w:r>
      <w:r>
        <w:rPr>
          <w:rFonts w:ascii="Arial" w:hAnsi="Arial" w:cs="Arial"/>
          <w:b/>
          <w:iCs/>
          <w:caps/>
          <w:sz w:val="26"/>
          <w:szCs w:val="26"/>
          <w:lang w:val="es-PE"/>
        </w:rPr>
        <w:t>720</w:t>
      </w:r>
      <w:r w:rsidRPr="00A04ADC">
        <w:rPr>
          <w:rFonts w:ascii="Arial" w:hAnsi="Arial" w:cs="Arial"/>
          <w:b/>
          <w:iCs/>
          <w:caps/>
          <w:sz w:val="26"/>
          <w:szCs w:val="26"/>
          <w:lang w:val="es-PE"/>
        </w:rPr>
        <w:t>/201</w:t>
      </w:r>
      <w:r>
        <w:rPr>
          <w:rFonts w:ascii="Arial" w:hAnsi="Arial" w:cs="Arial"/>
          <w:b/>
          <w:iCs/>
          <w:caps/>
          <w:sz w:val="26"/>
          <w:szCs w:val="26"/>
          <w:lang w:val="es-PE"/>
        </w:rPr>
        <w:t>7</w:t>
      </w:r>
      <w:r w:rsidRPr="00A04ADC">
        <w:rPr>
          <w:rFonts w:ascii="Arial" w:hAnsi="Arial" w:cs="Arial"/>
          <w:b/>
          <w:iCs/>
          <w:caps/>
          <w:sz w:val="26"/>
          <w:szCs w:val="26"/>
          <w:lang w:val="es-PE"/>
        </w:rPr>
        <w:t xml:space="preserve"> </w:t>
      </w:r>
    </w:p>
    <w:p w14:paraId="3FDE1B0E" w14:textId="77777777" w:rsidR="0088757B" w:rsidRPr="00A04ADC" w:rsidRDefault="0088757B" w:rsidP="0088757B">
      <w:pPr>
        <w:pStyle w:val="Encabezado"/>
        <w:tabs>
          <w:tab w:val="clear" w:pos="4252"/>
        </w:tabs>
        <w:ind w:left="1119" w:right="51"/>
        <w:jc w:val="both"/>
        <w:rPr>
          <w:rFonts w:ascii="Arial" w:hAnsi="Arial" w:cs="Arial"/>
          <w:b/>
          <w:iCs/>
          <w:caps/>
          <w:sz w:val="26"/>
          <w:szCs w:val="26"/>
          <w:lang w:val="es-PE"/>
        </w:rPr>
      </w:pPr>
    </w:p>
    <w:p w14:paraId="46C0C5C0" w14:textId="77777777" w:rsidR="0088757B" w:rsidRPr="00A04ADC" w:rsidRDefault="0088757B" w:rsidP="0088757B">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EXPEDIENTE: 0</w:t>
      </w:r>
      <w:r>
        <w:rPr>
          <w:rFonts w:ascii="Arial" w:hAnsi="Arial" w:cs="Arial"/>
          <w:b/>
          <w:iCs/>
          <w:caps/>
          <w:sz w:val="26"/>
          <w:szCs w:val="26"/>
          <w:lang w:val="es-PE"/>
        </w:rPr>
        <w:t>042</w:t>
      </w:r>
      <w:r w:rsidRPr="00A04ADC">
        <w:rPr>
          <w:rFonts w:ascii="Arial" w:hAnsi="Arial" w:cs="Arial"/>
          <w:b/>
          <w:iCs/>
          <w:caps/>
          <w:sz w:val="26"/>
          <w:szCs w:val="26"/>
          <w:lang w:val="es-PE"/>
        </w:rPr>
        <w:t>/201</w:t>
      </w:r>
      <w:r>
        <w:rPr>
          <w:rFonts w:ascii="Arial" w:hAnsi="Arial" w:cs="Arial"/>
          <w:b/>
          <w:iCs/>
          <w:caps/>
          <w:sz w:val="26"/>
          <w:szCs w:val="26"/>
          <w:lang w:val="es-PE"/>
        </w:rPr>
        <w:t>7</w:t>
      </w:r>
      <w:r w:rsidRPr="00A04ADC">
        <w:rPr>
          <w:rFonts w:ascii="Arial" w:hAnsi="Arial" w:cs="Arial"/>
          <w:b/>
          <w:iCs/>
          <w:caps/>
          <w:sz w:val="26"/>
          <w:szCs w:val="26"/>
          <w:lang w:val="es-PE"/>
        </w:rPr>
        <w:t xml:space="preserve"> DE LA </w:t>
      </w:r>
      <w:r>
        <w:rPr>
          <w:rFonts w:ascii="Arial" w:hAnsi="Arial" w:cs="Arial"/>
          <w:b/>
          <w:iCs/>
          <w:caps/>
          <w:sz w:val="26"/>
          <w:szCs w:val="26"/>
          <w:lang w:val="es-PE"/>
        </w:rPr>
        <w:t>CUARTA</w:t>
      </w:r>
      <w:r w:rsidRPr="00A04ADC">
        <w:rPr>
          <w:rFonts w:ascii="Arial" w:hAnsi="Arial" w:cs="Arial"/>
          <w:b/>
          <w:iCs/>
          <w:caps/>
          <w:sz w:val="26"/>
          <w:szCs w:val="26"/>
          <w:lang w:val="es-PE"/>
        </w:rPr>
        <w:t xml:space="preserve"> SALA UNITARIA DE PRIMERA INSTANCIA</w:t>
      </w:r>
    </w:p>
    <w:p w14:paraId="6C6F232D" w14:textId="77777777" w:rsidR="0088757B" w:rsidRPr="00A04ADC" w:rsidRDefault="0088757B" w:rsidP="0088757B">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14:paraId="7EA559AC" w14:textId="77777777" w:rsidR="0088757B" w:rsidRDefault="0088757B" w:rsidP="0088757B">
      <w:pPr>
        <w:ind w:left="2977"/>
        <w:jc w:val="both"/>
        <w:rPr>
          <w:rFonts w:ascii="Arial" w:hAnsi="Arial" w:cs="Arial"/>
          <w:b/>
          <w:sz w:val="26"/>
          <w:szCs w:val="26"/>
        </w:rPr>
      </w:pPr>
      <w:r>
        <w:rPr>
          <w:rFonts w:ascii="Arial" w:hAnsi="Arial" w:cs="Arial"/>
          <w:b/>
          <w:iCs/>
          <w:caps/>
          <w:sz w:val="26"/>
          <w:szCs w:val="26"/>
          <w:lang w:val="es-PE"/>
        </w:rPr>
        <w:t>magistrado ponente: MANUEL VELASCO ALCÁNTARA</w:t>
      </w:r>
    </w:p>
    <w:p w14:paraId="286E2415" w14:textId="77777777" w:rsidR="0088757B" w:rsidRDefault="0088757B" w:rsidP="0088757B">
      <w:pPr>
        <w:spacing w:line="360" w:lineRule="auto"/>
        <w:jc w:val="both"/>
        <w:rPr>
          <w:rFonts w:ascii="Arial" w:hAnsi="Arial" w:cs="Arial"/>
          <w:b/>
          <w:sz w:val="26"/>
          <w:szCs w:val="26"/>
        </w:rPr>
      </w:pPr>
    </w:p>
    <w:p w14:paraId="246AF234" w14:textId="2338BA2B" w:rsidR="0088757B" w:rsidRPr="00A04ADC" w:rsidRDefault="0088757B" w:rsidP="0088757B">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DE JUÁREZ, OAXACA, SIETE</w:t>
      </w:r>
      <w:r w:rsidRPr="00A04ADC">
        <w:rPr>
          <w:rFonts w:ascii="Arial" w:hAnsi="Arial" w:cs="Arial"/>
          <w:b/>
          <w:sz w:val="26"/>
          <w:szCs w:val="26"/>
        </w:rPr>
        <w:t xml:space="preserve"> DE </w:t>
      </w:r>
      <w:r>
        <w:rPr>
          <w:rFonts w:ascii="Arial" w:hAnsi="Arial" w:cs="Arial"/>
          <w:b/>
          <w:sz w:val="26"/>
          <w:szCs w:val="26"/>
        </w:rPr>
        <w:t>MARZO</w:t>
      </w:r>
      <w:r w:rsidRPr="00A04ADC">
        <w:rPr>
          <w:rFonts w:ascii="Arial" w:hAnsi="Arial" w:cs="Arial"/>
          <w:b/>
          <w:sz w:val="26"/>
          <w:szCs w:val="26"/>
        </w:rPr>
        <w:t xml:space="preserve"> DE</w:t>
      </w:r>
      <w:r>
        <w:rPr>
          <w:rFonts w:ascii="Arial" w:hAnsi="Arial" w:cs="Arial"/>
          <w:b/>
          <w:sz w:val="26"/>
          <w:szCs w:val="26"/>
        </w:rPr>
        <w:t xml:space="preserve"> </w:t>
      </w:r>
      <w:r w:rsidRPr="00A04ADC">
        <w:rPr>
          <w:rFonts w:ascii="Arial" w:hAnsi="Arial" w:cs="Arial"/>
          <w:b/>
          <w:sz w:val="26"/>
          <w:szCs w:val="26"/>
        </w:rPr>
        <w:t>DOS MIL DIECI</w:t>
      </w:r>
      <w:r>
        <w:rPr>
          <w:rFonts w:ascii="Arial" w:hAnsi="Arial" w:cs="Arial"/>
          <w:b/>
          <w:sz w:val="26"/>
          <w:szCs w:val="26"/>
        </w:rPr>
        <w:t>NUEVE</w:t>
      </w:r>
      <w:r w:rsidRPr="00A04ADC">
        <w:rPr>
          <w:rFonts w:ascii="Arial" w:hAnsi="Arial" w:cs="Arial"/>
          <w:b/>
          <w:sz w:val="26"/>
          <w:szCs w:val="26"/>
        </w:rPr>
        <w:t>.</w:t>
      </w:r>
      <w:r>
        <w:rPr>
          <w:rFonts w:ascii="Arial" w:hAnsi="Arial" w:cs="Arial"/>
          <w:b/>
          <w:sz w:val="26"/>
          <w:szCs w:val="26"/>
        </w:rPr>
        <w:t xml:space="preserve"> </w:t>
      </w:r>
    </w:p>
    <w:p w14:paraId="35DA6DB0" w14:textId="3CAD1BEF" w:rsidR="0088757B" w:rsidRPr="00A04ADC" w:rsidRDefault="0088757B" w:rsidP="0088757B">
      <w:pPr>
        <w:spacing w:line="360" w:lineRule="auto"/>
        <w:ind w:firstLine="708"/>
        <w:jc w:val="both"/>
        <w:rPr>
          <w:rFonts w:ascii="Arial" w:hAnsi="Arial" w:cs="Arial"/>
          <w:sz w:val="26"/>
          <w:szCs w:val="26"/>
        </w:rPr>
      </w:pPr>
      <w:r w:rsidRPr="00A04ADC">
        <w:rPr>
          <w:rFonts w:ascii="Arial" w:hAnsi="Arial" w:cs="Arial"/>
          <w:sz w:val="26"/>
          <w:szCs w:val="26"/>
        </w:rPr>
        <w:t xml:space="preserve">Por recibido el Cuaderno de Revisión </w:t>
      </w:r>
      <w:r w:rsidRPr="0088757B">
        <w:rPr>
          <w:rFonts w:ascii="Arial" w:hAnsi="Arial" w:cs="Arial"/>
          <w:b/>
          <w:sz w:val="26"/>
          <w:szCs w:val="26"/>
        </w:rPr>
        <w:t>0720/2017</w:t>
      </w:r>
      <w:r w:rsidRPr="00A04ADC">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el</w:t>
      </w:r>
      <w:r>
        <w:rPr>
          <w:rFonts w:ascii="Arial" w:hAnsi="Arial" w:cs="Arial"/>
          <w:b/>
          <w:sz w:val="26"/>
          <w:szCs w:val="26"/>
        </w:rPr>
        <w:t xml:space="preserve"> DIRECTOR GENERAL DE LA OFICINA DE PENSIONES,</w:t>
      </w:r>
      <w:r>
        <w:rPr>
          <w:rFonts w:ascii="Arial" w:hAnsi="Arial" w:cs="Arial"/>
          <w:sz w:val="26"/>
          <w:szCs w:val="26"/>
        </w:rPr>
        <w:t xml:space="preserve"> autoridad demandada en </w:t>
      </w:r>
      <w:r w:rsidRPr="00A04ADC">
        <w:rPr>
          <w:rFonts w:ascii="Arial" w:hAnsi="Arial" w:cs="Arial"/>
          <w:sz w:val="26"/>
          <w:szCs w:val="26"/>
        </w:rPr>
        <w:t>el juicio natural</w:t>
      </w:r>
      <w:r>
        <w:rPr>
          <w:rFonts w:ascii="Arial" w:hAnsi="Arial" w:cs="Arial"/>
          <w:sz w:val="26"/>
          <w:szCs w:val="26"/>
        </w:rPr>
        <w:t>,</w:t>
      </w:r>
      <w:r w:rsidRPr="00A04ADC">
        <w:rPr>
          <w:rFonts w:ascii="Arial" w:hAnsi="Arial" w:cs="Arial"/>
          <w:sz w:val="26"/>
          <w:szCs w:val="26"/>
        </w:rPr>
        <w:t xml:space="preserve"> en contra de </w:t>
      </w:r>
      <w:r>
        <w:rPr>
          <w:rFonts w:ascii="Arial" w:hAnsi="Arial" w:cs="Arial"/>
          <w:sz w:val="26"/>
          <w:szCs w:val="26"/>
        </w:rPr>
        <w:t>sentencia</w:t>
      </w:r>
      <w:r w:rsidRPr="00A04ADC">
        <w:rPr>
          <w:rFonts w:ascii="Arial" w:hAnsi="Arial" w:cs="Arial"/>
          <w:sz w:val="26"/>
          <w:szCs w:val="26"/>
        </w:rPr>
        <w:t xml:space="preserve"> de </w:t>
      </w:r>
      <w:r>
        <w:rPr>
          <w:rFonts w:ascii="Arial" w:hAnsi="Arial" w:cs="Arial"/>
          <w:sz w:val="26"/>
          <w:szCs w:val="26"/>
        </w:rPr>
        <w:t xml:space="preserve">veintiuno </w:t>
      </w:r>
      <w:r w:rsidRPr="00A04ADC">
        <w:rPr>
          <w:rFonts w:ascii="Arial" w:hAnsi="Arial" w:cs="Arial"/>
          <w:sz w:val="26"/>
          <w:szCs w:val="26"/>
        </w:rPr>
        <w:t xml:space="preserve">de </w:t>
      </w:r>
      <w:r>
        <w:rPr>
          <w:rFonts w:ascii="Arial" w:hAnsi="Arial" w:cs="Arial"/>
          <w:sz w:val="26"/>
          <w:szCs w:val="26"/>
        </w:rPr>
        <w:t xml:space="preserve">agosto </w:t>
      </w:r>
      <w:r w:rsidRPr="00A04ADC">
        <w:rPr>
          <w:rFonts w:ascii="Arial" w:hAnsi="Arial" w:cs="Arial"/>
          <w:sz w:val="26"/>
          <w:szCs w:val="26"/>
        </w:rPr>
        <w:t>de dos mil diecisiete</w:t>
      </w:r>
      <w:r>
        <w:rPr>
          <w:rFonts w:ascii="Arial" w:hAnsi="Arial" w:cs="Arial"/>
          <w:sz w:val="26"/>
          <w:szCs w:val="26"/>
        </w:rPr>
        <w:t>,</w:t>
      </w:r>
      <w:r w:rsidRPr="00A04ADC">
        <w:rPr>
          <w:rFonts w:ascii="Arial" w:hAnsi="Arial" w:cs="Arial"/>
          <w:sz w:val="26"/>
          <w:szCs w:val="26"/>
        </w:rPr>
        <w:t xml:space="preserve"> dictada por la </w:t>
      </w:r>
      <w:r>
        <w:rPr>
          <w:rFonts w:ascii="Arial" w:hAnsi="Arial" w:cs="Arial"/>
          <w:sz w:val="26"/>
          <w:szCs w:val="26"/>
        </w:rPr>
        <w:t>Cuarta</w:t>
      </w:r>
      <w:r w:rsidRPr="00A04ADC">
        <w:rPr>
          <w:rFonts w:ascii="Arial" w:hAnsi="Arial" w:cs="Arial"/>
          <w:sz w:val="26"/>
          <w:szCs w:val="26"/>
        </w:rPr>
        <w:t xml:space="preserve"> Sala Unitaria de Primera Instancia </w:t>
      </w:r>
      <w:r>
        <w:rPr>
          <w:rFonts w:ascii="Arial" w:hAnsi="Arial" w:cs="Arial"/>
          <w:sz w:val="26"/>
          <w:szCs w:val="26"/>
        </w:rPr>
        <w:t xml:space="preserve">del otrora Tribunal de lo Contencioso Administrativo y de Cuentas, </w:t>
      </w:r>
      <w:r w:rsidRPr="00A04ADC">
        <w:rPr>
          <w:rFonts w:ascii="Arial" w:hAnsi="Arial" w:cs="Arial"/>
          <w:sz w:val="26"/>
          <w:szCs w:val="26"/>
        </w:rPr>
        <w:t xml:space="preserve">en el expediente </w:t>
      </w:r>
      <w:r>
        <w:rPr>
          <w:rFonts w:ascii="Arial" w:hAnsi="Arial" w:cs="Arial"/>
          <w:b/>
          <w:sz w:val="26"/>
          <w:szCs w:val="26"/>
        </w:rPr>
        <w:t>0042</w:t>
      </w:r>
      <w:r w:rsidRPr="00A04ADC">
        <w:rPr>
          <w:rFonts w:ascii="Arial" w:hAnsi="Arial" w:cs="Arial"/>
          <w:b/>
          <w:sz w:val="26"/>
          <w:szCs w:val="26"/>
        </w:rPr>
        <w:t>/201</w:t>
      </w:r>
      <w:r>
        <w:rPr>
          <w:rFonts w:ascii="Arial" w:hAnsi="Arial" w:cs="Arial"/>
          <w:b/>
          <w:sz w:val="26"/>
          <w:szCs w:val="26"/>
        </w:rPr>
        <w:t>7</w:t>
      </w:r>
      <w:r w:rsidRPr="00A04ADC">
        <w:rPr>
          <w:rFonts w:ascii="Arial" w:hAnsi="Arial" w:cs="Arial"/>
          <w:b/>
          <w:sz w:val="26"/>
          <w:szCs w:val="26"/>
        </w:rPr>
        <w:t xml:space="preserve"> </w:t>
      </w:r>
      <w:r w:rsidRPr="00A04ADC">
        <w:rPr>
          <w:rFonts w:ascii="Arial" w:hAnsi="Arial" w:cs="Arial"/>
          <w:sz w:val="26"/>
          <w:szCs w:val="26"/>
        </w:rPr>
        <w:t>de</w:t>
      </w:r>
      <w:r>
        <w:rPr>
          <w:rFonts w:ascii="Arial" w:hAnsi="Arial" w:cs="Arial"/>
          <w:sz w:val="26"/>
          <w:szCs w:val="26"/>
        </w:rPr>
        <w:t>l</w:t>
      </w:r>
      <w:r w:rsidRPr="00A04ADC">
        <w:rPr>
          <w:rFonts w:ascii="Arial" w:hAnsi="Arial" w:cs="Arial"/>
          <w:sz w:val="26"/>
          <w:szCs w:val="26"/>
        </w:rPr>
        <w:t xml:space="preserve"> índice</w:t>
      </w:r>
      <w:r>
        <w:rPr>
          <w:rFonts w:ascii="Arial" w:hAnsi="Arial" w:cs="Arial"/>
          <w:sz w:val="26"/>
          <w:szCs w:val="26"/>
        </w:rPr>
        <w:t xml:space="preserve"> de esa Sala</w:t>
      </w:r>
      <w:r w:rsidRPr="00A04ADC">
        <w:rPr>
          <w:rFonts w:ascii="Arial" w:hAnsi="Arial" w:cs="Arial"/>
          <w:sz w:val="26"/>
          <w:szCs w:val="26"/>
        </w:rPr>
        <w:t xml:space="preserve">, relativo al juicio </w:t>
      </w:r>
      <w:r>
        <w:rPr>
          <w:rFonts w:ascii="Arial" w:hAnsi="Arial" w:cs="Arial"/>
          <w:sz w:val="26"/>
          <w:szCs w:val="26"/>
        </w:rPr>
        <w:t xml:space="preserve">de nulidad </w:t>
      </w:r>
      <w:r w:rsidRPr="00A04ADC">
        <w:rPr>
          <w:rFonts w:ascii="Arial" w:hAnsi="Arial" w:cs="Arial"/>
          <w:sz w:val="26"/>
          <w:szCs w:val="26"/>
        </w:rPr>
        <w:t>promovido por</w:t>
      </w:r>
      <w:r>
        <w:rPr>
          <w:rFonts w:ascii="Arial" w:hAnsi="Arial" w:cs="Arial"/>
          <w:sz w:val="26"/>
          <w:szCs w:val="26"/>
        </w:rPr>
        <w:t xml:space="preserve"> </w:t>
      </w:r>
      <w:r w:rsidR="0066061F">
        <w:rPr>
          <w:rFonts w:ascii="Arial" w:hAnsi="Arial" w:cs="Arial"/>
          <w:sz w:val="26"/>
          <w:szCs w:val="26"/>
        </w:rPr>
        <w:t>**********</w:t>
      </w:r>
      <w:r w:rsidRPr="00852C8D">
        <w:rPr>
          <w:rFonts w:ascii="Arial" w:hAnsi="Arial" w:cs="Arial"/>
          <w:sz w:val="26"/>
          <w:szCs w:val="26"/>
        </w:rPr>
        <w:t>e</w:t>
      </w:r>
      <w:r w:rsidRPr="00A04ADC">
        <w:rPr>
          <w:rFonts w:ascii="Arial" w:hAnsi="Arial" w:cs="Arial"/>
          <w:sz w:val="26"/>
          <w:szCs w:val="26"/>
        </w:rPr>
        <w:t xml:space="preserve">n contra del </w:t>
      </w:r>
      <w:r>
        <w:rPr>
          <w:rFonts w:ascii="Arial" w:hAnsi="Arial" w:cs="Arial"/>
          <w:b/>
          <w:sz w:val="26"/>
          <w:szCs w:val="26"/>
        </w:rPr>
        <w:t>CONSEJO DIRECTIVO DE PENSIONES DEL GOBIERNO DEL ESTADO DE OAXACA</w:t>
      </w:r>
      <w:r w:rsidRPr="00A04ADC">
        <w:rPr>
          <w:rFonts w:ascii="Arial" w:hAnsi="Arial" w:cs="Arial"/>
          <w:b/>
          <w:sz w:val="26"/>
          <w:szCs w:val="26"/>
        </w:rPr>
        <w:t xml:space="preserve">; </w:t>
      </w:r>
      <w:r w:rsidRPr="00A04ADC">
        <w:rPr>
          <w:rFonts w:ascii="Arial" w:hAnsi="Arial" w:cs="Arial"/>
          <w:sz w:val="26"/>
          <w:szCs w:val="26"/>
        </w:rPr>
        <w:t>por lo que</w:t>
      </w:r>
      <w:r>
        <w:rPr>
          <w:rFonts w:ascii="Arial" w:hAnsi="Arial" w:cs="Arial"/>
          <w:sz w:val="26"/>
          <w:szCs w:val="26"/>
        </w:rPr>
        <w:t>,</w:t>
      </w:r>
      <w:r w:rsidRPr="00A04ADC">
        <w:rPr>
          <w:rFonts w:ascii="Arial" w:hAnsi="Arial" w:cs="Arial"/>
          <w:sz w:val="26"/>
          <w:szCs w:val="26"/>
        </w:rPr>
        <w:t xml:space="preserve"> con fundamento en los artículos 207 y 208 de la Ley de Justicia Administrativa para el Estado de Oaxaca, </w:t>
      </w:r>
      <w:r>
        <w:rPr>
          <w:rFonts w:ascii="Arial" w:hAnsi="Arial" w:cs="Arial"/>
          <w:sz w:val="26"/>
          <w:szCs w:val="26"/>
        </w:rPr>
        <w:t xml:space="preserve">vigente hasta el veinte de octubre de dos mil diecisiete, </w:t>
      </w:r>
      <w:r w:rsidRPr="00A04ADC">
        <w:rPr>
          <w:rFonts w:ascii="Arial" w:hAnsi="Arial" w:cs="Arial"/>
          <w:sz w:val="26"/>
          <w:szCs w:val="26"/>
        </w:rPr>
        <w:t>se admite.  En consecuencia, se procede a dictar resolución en los siguientes términos:</w:t>
      </w:r>
    </w:p>
    <w:p w14:paraId="17AEC6A4" w14:textId="77777777" w:rsidR="0088757B" w:rsidRPr="00A04ADC" w:rsidRDefault="0088757B" w:rsidP="0088757B">
      <w:pPr>
        <w:spacing w:line="360" w:lineRule="auto"/>
        <w:jc w:val="center"/>
        <w:rPr>
          <w:rFonts w:ascii="Arial" w:hAnsi="Arial" w:cs="Arial"/>
          <w:b/>
          <w:bCs/>
          <w:sz w:val="26"/>
          <w:szCs w:val="26"/>
        </w:rPr>
      </w:pPr>
      <w:r w:rsidRPr="00A04ADC">
        <w:rPr>
          <w:rFonts w:ascii="Arial" w:hAnsi="Arial" w:cs="Arial"/>
          <w:b/>
          <w:bCs/>
          <w:sz w:val="26"/>
          <w:szCs w:val="26"/>
        </w:rPr>
        <w:t>R E S U L T A N D O</w:t>
      </w:r>
    </w:p>
    <w:p w14:paraId="270742EB" w14:textId="5CAC1229" w:rsidR="0088757B" w:rsidRDefault="0088757B" w:rsidP="0088757B">
      <w:pPr>
        <w:spacing w:line="360" w:lineRule="auto"/>
        <w:ind w:firstLine="709"/>
        <w:jc w:val="both"/>
        <w:rPr>
          <w:rFonts w:ascii="Arial" w:hAnsi="Arial" w:cs="Arial"/>
          <w:sz w:val="26"/>
          <w:szCs w:val="26"/>
        </w:rPr>
      </w:pPr>
      <w:r w:rsidRPr="00A04ADC">
        <w:rPr>
          <w:rFonts w:ascii="Arial" w:hAnsi="Arial" w:cs="Arial"/>
          <w:b/>
          <w:bCs/>
          <w:sz w:val="26"/>
          <w:szCs w:val="26"/>
        </w:rPr>
        <w:t xml:space="preserve">PRIMERO. </w:t>
      </w:r>
      <w:r w:rsidRPr="00A04ADC">
        <w:rPr>
          <w:rFonts w:ascii="Arial" w:hAnsi="Arial" w:cs="Arial"/>
          <w:sz w:val="26"/>
          <w:szCs w:val="26"/>
        </w:rPr>
        <w:t xml:space="preserve">Inconforme con la </w:t>
      </w:r>
      <w:r>
        <w:rPr>
          <w:rFonts w:ascii="Arial" w:hAnsi="Arial" w:cs="Arial"/>
          <w:sz w:val="26"/>
          <w:szCs w:val="26"/>
        </w:rPr>
        <w:t>sentencia</w:t>
      </w:r>
      <w:r w:rsidRPr="00A04ADC">
        <w:rPr>
          <w:rFonts w:ascii="Arial" w:hAnsi="Arial" w:cs="Arial"/>
          <w:sz w:val="26"/>
          <w:szCs w:val="26"/>
        </w:rPr>
        <w:t xml:space="preserve"> de </w:t>
      </w:r>
      <w:r w:rsidR="00092633">
        <w:rPr>
          <w:rFonts w:ascii="Arial" w:hAnsi="Arial" w:cs="Arial"/>
          <w:sz w:val="26"/>
          <w:szCs w:val="26"/>
        </w:rPr>
        <w:t xml:space="preserve">veintiuno </w:t>
      </w:r>
      <w:r w:rsidR="00092633" w:rsidRPr="00A04ADC">
        <w:rPr>
          <w:rFonts w:ascii="Arial" w:hAnsi="Arial" w:cs="Arial"/>
          <w:sz w:val="26"/>
          <w:szCs w:val="26"/>
        </w:rPr>
        <w:t xml:space="preserve">de </w:t>
      </w:r>
      <w:r w:rsidR="00092633">
        <w:rPr>
          <w:rFonts w:ascii="Arial" w:hAnsi="Arial" w:cs="Arial"/>
          <w:sz w:val="26"/>
          <w:szCs w:val="26"/>
        </w:rPr>
        <w:t xml:space="preserve">agosto </w:t>
      </w:r>
      <w:r w:rsidR="00092633" w:rsidRPr="00A04ADC">
        <w:rPr>
          <w:rFonts w:ascii="Arial" w:hAnsi="Arial" w:cs="Arial"/>
          <w:sz w:val="26"/>
          <w:szCs w:val="26"/>
        </w:rPr>
        <w:t>de dos mil diecisiete</w:t>
      </w:r>
      <w:r>
        <w:rPr>
          <w:rFonts w:ascii="Arial" w:hAnsi="Arial" w:cs="Arial"/>
          <w:sz w:val="26"/>
          <w:szCs w:val="26"/>
        </w:rPr>
        <w:t xml:space="preserve">, dictada por la </w:t>
      </w:r>
      <w:r w:rsidR="00092633">
        <w:rPr>
          <w:rFonts w:ascii="Arial" w:hAnsi="Arial" w:cs="Arial"/>
          <w:sz w:val="26"/>
          <w:szCs w:val="26"/>
        </w:rPr>
        <w:t>Cuarta</w:t>
      </w:r>
      <w:r w:rsidRPr="00A04ADC">
        <w:rPr>
          <w:rFonts w:ascii="Arial" w:hAnsi="Arial" w:cs="Arial"/>
          <w:sz w:val="26"/>
          <w:szCs w:val="26"/>
        </w:rPr>
        <w:t xml:space="preserve"> Sala Unitaria de Primera Instancia</w:t>
      </w:r>
      <w:r>
        <w:rPr>
          <w:rFonts w:ascii="Arial" w:hAnsi="Arial" w:cs="Arial"/>
          <w:sz w:val="26"/>
          <w:szCs w:val="26"/>
        </w:rPr>
        <w:t xml:space="preserve"> del entonces Tribunal de lo Contencioso Administrativo y de Cuentas</w:t>
      </w:r>
      <w:r w:rsidRPr="00A04ADC">
        <w:rPr>
          <w:rFonts w:ascii="Arial" w:hAnsi="Arial" w:cs="Arial"/>
          <w:sz w:val="26"/>
          <w:szCs w:val="26"/>
        </w:rPr>
        <w:t xml:space="preserve">, </w:t>
      </w:r>
      <w:r>
        <w:rPr>
          <w:rFonts w:ascii="Arial" w:hAnsi="Arial" w:cs="Arial"/>
          <w:sz w:val="26"/>
          <w:szCs w:val="26"/>
        </w:rPr>
        <w:t xml:space="preserve">el </w:t>
      </w:r>
      <w:r>
        <w:rPr>
          <w:rFonts w:ascii="Arial" w:hAnsi="Arial" w:cs="Arial"/>
          <w:b/>
          <w:sz w:val="26"/>
          <w:szCs w:val="26"/>
        </w:rPr>
        <w:t>DIRECTOR GENERAL DE LA OFICINA DE PENSIONES</w:t>
      </w:r>
      <w:r>
        <w:rPr>
          <w:rFonts w:ascii="Arial" w:hAnsi="Arial" w:cs="Arial"/>
          <w:sz w:val="26"/>
          <w:szCs w:val="26"/>
        </w:rPr>
        <w:t xml:space="preserve"> en su carácter de apoderado legal del </w:t>
      </w:r>
      <w:r>
        <w:rPr>
          <w:rFonts w:ascii="Arial" w:hAnsi="Arial" w:cs="Arial"/>
          <w:b/>
          <w:sz w:val="26"/>
          <w:szCs w:val="26"/>
        </w:rPr>
        <w:t>CONSEJO DIRECTIVO DE PENSIONES DEL GOBIERNO DEL ESTADO DE OAXACA, autoridad</w:t>
      </w:r>
      <w:r>
        <w:rPr>
          <w:rFonts w:ascii="Arial" w:hAnsi="Arial" w:cs="Arial"/>
          <w:sz w:val="26"/>
          <w:szCs w:val="26"/>
        </w:rPr>
        <w:t xml:space="preserve"> </w:t>
      </w:r>
      <w:r w:rsidRPr="005E013F">
        <w:rPr>
          <w:rFonts w:ascii="Arial" w:hAnsi="Arial" w:cs="Arial"/>
          <w:b/>
          <w:sz w:val="26"/>
          <w:szCs w:val="26"/>
        </w:rPr>
        <w:t>demandad</w:t>
      </w:r>
      <w:r>
        <w:rPr>
          <w:rFonts w:ascii="Arial" w:hAnsi="Arial" w:cs="Arial"/>
          <w:b/>
          <w:sz w:val="26"/>
          <w:szCs w:val="26"/>
        </w:rPr>
        <w:t>a</w:t>
      </w:r>
      <w:r w:rsidRPr="00A04ADC">
        <w:rPr>
          <w:rFonts w:ascii="Arial" w:hAnsi="Arial" w:cs="Arial"/>
          <w:sz w:val="26"/>
          <w:szCs w:val="26"/>
        </w:rPr>
        <w:t xml:space="preserve"> </w:t>
      </w:r>
      <w:r>
        <w:rPr>
          <w:rFonts w:ascii="Arial" w:hAnsi="Arial" w:cs="Arial"/>
          <w:sz w:val="26"/>
          <w:szCs w:val="26"/>
        </w:rPr>
        <w:t xml:space="preserve">en </w:t>
      </w:r>
      <w:r w:rsidRPr="00A04ADC">
        <w:rPr>
          <w:rFonts w:ascii="Arial" w:hAnsi="Arial" w:cs="Arial"/>
          <w:sz w:val="26"/>
          <w:szCs w:val="26"/>
        </w:rPr>
        <w:t>el juicio</w:t>
      </w:r>
      <w:r>
        <w:rPr>
          <w:rFonts w:ascii="Arial" w:hAnsi="Arial" w:cs="Arial"/>
          <w:sz w:val="26"/>
          <w:szCs w:val="26"/>
        </w:rPr>
        <w:t xml:space="preserve"> natural</w:t>
      </w:r>
      <w:r w:rsidRPr="00A04ADC">
        <w:rPr>
          <w:rFonts w:ascii="Arial" w:hAnsi="Arial" w:cs="Arial"/>
          <w:sz w:val="26"/>
          <w:szCs w:val="26"/>
        </w:rPr>
        <w:t>, interp</w:t>
      </w:r>
      <w:r>
        <w:rPr>
          <w:rFonts w:ascii="Arial" w:hAnsi="Arial" w:cs="Arial"/>
          <w:sz w:val="26"/>
          <w:szCs w:val="26"/>
        </w:rPr>
        <w:t>uso</w:t>
      </w:r>
      <w:r w:rsidRPr="00A04ADC">
        <w:rPr>
          <w:rFonts w:ascii="Arial" w:hAnsi="Arial" w:cs="Arial"/>
          <w:sz w:val="26"/>
          <w:szCs w:val="26"/>
        </w:rPr>
        <w:t xml:space="preserve"> en su contra recurso de revisión.</w:t>
      </w:r>
      <w:r>
        <w:rPr>
          <w:rFonts w:ascii="Arial" w:hAnsi="Arial" w:cs="Arial"/>
          <w:sz w:val="26"/>
          <w:szCs w:val="26"/>
        </w:rPr>
        <w:t xml:space="preserve"> </w:t>
      </w:r>
    </w:p>
    <w:p w14:paraId="5C9EF3D5" w14:textId="77777777" w:rsidR="0088757B" w:rsidRDefault="0088757B" w:rsidP="0088757B">
      <w:pPr>
        <w:spacing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Los puntos resolutivos de la sentencia recurrida son los siguientes:</w:t>
      </w:r>
    </w:p>
    <w:p w14:paraId="58FD10A3" w14:textId="5041A7AE" w:rsidR="0088757B" w:rsidRDefault="0088757B" w:rsidP="0088757B">
      <w:pPr>
        <w:ind w:left="709" w:right="709"/>
        <w:jc w:val="both"/>
      </w:pPr>
      <w:r>
        <w:rPr>
          <w:rFonts w:ascii="Arial" w:hAnsi="Arial" w:cs="Arial"/>
          <w:b/>
          <w:bCs/>
          <w:iCs/>
          <w:szCs w:val="24"/>
        </w:rPr>
        <w:t>“</w:t>
      </w:r>
      <w:r>
        <w:rPr>
          <w:b/>
        </w:rPr>
        <w:t xml:space="preserve">PRIMERO. </w:t>
      </w:r>
      <w:r>
        <w:t xml:space="preserve">Esta Cuarta Sala Unitaria </w:t>
      </w:r>
      <w:r w:rsidRPr="00117BAA">
        <w:rPr>
          <w:b/>
        </w:rPr>
        <w:t>fue</w:t>
      </w:r>
      <w:r>
        <w:t xml:space="preserve"> </w:t>
      </w:r>
      <w:r>
        <w:rPr>
          <w:b/>
        </w:rPr>
        <w:t xml:space="preserve">competente </w:t>
      </w:r>
      <w:r>
        <w:t xml:space="preserve">para conocer y resolver del presente asunto.- - - - - - - - - - - - - - - - - - - - - - - - - - - - - - - - - - - - </w:t>
      </w:r>
    </w:p>
    <w:p w14:paraId="7F742A62" w14:textId="01CA9090" w:rsidR="0088757B" w:rsidRDefault="0088757B" w:rsidP="0088757B">
      <w:pPr>
        <w:ind w:left="709" w:right="709"/>
        <w:jc w:val="both"/>
      </w:pPr>
      <w:r>
        <w:rPr>
          <w:b/>
        </w:rPr>
        <w:t xml:space="preserve">SEGUNDO. La personalidad </w:t>
      </w:r>
      <w:r>
        <w:t xml:space="preserve">de las partes quedó acreditada en autos. - - - - - </w:t>
      </w:r>
    </w:p>
    <w:p w14:paraId="268AE465" w14:textId="53188954" w:rsidR="0088757B" w:rsidRDefault="0088757B" w:rsidP="0088757B">
      <w:pPr>
        <w:ind w:left="709" w:right="709"/>
        <w:jc w:val="both"/>
      </w:pPr>
      <w:r>
        <w:rPr>
          <w:b/>
        </w:rPr>
        <w:lastRenderedPageBreak/>
        <w:t xml:space="preserve">TERCERO. </w:t>
      </w:r>
      <w:r>
        <w:t xml:space="preserve">No se actualizaron las causales de improcedencia invocadas por la autoridad demandada, en consecuencia, </w:t>
      </w:r>
      <w:r>
        <w:rPr>
          <w:b/>
        </w:rPr>
        <w:t>NO SE SOBRESEE</w:t>
      </w:r>
      <w:r>
        <w:t xml:space="preserve"> el juicio.- - - - - - - </w:t>
      </w:r>
    </w:p>
    <w:p w14:paraId="3968B4A8" w14:textId="6F592B04" w:rsidR="0088757B" w:rsidRDefault="0088757B" w:rsidP="0088757B">
      <w:pPr>
        <w:ind w:left="709" w:right="709"/>
        <w:jc w:val="both"/>
      </w:pPr>
      <w:r>
        <w:rPr>
          <w:b/>
        </w:rPr>
        <w:t xml:space="preserve">CUARTO. Se declararon improcedentes </w:t>
      </w:r>
      <w:r>
        <w:t xml:space="preserve">las excepciones de falta de acción y de derecho y la de falsedad de los hechos de la demanda, opuestas por la autoridad demandada. - - - - - - - - - - - - - - - - - - - - - - - - - - - - - - - - - - - - - - - - - </w:t>
      </w:r>
    </w:p>
    <w:p w14:paraId="00E77331" w14:textId="4AD41E94" w:rsidR="0088757B" w:rsidRDefault="0088757B" w:rsidP="0088757B">
      <w:pPr>
        <w:ind w:left="709" w:right="709"/>
        <w:jc w:val="both"/>
      </w:pPr>
      <w:r>
        <w:rPr>
          <w:b/>
        </w:rPr>
        <w:t xml:space="preserve">QUINTO. SE DECLARA LA NULIDAD </w:t>
      </w:r>
      <w:r>
        <w:t xml:space="preserve">del contenido del oficio número OP/DG/2303/12, de 13 trece de noviembre de 2012 dos mil doce, emitido por el Director General de la Oficina de Pensiones del Gobierno del Estado, </w:t>
      </w:r>
      <w:r>
        <w:rPr>
          <w:b/>
        </w:rPr>
        <w:t xml:space="preserve">PARA EL EFECTO </w:t>
      </w:r>
      <w:r>
        <w:t xml:space="preserve">precisado en el considerando quinto de esta sentencia. - - - </w:t>
      </w:r>
    </w:p>
    <w:p w14:paraId="4A3AD054" w14:textId="46A603C9" w:rsidR="0088757B" w:rsidRDefault="0088757B" w:rsidP="0088757B">
      <w:pPr>
        <w:ind w:left="709" w:right="709"/>
        <w:jc w:val="both"/>
      </w:pPr>
      <w:r>
        <w:rPr>
          <w:b/>
        </w:rPr>
        <w:t xml:space="preserve">SEXTO. </w:t>
      </w:r>
      <w:r>
        <w:t xml:space="preserve">Se ordena a la autoridad demandada que una vez emitida la resolución decretada, se </w:t>
      </w:r>
      <w:r>
        <w:rPr>
          <w:b/>
        </w:rPr>
        <w:t xml:space="preserve">abstenga de realizar los descuentos o retenciones del 9% a la pensión por inhabilitación del actor, </w:t>
      </w:r>
      <w:r>
        <w:t xml:space="preserve">como quedó precisado en el considerando sexto de esta sentencia.- - - - - - - - - - - - - - - - - - - - - - - - - - - - </w:t>
      </w:r>
    </w:p>
    <w:p w14:paraId="4D5702D4" w14:textId="69EBFEB3" w:rsidR="0088757B" w:rsidRDefault="0088757B" w:rsidP="0088757B">
      <w:pPr>
        <w:ind w:left="709" w:right="709"/>
        <w:jc w:val="both"/>
        <w:rPr>
          <w:rFonts w:ascii="Arial" w:hAnsi="Arial" w:cs="Arial"/>
          <w:b/>
          <w:bCs/>
          <w:iCs/>
          <w:szCs w:val="24"/>
        </w:rPr>
      </w:pPr>
      <w:r>
        <w:rPr>
          <w:b/>
        </w:rPr>
        <w:t xml:space="preserve">SÉPTIMO. NOTIFÍQUESE PERSONALMENTE AL ACTOR Y POR OFICIO A LA AUTORIDAD DEMANDADA, </w:t>
      </w:r>
      <w:r>
        <w:t>con fundamento en los artículos 142 fracción I y 143 fracción I y II, de la Ley de Justicia Administrativa para el Estado de Oaxaca.- - - -</w:t>
      </w:r>
      <w:r w:rsidR="00092633">
        <w:t xml:space="preserve"> - - - - - - - - - - - - - - - - - - - - - - - - - - - - - - - - - - - - - - - - - - - - - - - -</w:t>
      </w:r>
      <w:r w:rsidRPr="00AE3C7A">
        <w:rPr>
          <w:rFonts w:ascii="Arial" w:hAnsi="Arial" w:cs="Arial"/>
          <w:bCs/>
          <w:iCs/>
          <w:szCs w:val="24"/>
        </w:rPr>
        <w:t>”</w:t>
      </w:r>
    </w:p>
    <w:p w14:paraId="1E145BEE" w14:textId="77777777" w:rsidR="0088757B" w:rsidRPr="007734BC" w:rsidRDefault="0088757B" w:rsidP="0088757B">
      <w:pPr>
        <w:widowControl w:val="0"/>
        <w:tabs>
          <w:tab w:val="left" w:pos="2835"/>
          <w:tab w:val="left" w:pos="7938"/>
        </w:tabs>
        <w:spacing w:before="240" w:line="360" w:lineRule="auto"/>
        <w:ind w:right="17"/>
        <w:jc w:val="center"/>
        <w:rPr>
          <w:rFonts w:ascii="Arial" w:hAnsi="Arial" w:cs="Arial"/>
          <w:bCs/>
          <w:iCs/>
          <w:sz w:val="26"/>
          <w:szCs w:val="26"/>
          <w:lang w:eastAsia="es-ES"/>
        </w:rPr>
      </w:pPr>
      <w:r w:rsidRPr="007734BC">
        <w:rPr>
          <w:rFonts w:ascii="Arial" w:hAnsi="Arial" w:cs="Arial"/>
          <w:b/>
          <w:bCs/>
          <w:sz w:val="26"/>
          <w:szCs w:val="26"/>
          <w:lang w:eastAsia="es-ES"/>
        </w:rPr>
        <w:t>C O N S I D E R A N D O</w:t>
      </w:r>
    </w:p>
    <w:p w14:paraId="0E1775EE" w14:textId="11E68D52" w:rsidR="0088757B" w:rsidRPr="007734BC" w:rsidRDefault="0088757B" w:rsidP="0088757B">
      <w:pPr>
        <w:widowControl w:val="0"/>
        <w:tabs>
          <w:tab w:val="left" w:pos="7938"/>
        </w:tabs>
        <w:spacing w:before="240" w:line="360" w:lineRule="auto"/>
        <w:ind w:right="18" w:firstLine="709"/>
        <w:jc w:val="both"/>
        <w:rPr>
          <w:rFonts w:ascii="Arial" w:hAnsi="Arial" w:cs="Arial"/>
          <w:sz w:val="26"/>
          <w:szCs w:val="26"/>
          <w:lang w:eastAsia="es-ES"/>
        </w:rPr>
      </w:pPr>
      <w:r w:rsidRPr="007734BC">
        <w:rPr>
          <w:rFonts w:ascii="Arial" w:hAnsi="Arial" w:cs="Arial"/>
          <w:b/>
          <w:bCs/>
          <w:iCs/>
          <w:sz w:val="26"/>
          <w:szCs w:val="26"/>
          <w:lang w:eastAsia="es-ES"/>
        </w:rPr>
        <w:t xml:space="preserve">PRIMERO. </w:t>
      </w:r>
      <w:r w:rsidR="00092633" w:rsidRPr="007734BC">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sidR="00092633" w:rsidRPr="007734BC">
        <w:rPr>
          <w:rFonts w:ascii="Arial" w:eastAsia="Calibri" w:hAnsi="Arial" w:cs="Arial"/>
          <w:bCs/>
          <w:iCs/>
          <w:sz w:val="26"/>
          <w:szCs w:val="26"/>
          <w:lang w:eastAsia="es-ES"/>
        </w:rPr>
        <w:t>;</w:t>
      </w:r>
      <w:r w:rsidR="00092633" w:rsidRPr="007734BC">
        <w:rPr>
          <w:rFonts w:ascii="Arial" w:hAnsi="Arial" w:cs="Arial"/>
          <w:bCs/>
          <w:iCs/>
          <w:sz w:val="26"/>
          <w:szCs w:val="26"/>
          <w:lang w:eastAsia="es-ES"/>
        </w:rPr>
        <w:t xml:space="preserve"> </w:t>
      </w:r>
      <w:r w:rsidRPr="007734BC">
        <w:rPr>
          <w:rFonts w:ascii="Arial" w:hAnsi="Arial" w:cs="Arial"/>
          <w:bCs/>
          <w:iCs/>
          <w:sz w:val="26"/>
          <w:szCs w:val="26"/>
        </w:rPr>
        <w:t xml:space="preserve">dado que se trata de un Recurso de Revisión interpuesto en contra de sentencia de 21 veintiuno de agosto </w:t>
      </w:r>
      <w:r w:rsidRPr="007734BC">
        <w:rPr>
          <w:rFonts w:ascii="Arial" w:hAnsi="Arial" w:cs="Arial"/>
          <w:sz w:val="26"/>
          <w:szCs w:val="26"/>
        </w:rPr>
        <w:t>de 2017 dos mil diecisiete, dictada por la Cuarta Sala Unitaria de Primera Instancia del entonces Tribunal</w:t>
      </w:r>
      <w:r w:rsidRPr="007734BC">
        <w:rPr>
          <w:rFonts w:ascii="Arial" w:hAnsi="Arial" w:cs="Arial"/>
          <w:bCs/>
          <w:iCs/>
          <w:sz w:val="26"/>
          <w:szCs w:val="26"/>
        </w:rPr>
        <w:t xml:space="preserve"> de lo Contencioso Administrativo y de Cuentas, en el </w:t>
      </w:r>
      <w:r w:rsidRPr="007734BC">
        <w:rPr>
          <w:rFonts w:ascii="Arial" w:hAnsi="Arial" w:cs="Arial"/>
          <w:bCs/>
          <w:iCs/>
          <w:sz w:val="26"/>
          <w:szCs w:val="26"/>
          <w:lang w:eastAsia="es-ES"/>
        </w:rPr>
        <w:t xml:space="preserve">expediente </w:t>
      </w:r>
      <w:r w:rsidRPr="007734BC">
        <w:rPr>
          <w:rFonts w:ascii="Arial" w:hAnsi="Arial" w:cs="Arial"/>
          <w:b/>
          <w:bCs/>
          <w:iCs/>
          <w:sz w:val="26"/>
          <w:szCs w:val="26"/>
          <w:lang w:eastAsia="es-ES"/>
        </w:rPr>
        <w:t>0042/2017.</w:t>
      </w:r>
    </w:p>
    <w:p w14:paraId="3513F557" w14:textId="77777777" w:rsidR="0088757B" w:rsidRPr="007734BC" w:rsidRDefault="0088757B" w:rsidP="0088757B">
      <w:pPr>
        <w:spacing w:before="240" w:line="360" w:lineRule="auto"/>
        <w:ind w:firstLine="708"/>
        <w:jc w:val="both"/>
        <w:rPr>
          <w:rFonts w:ascii="Arial" w:hAnsi="Arial" w:cs="Arial"/>
          <w:sz w:val="26"/>
          <w:szCs w:val="26"/>
        </w:rPr>
      </w:pPr>
      <w:r w:rsidRPr="007734BC">
        <w:rPr>
          <w:rFonts w:ascii="Arial" w:hAnsi="Arial" w:cs="Arial"/>
          <w:b/>
          <w:bCs/>
          <w:sz w:val="26"/>
          <w:szCs w:val="26"/>
        </w:rPr>
        <w:t>SEGUNDO.</w:t>
      </w:r>
      <w:r w:rsidRPr="007734BC">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7734BC">
        <w:rPr>
          <w:rFonts w:ascii="Arial" w:hAnsi="Arial" w:cs="Arial"/>
          <w:sz w:val="26"/>
          <w:szCs w:val="26"/>
        </w:rPr>
        <w:t>.</w:t>
      </w:r>
    </w:p>
    <w:p w14:paraId="59B7E831" w14:textId="77777777" w:rsidR="0088757B" w:rsidRPr="007734BC" w:rsidRDefault="0088757B" w:rsidP="0088757B">
      <w:pPr>
        <w:pStyle w:val="Sinespaciado"/>
        <w:spacing w:line="360" w:lineRule="auto"/>
        <w:ind w:firstLine="708"/>
        <w:jc w:val="both"/>
        <w:rPr>
          <w:rFonts w:ascii="Arial" w:hAnsi="Arial" w:cs="Arial"/>
          <w:bCs/>
          <w:sz w:val="26"/>
          <w:szCs w:val="26"/>
          <w:lang w:val="es-MX"/>
        </w:rPr>
      </w:pPr>
      <w:r w:rsidRPr="007734BC">
        <w:rPr>
          <w:rFonts w:ascii="Arial" w:hAnsi="Arial" w:cs="Arial"/>
          <w:b/>
          <w:bCs/>
          <w:sz w:val="26"/>
          <w:szCs w:val="26"/>
        </w:rPr>
        <w:t>TERCERO</w:t>
      </w:r>
      <w:r w:rsidRPr="007734BC">
        <w:rPr>
          <w:rFonts w:ascii="Arial" w:hAnsi="Arial" w:cs="Arial"/>
          <w:bCs/>
          <w:sz w:val="26"/>
          <w:szCs w:val="26"/>
        </w:rPr>
        <w:t xml:space="preserve">. </w:t>
      </w:r>
      <w:r w:rsidRPr="007734BC">
        <w:rPr>
          <w:rFonts w:ascii="Arial" w:hAnsi="Arial" w:cs="Arial"/>
          <w:bCs/>
          <w:sz w:val="26"/>
          <w:szCs w:val="26"/>
          <w:lang w:val="es-MX"/>
        </w:rPr>
        <w:t xml:space="preserve">Señala el recurrente le causa agravio el considerando QUINTO de la sentencia recurrida, en razón de que se violó en perjuicio de su representada el principio de exhaustividad, dado que el artículo 177, de la Ley de Justicia Administrativa obliga al juzgador a decidir las controversias  planteadas a través de exposición fundada y motivada; lo anterior porque a juicio del juzgador en el acto </w:t>
      </w:r>
      <w:r w:rsidRPr="007734BC">
        <w:rPr>
          <w:rFonts w:ascii="Arial" w:hAnsi="Arial" w:cs="Arial"/>
          <w:bCs/>
          <w:sz w:val="26"/>
          <w:szCs w:val="26"/>
          <w:lang w:val="es-MX"/>
        </w:rPr>
        <w:lastRenderedPageBreak/>
        <w:t>impugnado se omitieron señalar los artículos 3 fracciones VI, IX y X, 54 fracciones I y II de la Ley de Pensiones.</w:t>
      </w:r>
    </w:p>
    <w:p w14:paraId="7F53749E" w14:textId="77777777" w:rsidR="0088757B" w:rsidRPr="007734BC" w:rsidRDefault="0088757B" w:rsidP="0088757B">
      <w:pPr>
        <w:pStyle w:val="Sinespaciado"/>
        <w:spacing w:before="240" w:line="360" w:lineRule="auto"/>
        <w:ind w:firstLine="708"/>
        <w:jc w:val="both"/>
        <w:rPr>
          <w:rFonts w:ascii="Arial" w:hAnsi="Arial" w:cs="Arial"/>
          <w:bCs/>
          <w:sz w:val="26"/>
          <w:szCs w:val="26"/>
          <w:lang w:val="es-MX"/>
        </w:rPr>
      </w:pPr>
      <w:r w:rsidRPr="007734BC">
        <w:rPr>
          <w:rFonts w:ascii="Arial" w:hAnsi="Arial" w:cs="Arial"/>
          <w:bCs/>
          <w:sz w:val="26"/>
          <w:szCs w:val="26"/>
          <w:lang w:val="es-MX"/>
        </w:rPr>
        <w:t>Manifestando que es desacertada la determinación, debido que el actor no generó el derecho que le permitiera acceder a las prestaciones que alude el artículo 50, fracción I, de la Ley de Pensiones, señalando además que el Principio Pro persona no es absoluto, que es relativo, que se debió buscar simetrías, de modo que su pronunciamiento a favor del actor no fuera en detrimento del derecho de otros.</w:t>
      </w:r>
    </w:p>
    <w:p w14:paraId="3FADC2EA" w14:textId="77777777" w:rsidR="0088757B" w:rsidRPr="007734BC" w:rsidRDefault="0088757B" w:rsidP="0088757B">
      <w:pPr>
        <w:pStyle w:val="Sinespaciado"/>
        <w:spacing w:before="240" w:line="360" w:lineRule="auto"/>
        <w:ind w:firstLine="708"/>
        <w:jc w:val="both"/>
        <w:rPr>
          <w:rFonts w:ascii="Arial" w:hAnsi="Arial" w:cs="Arial"/>
          <w:bCs/>
          <w:sz w:val="26"/>
          <w:szCs w:val="26"/>
          <w:lang w:val="es-MX"/>
        </w:rPr>
      </w:pPr>
      <w:r w:rsidRPr="007734BC">
        <w:rPr>
          <w:rFonts w:ascii="Arial" w:hAnsi="Arial" w:cs="Arial"/>
          <w:bCs/>
          <w:sz w:val="26"/>
          <w:szCs w:val="26"/>
          <w:lang w:val="es-MX"/>
        </w:rPr>
        <w:t>Refiere que la Ley de Pensiones es de orden público e interés general, señalando su objeto, que no se vulnera garantía individual o derecho humano al ser el actor pensionado por inhabilitación no está en igualdad de condiciones que un jubilado y no se les puede comparar desde el mismo plano.</w:t>
      </w:r>
    </w:p>
    <w:p w14:paraId="081B6C0B" w14:textId="77777777" w:rsidR="0088757B" w:rsidRPr="007734BC" w:rsidRDefault="0088757B" w:rsidP="0088757B">
      <w:pPr>
        <w:pStyle w:val="Sinespaciado"/>
        <w:spacing w:before="240" w:line="360" w:lineRule="auto"/>
        <w:ind w:firstLine="708"/>
        <w:jc w:val="both"/>
        <w:rPr>
          <w:rFonts w:ascii="Arial" w:hAnsi="Arial" w:cs="Arial"/>
          <w:bCs/>
          <w:sz w:val="26"/>
          <w:szCs w:val="26"/>
          <w:lang w:val="es-MX"/>
        </w:rPr>
      </w:pPr>
      <w:r w:rsidRPr="007734BC">
        <w:rPr>
          <w:rFonts w:ascii="Arial" w:hAnsi="Arial" w:cs="Arial"/>
          <w:bCs/>
          <w:sz w:val="26"/>
          <w:szCs w:val="26"/>
          <w:lang w:val="es-MX"/>
        </w:rPr>
        <w:t>Por último señala que el Magistrado resolvió respecto de la constitucionalidad de los artículos 6, fracción III, 18 párrafo segundo y octavo transitorio de la Ley de Pensiones para los Trabajadores del Gobierno del Estado de Oaxaca, los cuales no fueron objeto de impugnación por parte del demandante, lo cual fue reconocido de esa misma forma por la Cuarta Sala de ese Tribunal, causando agravios a esa autoridad al ser violatorio de los principios de congruencia, exhaustividad y legalidad en razón de que las autoridades solo pueden hacer lo que la ley les permite.</w:t>
      </w:r>
    </w:p>
    <w:p w14:paraId="1F0C9E17" w14:textId="77777777" w:rsidR="0088757B" w:rsidRPr="007734BC" w:rsidRDefault="0088757B" w:rsidP="0088757B">
      <w:pPr>
        <w:pStyle w:val="Sinespaciado"/>
        <w:spacing w:line="360" w:lineRule="auto"/>
        <w:ind w:firstLine="708"/>
        <w:jc w:val="both"/>
        <w:rPr>
          <w:rFonts w:ascii="Arial" w:hAnsi="Arial" w:cs="Arial"/>
          <w:bCs/>
          <w:sz w:val="26"/>
          <w:szCs w:val="26"/>
          <w:lang w:val="es-MX"/>
        </w:rPr>
      </w:pPr>
    </w:p>
    <w:p w14:paraId="4219A5C2" w14:textId="2695EFA4" w:rsidR="0088757B" w:rsidRPr="007734BC" w:rsidRDefault="0088757B" w:rsidP="0088757B">
      <w:pPr>
        <w:spacing w:line="360" w:lineRule="auto"/>
        <w:ind w:firstLine="708"/>
        <w:jc w:val="both"/>
        <w:rPr>
          <w:rFonts w:ascii="Arial" w:eastAsia="Times New Roman" w:hAnsi="Arial" w:cs="Arial"/>
          <w:color w:val="000000"/>
          <w:sz w:val="26"/>
          <w:szCs w:val="26"/>
        </w:rPr>
      </w:pPr>
      <w:r w:rsidRPr="007734BC">
        <w:rPr>
          <w:rFonts w:ascii="Arial" w:hAnsi="Arial" w:cs="Arial"/>
          <w:sz w:val="26"/>
          <w:szCs w:val="26"/>
        </w:rPr>
        <w:t xml:space="preserve">Ahora, de las constancias de autos remitidas para la resolución del presente asunto, que hacen prueba plena en términos del artículo 173, fracción I, de la </w:t>
      </w:r>
      <w:r w:rsidR="00154300" w:rsidRPr="007734BC">
        <w:rPr>
          <w:rFonts w:ascii="Arial" w:hAnsi="Arial" w:cs="Arial"/>
          <w:sz w:val="26"/>
          <w:szCs w:val="26"/>
        </w:rPr>
        <w:t xml:space="preserve">reformada </w:t>
      </w:r>
      <w:r w:rsidRPr="007734BC">
        <w:rPr>
          <w:rFonts w:ascii="Arial" w:hAnsi="Arial" w:cs="Arial"/>
          <w:sz w:val="26"/>
          <w:szCs w:val="26"/>
        </w:rPr>
        <w:t xml:space="preserve">Ley de Justicia Administrativa para el Estado de Oaxaca,  se advierte que los argumentos expresados por el recurrente son </w:t>
      </w:r>
      <w:r w:rsidRPr="007734BC">
        <w:rPr>
          <w:rFonts w:ascii="Arial" w:hAnsi="Arial" w:cs="Arial"/>
          <w:b/>
          <w:sz w:val="26"/>
          <w:szCs w:val="26"/>
        </w:rPr>
        <w:t>INOPERANTES</w:t>
      </w:r>
      <w:r w:rsidRPr="007734BC">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el Magistrado de Primera Instancia, al no exponer razonamientos lógico jurídicos que controviertan las consideraciones en que se sustenta el fallo alzado, </w:t>
      </w:r>
      <w:r w:rsidRPr="007734BC">
        <w:rPr>
          <w:rFonts w:ascii="Arial" w:eastAsia="Times New Roman" w:hAnsi="Arial" w:cs="Arial"/>
          <w:color w:val="000000"/>
          <w:sz w:val="26"/>
          <w:szCs w:val="26"/>
        </w:rPr>
        <w:t xml:space="preserve">sin que en el recurso en estudio se precise argumentos tendentes a evidenciar la ilegalidad de la sentencia </w:t>
      </w:r>
      <w:r w:rsidRPr="007734BC">
        <w:rPr>
          <w:rFonts w:ascii="Arial" w:eastAsia="Times New Roman" w:hAnsi="Arial" w:cs="Arial"/>
          <w:color w:val="000000"/>
          <w:sz w:val="26"/>
          <w:szCs w:val="26"/>
        </w:rPr>
        <w:lastRenderedPageBreak/>
        <w:t>recurrida, pues no se combaten los fundamentos legales y consideraciones torales en que se sustenta el fallo.</w:t>
      </w:r>
    </w:p>
    <w:p w14:paraId="6CF8CF4D" w14:textId="77777777" w:rsidR="0088757B" w:rsidRPr="007734BC" w:rsidRDefault="0088757B" w:rsidP="0088757B">
      <w:pPr>
        <w:spacing w:before="240" w:line="360" w:lineRule="auto"/>
        <w:ind w:firstLine="708"/>
        <w:jc w:val="both"/>
        <w:rPr>
          <w:rFonts w:ascii="Arial" w:hAnsi="Arial" w:cs="Arial"/>
          <w:sz w:val="26"/>
          <w:szCs w:val="26"/>
        </w:rPr>
      </w:pPr>
      <w:r w:rsidRPr="007734BC">
        <w:rPr>
          <w:rFonts w:ascii="Arial" w:hAnsi="Arial" w:cs="Arial"/>
          <w:bCs/>
          <w:sz w:val="26"/>
          <w:szCs w:val="26"/>
        </w:rPr>
        <w:t xml:space="preserve">Es así, pues los agravios expresados no se destinan a combatir la materia del presente recurso de revisión, esto es, los motivos y fundamentos dados por la primera instancia para </w:t>
      </w:r>
      <w:r w:rsidRPr="007734BC">
        <w:rPr>
          <w:rFonts w:ascii="Arial" w:hAnsi="Arial" w:cs="Arial"/>
          <w:sz w:val="26"/>
          <w:szCs w:val="26"/>
        </w:rPr>
        <w:t xml:space="preserve">declarar la </w:t>
      </w:r>
      <w:r w:rsidRPr="007734BC">
        <w:rPr>
          <w:rFonts w:ascii="Arial" w:hAnsi="Arial" w:cs="Arial"/>
          <w:b/>
          <w:sz w:val="26"/>
          <w:szCs w:val="26"/>
        </w:rPr>
        <w:t xml:space="preserve">NULIDAD </w:t>
      </w:r>
      <w:r w:rsidRPr="007734BC">
        <w:rPr>
          <w:rFonts w:ascii="Arial" w:hAnsi="Arial" w:cs="Arial"/>
          <w:sz w:val="26"/>
          <w:szCs w:val="26"/>
        </w:rPr>
        <w:t xml:space="preserve">del contenido del oficio OP/DG/2303/12, de 13 trece de noviembre de 2012 dos mil doce, al existir una omisión por parte de la autoridad demandada en el acto administrativo impugnado, al omitir señalar en el mismo los artículos 3, fracciones VI, IX y X y 54, fracciones I y II, de la Ley de Pensiones para los Trabajadores del Gobierno del Estado, expresándolo de la forma siguiente: </w:t>
      </w:r>
    </w:p>
    <w:p w14:paraId="2035B649" w14:textId="77777777" w:rsidR="0088757B" w:rsidRPr="009E1320" w:rsidRDefault="0088757B" w:rsidP="0088757B">
      <w:pPr>
        <w:jc w:val="both"/>
        <w:rPr>
          <w:i/>
        </w:rPr>
      </w:pPr>
      <w:r w:rsidRPr="007B776D">
        <w:rPr>
          <w:rFonts w:cs="Calibri"/>
          <w:bCs/>
          <w:i/>
        </w:rPr>
        <w:t xml:space="preserve"> “…</w:t>
      </w:r>
      <w:r w:rsidRPr="009E1320">
        <w:rPr>
          <w:i/>
        </w:rPr>
        <w:t>Ahora bien, este juzgador analiza el oficio OP/DG/2303/12 de 13 trece de noviembre de 2012 dos mil doce, emitido por el Director General de la Oficina de Pensiones del Estado de Oaxaca, impugnado por el actor, por lo que aquí interesa se trascribe la parte conducente:</w:t>
      </w:r>
    </w:p>
    <w:p w14:paraId="479EC4FE" w14:textId="77777777" w:rsidR="0088757B" w:rsidRPr="009E1320" w:rsidRDefault="0088757B" w:rsidP="0088757B">
      <w:pPr>
        <w:jc w:val="center"/>
        <w:rPr>
          <w:i/>
        </w:rPr>
      </w:pPr>
      <w:r w:rsidRPr="009E1320">
        <w:rPr>
          <w:i/>
        </w:rPr>
        <w:t>“Acuerdo:</w:t>
      </w:r>
    </w:p>
    <w:p w14:paraId="30F82023" w14:textId="77777777" w:rsidR="0088757B" w:rsidRPr="009E1320" w:rsidRDefault="0088757B" w:rsidP="0088757B">
      <w:pPr>
        <w:ind w:left="708"/>
        <w:jc w:val="both"/>
        <w:rPr>
          <w:i/>
        </w:rPr>
      </w:pPr>
      <w:r w:rsidRPr="009E1320">
        <w:rPr>
          <w:i/>
        </w:rPr>
        <w:t>Por lo anteriormente expuesto, es procedente autorizar la solicitud de pensión por inhabilitación al ciudadano Rito Manuel Pérez Romero, de conformidad con lo establecido en los artículos 1º, 2º, 5º fracción I inciso C, 29, 31, 50 fracción I, 51 fracción II, 53, 79, 88 fracción I y IV y 89 fracción I de la Ley de Pensiones para los Trabajadores del Estado de Oaxaca, ésta se concede por el 80% del sueldo base que percibe un Agente Estatal de Investigaciones, que es de $3,469.00 (tres mil cuatrocientos sesenta y nueve pesos 100/100 M.N.) (SIC), resultando la cantidad de $2,775.20 (dos mil setecientos setenta y cinco pesos 20/100 M.N.), de la cual de conformidad con lo dispuesto por los artículos 6º fracción IV, 18 párrafo segundo y transitorio octavo de la Ley de Pensiones para los Trabajadores del Gobierno del Estado de Oaxaca, se hará el descuento del monto del 9% para el Fondo de Pensiones. Si transcurridos 60 días hábiles contados a partir de la fecha de su notificación, el promovente no exhibe la aceptación de renuncia al puesto que viene desempeñando y demás documentales exigidos por el artículo 49 del Reglamento de Operación de la Oficina de Pensiones del Estado de Oaxaca, quedará sin efecto al presente.”</w:t>
      </w:r>
    </w:p>
    <w:p w14:paraId="39F5ACB7" w14:textId="77777777" w:rsidR="0088757B" w:rsidRPr="009E1320" w:rsidRDefault="0088757B" w:rsidP="0088757B">
      <w:pPr>
        <w:jc w:val="both"/>
        <w:rPr>
          <w:i/>
        </w:rPr>
      </w:pPr>
      <w:r w:rsidRPr="009E1320">
        <w:rPr>
          <w:i/>
        </w:rPr>
        <w:t>De lo trascrito se advierte que la autoridad demandada omitió señalar los artículos 3 fracciones VI, IX y X y 54 fracciones I y II, de la Ley de Pensiones para los Trabajadores del Gobierno del Estado, que establecen:</w:t>
      </w:r>
    </w:p>
    <w:p w14:paraId="20EFC5B2" w14:textId="77777777" w:rsidR="0088757B" w:rsidRPr="009E1320" w:rsidRDefault="0088757B" w:rsidP="0088757B">
      <w:pPr>
        <w:ind w:firstLine="708"/>
        <w:jc w:val="both"/>
        <w:rPr>
          <w:i/>
        </w:rPr>
      </w:pPr>
      <w:r w:rsidRPr="009E1320">
        <w:rPr>
          <w:b/>
          <w:i/>
        </w:rPr>
        <w:t xml:space="preserve">“Artículo 3.- </w:t>
      </w:r>
      <w:r w:rsidRPr="009E1320">
        <w:rPr>
          <w:i/>
        </w:rPr>
        <w:t>Para los efectos de esta ley se entenderá por:</w:t>
      </w:r>
    </w:p>
    <w:p w14:paraId="297FEFA5" w14:textId="77777777" w:rsidR="0088757B" w:rsidRPr="009E1320" w:rsidRDefault="0088757B" w:rsidP="0088757B">
      <w:pPr>
        <w:ind w:firstLine="708"/>
        <w:jc w:val="both"/>
        <w:rPr>
          <w:i/>
        </w:rPr>
      </w:pPr>
      <w:r w:rsidRPr="009E1320">
        <w:rPr>
          <w:i/>
        </w:rPr>
        <w:t>(…)</w:t>
      </w:r>
    </w:p>
    <w:p w14:paraId="2C194657" w14:textId="77777777" w:rsidR="0088757B" w:rsidRPr="009E1320" w:rsidRDefault="0088757B" w:rsidP="0088757B">
      <w:pPr>
        <w:ind w:left="708"/>
        <w:jc w:val="both"/>
        <w:rPr>
          <w:i/>
        </w:rPr>
      </w:pPr>
      <w:r w:rsidRPr="009E1320">
        <w:rPr>
          <w:b/>
          <w:i/>
        </w:rPr>
        <w:t xml:space="preserve">VI.- </w:t>
      </w:r>
      <w:r w:rsidRPr="009E1320">
        <w:rPr>
          <w:i/>
        </w:rPr>
        <w:t>Jubilado, el ex trabajador del Gobierno del Estado de Oaxaca que reciba una pensión por jubilación en los términos de la presente Ley;</w:t>
      </w:r>
    </w:p>
    <w:p w14:paraId="60AC3053" w14:textId="77777777" w:rsidR="0088757B" w:rsidRPr="009E1320" w:rsidRDefault="0088757B" w:rsidP="0088757B">
      <w:pPr>
        <w:ind w:left="708"/>
        <w:jc w:val="both"/>
        <w:rPr>
          <w:i/>
        </w:rPr>
      </w:pPr>
      <w:r w:rsidRPr="009E1320">
        <w:rPr>
          <w:b/>
          <w:i/>
        </w:rPr>
        <w:t xml:space="preserve">IX.- </w:t>
      </w:r>
      <w:r w:rsidRPr="009E1320">
        <w:rPr>
          <w:i/>
        </w:rPr>
        <w:t xml:space="preserve">Pensión, prestación periódica en efectivo que se adquiere en los términos de la presente Ley. </w:t>
      </w:r>
    </w:p>
    <w:p w14:paraId="48C6CD3F" w14:textId="77777777" w:rsidR="0088757B" w:rsidRPr="009E1320" w:rsidRDefault="0088757B" w:rsidP="0088757B">
      <w:pPr>
        <w:ind w:left="708"/>
        <w:jc w:val="both"/>
        <w:rPr>
          <w:b/>
          <w:i/>
        </w:rPr>
      </w:pPr>
      <w:r w:rsidRPr="009E1320">
        <w:rPr>
          <w:b/>
          <w:i/>
        </w:rPr>
        <w:t xml:space="preserve">X.- </w:t>
      </w:r>
      <w:r w:rsidRPr="009E1320">
        <w:rPr>
          <w:i/>
        </w:rPr>
        <w:t>Pensionado, el ex trabajador del Gobierno del Estado de Oaxaca que reciba una pensión por vejez, invalidez o inhabilitación en los términos de la presente Ley.</w:t>
      </w:r>
      <w:r w:rsidRPr="009E1320">
        <w:rPr>
          <w:b/>
          <w:i/>
        </w:rPr>
        <w:t>”</w:t>
      </w:r>
    </w:p>
    <w:p w14:paraId="0DBCD5B6" w14:textId="77777777" w:rsidR="0088757B" w:rsidRPr="009E1320" w:rsidRDefault="0088757B" w:rsidP="0088757B">
      <w:pPr>
        <w:ind w:left="708"/>
        <w:jc w:val="both"/>
        <w:rPr>
          <w:i/>
        </w:rPr>
      </w:pPr>
      <w:r w:rsidRPr="009E1320">
        <w:rPr>
          <w:b/>
          <w:i/>
        </w:rPr>
        <w:t xml:space="preserve">“Artículo 54.- </w:t>
      </w:r>
      <w:r w:rsidRPr="009E1320">
        <w:rPr>
          <w:i/>
        </w:rPr>
        <w:t xml:space="preserve">Al monto resultante de la pensión señalada en el artículo anterior, se integrarán las prestaciones siguientes: </w:t>
      </w:r>
    </w:p>
    <w:p w14:paraId="205F6935" w14:textId="77777777" w:rsidR="0088757B" w:rsidRPr="009E1320" w:rsidRDefault="0088757B" w:rsidP="0088757B">
      <w:pPr>
        <w:ind w:left="708"/>
        <w:jc w:val="both"/>
        <w:rPr>
          <w:i/>
        </w:rPr>
      </w:pPr>
      <w:r w:rsidRPr="009E1320">
        <w:rPr>
          <w:b/>
          <w:i/>
        </w:rPr>
        <w:t>I.-</w:t>
      </w:r>
      <w:r w:rsidRPr="009E1320">
        <w:rPr>
          <w:i/>
        </w:rPr>
        <w:t>Jubilados: tratándose solo de aquéllos que fueron trabajadores de base se integrarán la previsión social múltiple, despensa, vida cara, quinquenios, aguinaldo, estímulo del día del jubilado, día de las madres y canasta navideña.</w:t>
      </w:r>
    </w:p>
    <w:p w14:paraId="0753D1AD" w14:textId="77777777" w:rsidR="0088757B" w:rsidRPr="009E1320" w:rsidRDefault="0088757B" w:rsidP="0088757B">
      <w:pPr>
        <w:ind w:firstLine="708"/>
        <w:jc w:val="both"/>
        <w:rPr>
          <w:i/>
        </w:rPr>
      </w:pPr>
      <w:r w:rsidRPr="009E1320">
        <w:rPr>
          <w:i/>
        </w:rPr>
        <w:t xml:space="preserve">El aguinaldo para jubilados será equivalente a 70 días de la cuantía diaria; y </w:t>
      </w:r>
    </w:p>
    <w:p w14:paraId="359F8EE6" w14:textId="77777777" w:rsidR="0088757B" w:rsidRPr="009E1320" w:rsidRDefault="0088757B" w:rsidP="0088757B">
      <w:pPr>
        <w:ind w:firstLine="708"/>
        <w:jc w:val="both"/>
        <w:rPr>
          <w:b/>
          <w:i/>
        </w:rPr>
      </w:pPr>
      <w:r w:rsidRPr="009E1320">
        <w:rPr>
          <w:b/>
          <w:i/>
        </w:rPr>
        <w:t xml:space="preserve">II.- </w:t>
      </w:r>
      <w:r w:rsidRPr="009E1320">
        <w:rPr>
          <w:i/>
        </w:rPr>
        <w:t>Pensionados y pensionistas: canasta navideña.</w:t>
      </w:r>
      <w:r w:rsidRPr="009E1320">
        <w:rPr>
          <w:b/>
          <w:i/>
        </w:rPr>
        <w:t xml:space="preserve"> ”</w:t>
      </w:r>
    </w:p>
    <w:p w14:paraId="4539D81C" w14:textId="77777777" w:rsidR="0088757B" w:rsidRPr="009E1320" w:rsidRDefault="0088757B" w:rsidP="0088757B">
      <w:pPr>
        <w:jc w:val="both"/>
        <w:rPr>
          <w:b/>
          <w:i/>
        </w:rPr>
      </w:pPr>
    </w:p>
    <w:p w14:paraId="572479BF" w14:textId="77777777" w:rsidR="0088757B" w:rsidRPr="009E1320" w:rsidRDefault="0088757B" w:rsidP="0088757B">
      <w:pPr>
        <w:jc w:val="both"/>
        <w:rPr>
          <w:i/>
        </w:rPr>
      </w:pPr>
      <w:r w:rsidRPr="009E1320">
        <w:rPr>
          <w:i/>
        </w:rPr>
        <w:t xml:space="preserve">De ahí, que al existir una omisión por parte de la autoridad demandada en el acto administrativo impugnado al no señalar los artículos antes citados, se violan en perjuicio del administrado sus derechos humanos y el principio pro </w:t>
      </w:r>
      <w:proofErr w:type="spellStart"/>
      <w:r w:rsidRPr="009E1320">
        <w:rPr>
          <w:i/>
        </w:rPr>
        <w:t>homine</w:t>
      </w:r>
      <w:proofErr w:type="spellEnd"/>
      <w:r w:rsidRPr="009E1320">
        <w:rPr>
          <w:i/>
        </w:rPr>
        <w:t xml:space="preserve"> que es un criterio hermenéutico que coincide con el rasgo fundamental de los derechos humanos, por virtud debe estarse siempre a favor del hombre e implica que debe acudirse a la norma más amplia </w:t>
      </w:r>
      <w:r w:rsidRPr="009E1320">
        <w:rPr>
          <w:i/>
        </w:rPr>
        <w:lastRenderedPageBreak/>
        <w:t>o a la interpretación extensiva cuando se trata de derechos protegidos, ya que este juzgador tiene la obligación de promover, respetar, proteger y garantizarlos, de conformidad con los principios de universalidad, interdependencia, indivisibilidad, y progresividad, como lo establece el artículo 1º de la Constitución Federal.</w:t>
      </w:r>
    </w:p>
    <w:p w14:paraId="2D5F6A7B" w14:textId="77777777" w:rsidR="0088757B" w:rsidRPr="009E1320" w:rsidRDefault="0088757B" w:rsidP="0088757B">
      <w:pPr>
        <w:jc w:val="both"/>
        <w:rPr>
          <w:i/>
        </w:rPr>
      </w:pPr>
      <w:r w:rsidRPr="009E1320">
        <w:rPr>
          <w:i/>
        </w:rPr>
        <w:t>Es aplicable al caso la jurisprudencia de la Suprema Corte de Justicia, con número de registro 2002000, de la décima época, Instancia: Primera Sala, Fuente: Semanario Judicial de la Federación y su Gaceta, Libro XIII, Octubre de 2012, Tomo 2, Materia(s): Constitucional, Tesis: 1a</w:t>
      </w:r>
      <w:proofErr w:type="gramStart"/>
      <w:r w:rsidRPr="009E1320">
        <w:rPr>
          <w:i/>
        </w:rPr>
        <w:t>./</w:t>
      </w:r>
      <w:proofErr w:type="gramEnd"/>
      <w:r w:rsidRPr="009E1320">
        <w:rPr>
          <w:i/>
        </w:rPr>
        <w:t>J. 107/2012 (10a.), página: 799, con el rubro y texto siguiente:</w:t>
      </w:r>
    </w:p>
    <w:p w14:paraId="4084BF35" w14:textId="77777777" w:rsidR="0088757B" w:rsidRPr="009E1320" w:rsidRDefault="0088757B" w:rsidP="0088757B">
      <w:pPr>
        <w:ind w:left="708"/>
        <w:jc w:val="both"/>
        <w:rPr>
          <w:i/>
        </w:rPr>
      </w:pPr>
      <w:r w:rsidRPr="009E1320">
        <w:rPr>
          <w:i/>
        </w:rPr>
        <w:t xml:space="preserve">“PRINCIPIO PRO PERSONA. CRITERIO DE SELECCIÓN DE LA NORMA DE DERECHO FUNDAMENTAL APLICABLE.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 en materia de derechos humanos-, atenderá a criterios que favorezcan al individuo o lo que se ha denominado principio </w:t>
      </w:r>
      <w:proofErr w:type="spellStart"/>
      <w:r w:rsidRPr="009E1320">
        <w:rPr>
          <w:i/>
        </w:rPr>
        <w:t>pro</w:t>
      </w:r>
      <w:proofErr w:type="spellEnd"/>
      <w:r w:rsidRPr="009E1320">
        <w:rPr>
          <w:i/>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14:paraId="3FA83BE1" w14:textId="77777777" w:rsidR="0088757B" w:rsidRPr="009E1320" w:rsidRDefault="0088757B" w:rsidP="0088757B">
      <w:pPr>
        <w:jc w:val="both"/>
        <w:rPr>
          <w:i/>
        </w:rPr>
      </w:pPr>
      <w:r w:rsidRPr="009E1320">
        <w:rPr>
          <w:i/>
        </w:rPr>
        <w:t>Esto es así, porque la Constitución Federal, es la Ley Suprema de toda la unión y los jueces de cada entidad federativa se arreglarán a dicha Constitución, leyes y Tratados a pesar de las disposiciones en contrario que pueda haber en las Constituciones o leyes de la entidades federativas, como lo ordene el artículo 133, de la Carta Magna.</w:t>
      </w:r>
    </w:p>
    <w:p w14:paraId="340E0898" w14:textId="77777777" w:rsidR="0088757B" w:rsidRPr="009E1320" w:rsidRDefault="0088757B" w:rsidP="0088757B">
      <w:pPr>
        <w:jc w:val="both"/>
        <w:rPr>
          <w:i/>
        </w:rPr>
      </w:pPr>
      <w:r w:rsidRPr="009E1320">
        <w:rPr>
          <w:b/>
          <w:i/>
        </w:rPr>
        <w:t xml:space="preserve">En consecuencia, </w:t>
      </w:r>
      <w:r w:rsidRPr="009E1320">
        <w:rPr>
          <w:i/>
        </w:rPr>
        <w:t xml:space="preserve">al no estar debidamente fundado ni motivo (SIC) el acto administrativo impugnado procede a declarar su </w:t>
      </w:r>
      <w:r w:rsidRPr="009E1320">
        <w:rPr>
          <w:b/>
          <w:i/>
        </w:rPr>
        <w:t>NULIDAD PARA EL EFECTO</w:t>
      </w:r>
      <w:r w:rsidRPr="009E1320">
        <w:rPr>
          <w:i/>
        </w:rPr>
        <w:t xml:space="preserve"> de que la autoridad demandada  Consejo Directivo de la Oficina de Pensiones del Estado a través del Director General de la Oficina de Pensiones: </w:t>
      </w:r>
      <w:r w:rsidRPr="009E1320">
        <w:rPr>
          <w:b/>
          <w:i/>
        </w:rPr>
        <w:t>a)</w:t>
      </w:r>
      <w:r w:rsidRPr="009E1320">
        <w:rPr>
          <w:i/>
        </w:rPr>
        <w:t xml:space="preserve"> Deje insubsistente la resolución contenida en el oficio OP/DG/2303/12, de 13 trece de noviembre de 2012 dos mil doce; </w:t>
      </w:r>
      <w:r w:rsidRPr="009E1320">
        <w:rPr>
          <w:b/>
          <w:i/>
        </w:rPr>
        <w:t xml:space="preserve">b) </w:t>
      </w:r>
      <w:r w:rsidRPr="009E1320">
        <w:rPr>
          <w:i/>
        </w:rPr>
        <w:t>Dicte otra resolución debidamente fundada y motivada en la cual se le otorgue al administrado las siguientes prestaciones: la previsión social múltiple, despensa, vida cara, quinquenios, estímulo del día del jubilado, canasta navideña, aguinaldo equivalente a setenta días de la cuantía diaria, como lo establece el artículo 54 fracción I de la Ley de Pensiones para los Trabajadores del Estado.</w:t>
      </w:r>
    </w:p>
    <w:p w14:paraId="196C919A" w14:textId="77777777" w:rsidR="0088757B" w:rsidRPr="007B776D" w:rsidRDefault="0088757B" w:rsidP="0088757B">
      <w:pPr>
        <w:spacing w:before="240"/>
        <w:ind w:firstLine="708"/>
        <w:jc w:val="both"/>
        <w:rPr>
          <w:rFonts w:cs="Calibri"/>
          <w:bCs/>
          <w:i/>
        </w:rPr>
      </w:pPr>
      <w:r w:rsidRPr="007B776D">
        <w:rPr>
          <w:rFonts w:cs="Calibri"/>
          <w:bCs/>
          <w:i/>
        </w:rPr>
        <w:t>….</w:t>
      </w:r>
      <w:r w:rsidRPr="007B776D">
        <w:rPr>
          <w:rFonts w:cs="Calibri"/>
          <w:i/>
        </w:rPr>
        <w:t>”</w:t>
      </w:r>
    </w:p>
    <w:p w14:paraId="751A8760" w14:textId="77777777" w:rsidR="0088757B" w:rsidRDefault="0088757B" w:rsidP="0088757B">
      <w:pPr>
        <w:spacing w:before="240" w:line="360" w:lineRule="auto"/>
        <w:ind w:firstLine="709"/>
        <w:jc w:val="both"/>
        <w:rPr>
          <w:rFonts w:ascii="Arial" w:hAnsi="Arial" w:cs="Arial"/>
          <w:sz w:val="26"/>
          <w:szCs w:val="26"/>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14:paraId="15C86431" w14:textId="77777777" w:rsidR="0088757B" w:rsidRDefault="0088757B" w:rsidP="0088757B">
      <w:pPr>
        <w:spacing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14:paraId="43B85815" w14:textId="77777777" w:rsidR="0088757B" w:rsidRPr="00510538" w:rsidRDefault="0088757B" w:rsidP="0088757B">
      <w:pPr>
        <w:ind w:left="709" w:right="709"/>
        <w:jc w:val="both"/>
        <w:rPr>
          <w:rFonts w:cs="Calibri"/>
          <w:i/>
        </w:rPr>
      </w:pPr>
      <w:r w:rsidRPr="00510538">
        <w:rPr>
          <w:rFonts w:cs="Calibri"/>
          <w:i/>
        </w:rPr>
        <w:t>“</w:t>
      </w:r>
      <w:r w:rsidRPr="00510538">
        <w:rPr>
          <w:rFonts w:cs="Calibri"/>
          <w:b/>
          <w:i/>
        </w:rPr>
        <w:t>AGRAVIOS. DEBEN DE IMPUGNAR LA ILEGALIDAD DEL FALLO RECURRIDO</w:t>
      </w:r>
      <w:r w:rsidRPr="00510538">
        <w:rPr>
          <w:rFonts w:cs="Calibri"/>
          <w:i/>
        </w:rPr>
        <w:t xml:space="preserve">. Si el recurrente no formula ninguna objeción contra el considerando que rige el sentido del fallo y sólo hace el señalamiento de las disposiciones legales </w:t>
      </w:r>
      <w:r w:rsidRPr="00510538">
        <w:rPr>
          <w:rFonts w:cs="Calibri"/>
          <w:i/>
        </w:rPr>
        <w:lastRenderedPageBreak/>
        <w:t>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14:paraId="121804E2" w14:textId="77777777" w:rsidR="0088757B" w:rsidRDefault="0088757B" w:rsidP="0088757B">
      <w:pPr>
        <w:ind w:firstLine="708"/>
        <w:jc w:val="both"/>
        <w:rPr>
          <w:rFonts w:ascii="Arial" w:hAnsi="Arial" w:cs="Arial"/>
          <w:bCs/>
          <w:sz w:val="26"/>
          <w:szCs w:val="26"/>
        </w:rPr>
      </w:pPr>
    </w:p>
    <w:p w14:paraId="3E80111E" w14:textId="77777777" w:rsidR="0088757B" w:rsidRDefault="0088757B" w:rsidP="0088757B">
      <w:pPr>
        <w:spacing w:line="360" w:lineRule="auto"/>
        <w:ind w:firstLine="708"/>
        <w:jc w:val="both"/>
        <w:rPr>
          <w:rFonts w:ascii="Arial" w:hAnsi="Arial" w:cs="Arial"/>
          <w:bCs/>
          <w:sz w:val="26"/>
          <w:szCs w:val="26"/>
        </w:rPr>
      </w:pPr>
      <w:r w:rsidRPr="00EF1C3E">
        <w:rPr>
          <w:rFonts w:ascii="Arial" w:hAnsi="Arial" w:cs="Arial"/>
          <w:bCs/>
          <w:sz w:val="26"/>
          <w:szCs w:val="26"/>
        </w:rPr>
        <w:t>Por tanto, al no controvertir la sentencia recurrida es que resultan INOPERANTES</w:t>
      </w:r>
      <w:r>
        <w:rPr>
          <w:rFonts w:ascii="Arial" w:hAnsi="Arial" w:cs="Arial"/>
          <w:bCs/>
          <w:sz w:val="26"/>
          <w:szCs w:val="26"/>
        </w:rPr>
        <w:t xml:space="preserve"> los agravios expresados por el recurrente. </w:t>
      </w:r>
    </w:p>
    <w:p w14:paraId="521D7C85" w14:textId="77777777" w:rsidR="0088757B" w:rsidRDefault="0088757B" w:rsidP="0088757B">
      <w:pPr>
        <w:ind w:firstLine="708"/>
        <w:jc w:val="both"/>
        <w:rPr>
          <w:rFonts w:ascii="Arial" w:hAnsi="Arial" w:cs="Arial"/>
          <w:bCs/>
          <w:sz w:val="26"/>
          <w:szCs w:val="26"/>
        </w:rPr>
      </w:pPr>
    </w:p>
    <w:p w14:paraId="503EE53D" w14:textId="77777777" w:rsidR="0088757B" w:rsidRDefault="0088757B" w:rsidP="0088757B">
      <w:pPr>
        <w:spacing w:line="360" w:lineRule="auto"/>
        <w:ind w:firstLine="708"/>
        <w:jc w:val="both"/>
        <w:rPr>
          <w:rFonts w:ascii="Arial" w:hAnsi="Arial" w:cs="Arial"/>
          <w:bCs/>
          <w:sz w:val="26"/>
          <w:szCs w:val="26"/>
        </w:rPr>
      </w:pPr>
      <w:r w:rsidRPr="00EF1C3E">
        <w:rPr>
          <w:rFonts w:ascii="Arial" w:hAnsi="Arial" w:cs="Arial"/>
          <w:bCs/>
          <w:sz w:val="26"/>
          <w:szCs w:val="26"/>
        </w:rPr>
        <w:t>A</w:t>
      </w:r>
      <w:r>
        <w:rPr>
          <w:rFonts w:ascii="Arial" w:hAnsi="Arial" w:cs="Arial"/>
          <w:bCs/>
          <w:sz w:val="26"/>
          <w:szCs w:val="26"/>
        </w:rPr>
        <w:t xml:space="preserve">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el Magistrado </w:t>
      </w:r>
      <w:r w:rsidRPr="00A171F4">
        <w:rPr>
          <w:rFonts w:ascii="Arial" w:hAnsi="Arial" w:cs="Arial"/>
          <w:sz w:val="26"/>
          <w:szCs w:val="26"/>
        </w:rPr>
        <w:t>declar</w:t>
      </w:r>
      <w:r>
        <w:rPr>
          <w:rFonts w:ascii="Arial" w:hAnsi="Arial" w:cs="Arial"/>
          <w:sz w:val="26"/>
          <w:szCs w:val="26"/>
        </w:rPr>
        <w:t>ó</w:t>
      </w:r>
      <w:r w:rsidRPr="00A171F4">
        <w:rPr>
          <w:rFonts w:ascii="Arial" w:hAnsi="Arial" w:cs="Arial"/>
          <w:sz w:val="26"/>
          <w:szCs w:val="26"/>
        </w:rPr>
        <w:t xml:space="preserve"> la </w:t>
      </w:r>
      <w:r w:rsidRPr="00A171F4">
        <w:rPr>
          <w:rFonts w:ascii="Arial" w:hAnsi="Arial" w:cs="Arial"/>
          <w:b/>
          <w:sz w:val="26"/>
          <w:szCs w:val="26"/>
        </w:rPr>
        <w:t>NULIDAD</w:t>
      </w:r>
      <w:r>
        <w:rPr>
          <w:rFonts w:ascii="Arial" w:hAnsi="Arial" w:cs="Arial"/>
          <w:b/>
          <w:sz w:val="26"/>
          <w:szCs w:val="26"/>
        </w:rPr>
        <w:t xml:space="preserve"> </w:t>
      </w:r>
      <w:r w:rsidRPr="00A171F4">
        <w:rPr>
          <w:rFonts w:ascii="Arial" w:hAnsi="Arial" w:cs="Arial"/>
          <w:sz w:val="26"/>
          <w:szCs w:val="26"/>
        </w:rPr>
        <w:t xml:space="preserve">del </w:t>
      </w:r>
      <w:r>
        <w:rPr>
          <w:rFonts w:ascii="Arial" w:hAnsi="Arial" w:cs="Arial"/>
          <w:sz w:val="26"/>
          <w:szCs w:val="26"/>
        </w:rPr>
        <w:t>contenido del oficio OP/DG/2303/12, de 13 trece de noviembre de 2012 dos mil doce, al existir una omisión por parte de la autoridad demandada en el acto administrativo impugnado, al omitir señalar en el mismo los artículos 3, fracciones VI, IX y X y 54, fracciones I y II, de la Ley de Pensiones para los Trabajadores del Gobierno del Estado</w:t>
      </w:r>
      <w:r w:rsidRPr="00D61107">
        <w:rPr>
          <w:rFonts w:ascii="Arial" w:hAnsi="Arial" w:cs="Arial"/>
          <w:sz w:val="26"/>
          <w:szCs w:val="26"/>
        </w:rPr>
        <w:t>.</w:t>
      </w:r>
    </w:p>
    <w:p w14:paraId="17ED36B8" w14:textId="77777777" w:rsidR="0088757B" w:rsidRDefault="0088757B" w:rsidP="0088757B">
      <w:pPr>
        <w:ind w:firstLine="708"/>
        <w:jc w:val="both"/>
        <w:rPr>
          <w:rFonts w:ascii="Arial" w:eastAsia="Times New Roman" w:hAnsi="Arial" w:cs="Arial"/>
          <w:color w:val="000000"/>
          <w:sz w:val="26"/>
          <w:szCs w:val="26"/>
        </w:rPr>
      </w:pPr>
    </w:p>
    <w:p w14:paraId="2A160E9D" w14:textId="1E15BC2D" w:rsidR="0088757B" w:rsidRPr="007734BC" w:rsidRDefault="0088757B" w:rsidP="007734BC">
      <w:pPr>
        <w:spacing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w:t>
      </w:r>
      <w:r w:rsidR="007734BC">
        <w:rPr>
          <w:rFonts w:ascii="Arial" w:eastAsia="Times New Roman" w:hAnsi="Arial"/>
          <w:color w:val="000000"/>
          <w:sz w:val="26"/>
          <w:szCs w:val="26"/>
        </w:rPr>
        <w:t>sis: XXI.3o./J/2, Página: 1120.</w:t>
      </w:r>
    </w:p>
    <w:p w14:paraId="2B3B6B7D" w14:textId="77777777" w:rsidR="0088757B" w:rsidRPr="00510538" w:rsidRDefault="0088757B" w:rsidP="0088757B">
      <w:pPr>
        <w:ind w:left="709" w:right="709"/>
        <w:jc w:val="both"/>
        <w:rPr>
          <w:rFonts w:cs="Calibri"/>
          <w:bCs/>
          <w:i/>
        </w:rPr>
      </w:pPr>
      <w:r w:rsidRPr="00510538">
        <w:rPr>
          <w:rFonts w:eastAsia="Times New Roman" w:cs="Calibri"/>
          <w:b/>
          <w:i/>
          <w:color w:val="000000"/>
        </w:rPr>
        <w:t xml:space="preserve">AGRAVIOS EN LA RECLAMACIÓN. SON INOPERANTES CUANDO NO CONTROVIERTEN LAS CONSIDERACIONES QUE RIGEN EL AUTO COMBATIDO. </w:t>
      </w:r>
      <w:r w:rsidRPr="00510538">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14:paraId="21976BB6" w14:textId="77777777" w:rsidR="0088757B" w:rsidRDefault="0088757B" w:rsidP="0088757B">
      <w:pPr>
        <w:spacing w:before="240" w:line="360" w:lineRule="auto"/>
        <w:ind w:firstLine="709"/>
        <w:jc w:val="both"/>
        <w:rPr>
          <w:rFonts w:ascii="Arial" w:hAnsi="Arial" w:cs="Arial"/>
          <w:bCs/>
          <w:sz w:val="26"/>
          <w:szCs w:val="26"/>
        </w:rPr>
      </w:pPr>
      <w:r>
        <w:rPr>
          <w:rFonts w:ascii="Arial" w:hAnsi="Arial" w:cs="Arial"/>
          <w:bCs/>
          <w:sz w:val="26"/>
          <w:szCs w:val="26"/>
        </w:rPr>
        <w:t xml:space="preserve">Por lo que, ante lo inoperante de los agravios expresados, lo procedente es CONFIRMAR </w:t>
      </w:r>
      <w:r w:rsidRPr="001B5D79">
        <w:rPr>
          <w:rFonts w:ascii="Arial" w:hAnsi="Arial" w:cs="Arial"/>
          <w:bCs/>
          <w:sz w:val="26"/>
          <w:szCs w:val="26"/>
        </w:rPr>
        <w:t xml:space="preserve">la </w:t>
      </w:r>
      <w:r>
        <w:rPr>
          <w:rFonts w:ascii="Arial" w:hAnsi="Arial" w:cs="Arial"/>
          <w:bCs/>
          <w:sz w:val="26"/>
          <w:szCs w:val="26"/>
        </w:rPr>
        <w:t>sentencia</w:t>
      </w:r>
      <w:r w:rsidRPr="001B5D79">
        <w:rPr>
          <w:rFonts w:ascii="Arial" w:hAnsi="Arial" w:cs="Arial"/>
          <w:bCs/>
          <w:sz w:val="26"/>
          <w:szCs w:val="26"/>
        </w:rPr>
        <w:t xml:space="preserve"> </w:t>
      </w:r>
      <w:r>
        <w:rPr>
          <w:rFonts w:ascii="Arial" w:hAnsi="Arial" w:cs="Arial"/>
          <w:bCs/>
          <w:sz w:val="26"/>
          <w:szCs w:val="26"/>
        </w:rPr>
        <w:t>recurrida.</w:t>
      </w:r>
    </w:p>
    <w:p w14:paraId="490BDBAA" w14:textId="61172FEE" w:rsidR="0088757B" w:rsidRDefault="0088757B" w:rsidP="0088757B">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INOPERANTE </w:t>
      </w:r>
      <w:r>
        <w:rPr>
          <w:rFonts w:ascii="Arial" w:hAnsi="Arial" w:cs="Arial"/>
          <w:sz w:val="26"/>
          <w:szCs w:val="26"/>
        </w:rPr>
        <w:t xml:space="preserve">de los agravios, se </w:t>
      </w:r>
      <w:r>
        <w:rPr>
          <w:rFonts w:ascii="Arial" w:hAnsi="Arial" w:cs="Arial"/>
          <w:b/>
          <w:sz w:val="26"/>
          <w:szCs w:val="26"/>
        </w:rPr>
        <w:t xml:space="preserve">CONFIRMA </w:t>
      </w:r>
      <w:r>
        <w:rPr>
          <w:rFonts w:ascii="Arial" w:hAnsi="Arial" w:cs="Arial"/>
          <w:sz w:val="26"/>
          <w:szCs w:val="26"/>
        </w:rPr>
        <w:t>la resolución recurrida,  y con fundamento en los artículos 207 y 208 de la Ley de Justicia Administrativa para el Estado,</w:t>
      </w:r>
      <w:r w:rsidR="00154300">
        <w:rPr>
          <w:rFonts w:ascii="Arial" w:hAnsi="Arial" w:cs="Arial"/>
          <w:sz w:val="26"/>
          <w:szCs w:val="26"/>
        </w:rPr>
        <w:t xml:space="preserve"> vigente al inicio del juicio principal,</w:t>
      </w:r>
      <w:r>
        <w:rPr>
          <w:rFonts w:ascii="Arial" w:hAnsi="Arial" w:cs="Arial"/>
          <w:sz w:val="26"/>
          <w:szCs w:val="26"/>
        </w:rPr>
        <w:t xml:space="preserve"> se:</w:t>
      </w:r>
    </w:p>
    <w:p w14:paraId="42E0CD42" w14:textId="77777777" w:rsidR="007734BC" w:rsidRDefault="007734BC" w:rsidP="0088757B">
      <w:pPr>
        <w:spacing w:before="240" w:line="360" w:lineRule="auto"/>
        <w:ind w:firstLine="708"/>
        <w:jc w:val="both"/>
        <w:rPr>
          <w:rFonts w:ascii="Arial" w:hAnsi="Arial" w:cs="Arial"/>
          <w:sz w:val="26"/>
          <w:szCs w:val="26"/>
        </w:rPr>
      </w:pPr>
    </w:p>
    <w:p w14:paraId="452F3EAF" w14:textId="77777777" w:rsidR="007734BC" w:rsidRPr="00516635" w:rsidRDefault="007734BC" w:rsidP="0088757B">
      <w:pPr>
        <w:spacing w:before="240" w:line="360" w:lineRule="auto"/>
        <w:ind w:firstLine="708"/>
        <w:jc w:val="both"/>
        <w:rPr>
          <w:rFonts w:ascii="Arial" w:hAnsi="Arial" w:cs="Arial"/>
          <w:sz w:val="26"/>
          <w:szCs w:val="26"/>
        </w:rPr>
      </w:pPr>
    </w:p>
    <w:p w14:paraId="66F6EB96" w14:textId="77777777" w:rsidR="0088757B" w:rsidRDefault="0088757B" w:rsidP="0088757B">
      <w:pPr>
        <w:tabs>
          <w:tab w:val="left" w:pos="1134"/>
        </w:tabs>
        <w:spacing w:before="240" w:line="360" w:lineRule="auto"/>
        <w:jc w:val="center"/>
        <w:rPr>
          <w:rFonts w:ascii="Arial" w:hAnsi="Arial" w:cs="Arial"/>
          <w:b/>
          <w:sz w:val="26"/>
          <w:szCs w:val="26"/>
        </w:rPr>
      </w:pPr>
      <w:r>
        <w:rPr>
          <w:rFonts w:ascii="Arial" w:hAnsi="Arial" w:cs="Arial"/>
          <w:b/>
          <w:sz w:val="26"/>
          <w:szCs w:val="26"/>
        </w:rPr>
        <w:lastRenderedPageBreak/>
        <w:t>R E S U E L V E</w:t>
      </w:r>
    </w:p>
    <w:p w14:paraId="29B8C9BD" w14:textId="77777777" w:rsidR="0088757B" w:rsidRDefault="0088757B" w:rsidP="0088757B">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14:paraId="4AFD0E4E" w14:textId="40849405" w:rsidR="007734BC" w:rsidRPr="00A861C8" w:rsidRDefault="0088757B" w:rsidP="007734BC">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14:paraId="69916FD7" w14:textId="0483E6A8" w:rsidR="0088757B" w:rsidRPr="0088757B" w:rsidRDefault="007734BC" w:rsidP="0088757B">
      <w:pPr>
        <w:spacing w:line="360" w:lineRule="auto"/>
        <w:ind w:firstLine="708"/>
        <w:jc w:val="both"/>
        <w:rPr>
          <w:rFonts w:ascii="Arial" w:hAnsi="Arial" w:cs="Arial"/>
          <w:sz w:val="26"/>
          <w:szCs w:val="26"/>
        </w:rPr>
      </w:pPr>
      <w:r>
        <w:rPr>
          <w:rFonts w:ascii="Arial" w:hAnsi="Arial" w:cs="Arial"/>
          <w:b/>
          <w:sz w:val="26"/>
          <w:szCs w:val="26"/>
        </w:rPr>
        <w:t>TERCERO</w:t>
      </w:r>
      <w:r w:rsidR="0088757B">
        <w:rPr>
          <w:rFonts w:ascii="Arial" w:hAnsi="Arial" w:cs="Arial"/>
          <w:b/>
          <w:sz w:val="26"/>
          <w:szCs w:val="26"/>
        </w:rPr>
        <w:t xml:space="preserve">.- </w:t>
      </w:r>
      <w:r w:rsidR="0088757B" w:rsidRPr="007B1E95">
        <w:rPr>
          <w:rFonts w:ascii="Arial" w:hAnsi="Arial" w:cs="Arial"/>
          <w:b/>
          <w:sz w:val="26"/>
          <w:szCs w:val="26"/>
        </w:rPr>
        <w:t>N</w:t>
      </w:r>
      <w:r w:rsidR="0088757B" w:rsidRPr="006E349D">
        <w:rPr>
          <w:rFonts w:ascii="Arial" w:hAnsi="Arial" w:cs="Arial"/>
          <w:b/>
          <w:sz w:val="26"/>
          <w:szCs w:val="26"/>
        </w:rPr>
        <w:t>OTIFÍQUESE</w:t>
      </w:r>
      <w:r w:rsidR="0088757B">
        <w:rPr>
          <w:rFonts w:ascii="Arial" w:hAnsi="Arial" w:cs="Arial"/>
          <w:b/>
          <w:sz w:val="26"/>
          <w:szCs w:val="26"/>
        </w:rPr>
        <w:t xml:space="preserve"> Y CÚMPLASE</w:t>
      </w:r>
      <w:r w:rsidR="0088757B" w:rsidRPr="00D8046C">
        <w:rPr>
          <w:rFonts w:ascii="Arial" w:hAnsi="Arial" w:cs="Arial"/>
          <w:sz w:val="26"/>
          <w:szCs w:val="26"/>
        </w:rPr>
        <w:t>,</w:t>
      </w:r>
      <w:r w:rsidR="0088757B" w:rsidRPr="006E349D">
        <w:rPr>
          <w:rFonts w:ascii="Arial" w:hAnsi="Arial" w:cs="Arial"/>
          <w:sz w:val="26"/>
          <w:szCs w:val="26"/>
        </w:rPr>
        <w:t xml:space="preserve"> </w:t>
      </w:r>
      <w:r w:rsidR="0088757B">
        <w:rPr>
          <w:rFonts w:ascii="Arial" w:hAnsi="Arial" w:cs="Arial"/>
          <w:sz w:val="26"/>
          <w:szCs w:val="26"/>
        </w:rPr>
        <w:t xml:space="preserve">con copia certificada de la presente resolución, vuelvan las constancias remitidas a la Sala de origen, </w:t>
      </w:r>
      <w:r w:rsidR="0088757B" w:rsidRPr="00D81DA7">
        <w:rPr>
          <w:rFonts w:ascii="Arial" w:hAnsi="Arial" w:cs="Arial"/>
          <w:sz w:val="26"/>
          <w:szCs w:val="26"/>
        </w:rPr>
        <w:t>y en su oportunidad archívese el cuaderno de revisión como concluido.</w:t>
      </w:r>
    </w:p>
    <w:p w14:paraId="44D159BC" w14:textId="77777777" w:rsidR="00586646" w:rsidRDefault="00586646" w:rsidP="00586646">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D7E2490" w14:textId="77777777" w:rsidR="00586646" w:rsidRDefault="00586646" w:rsidP="00586646">
      <w:pPr>
        <w:spacing w:line="360" w:lineRule="auto"/>
        <w:rPr>
          <w:rFonts w:ascii="Arial" w:hAnsi="Arial" w:cs="Arial"/>
          <w:sz w:val="26"/>
          <w:szCs w:val="26"/>
        </w:rPr>
      </w:pPr>
    </w:p>
    <w:p w14:paraId="3B4D66BA" w14:textId="77777777" w:rsidR="00586646" w:rsidRDefault="00586646" w:rsidP="00586646">
      <w:pPr>
        <w:spacing w:line="360" w:lineRule="auto"/>
        <w:rPr>
          <w:rFonts w:ascii="Arial" w:hAnsi="Arial" w:cs="Arial"/>
          <w:sz w:val="26"/>
          <w:szCs w:val="26"/>
        </w:rPr>
      </w:pPr>
    </w:p>
    <w:p w14:paraId="13C4C2FB" w14:textId="77777777" w:rsidR="00586646" w:rsidRDefault="00586646" w:rsidP="00586646">
      <w:pPr>
        <w:spacing w:line="360" w:lineRule="auto"/>
        <w:rPr>
          <w:rFonts w:ascii="Arial" w:hAnsi="Arial" w:cs="Arial"/>
          <w:sz w:val="26"/>
          <w:szCs w:val="26"/>
        </w:rPr>
      </w:pPr>
    </w:p>
    <w:p w14:paraId="1AFEC6B0" w14:textId="77777777" w:rsidR="006B4576" w:rsidRDefault="006B4576" w:rsidP="00586646">
      <w:pPr>
        <w:spacing w:line="360" w:lineRule="auto"/>
        <w:rPr>
          <w:rFonts w:ascii="Arial" w:hAnsi="Arial" w:cs="Arial"/>
          <w:sz w:val="26"/>
          <w:szCs w:val="26"/>
        </w:rPr>
      </w:pPr>
    </w:p>
    <w:p w14:paraId="3B190BD4" w14:textId="77777777" w:rsidR="006B4576" w:rsidRDefault="006B4576" w:rsidP="00586646">
      <w:pPr>
        <w:spacing w:line="360" w:lineRule="auto"/>
        <w:rPr>
          <w:rFonts w:ascii="Arial" w:hAnsi="Arial" w:cs="Arial"/>
          <w:sz w:val="26"/>
          <w:szCs w:val="26"/>
        </w:rPr>
      </w:pPr>
    </w:p>
    <w:p w14:paraId="236AD32D" w14:textId="77777777" w:rsidR="00586646" w:rsidRPr="002F14E9" w:rsidRDefault="00586646" w:rsidP="00586646">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14:paraId="54342483" w14:textId="77777777" w:rsidR="00586646" w:rsidRPr="002F14E9" w:rsidRDefault="00586646" w:rsidP="00586646">
      <w:pPr>
        <w:pStyle w:val="Sinespaciado"/>
        <w:jc w:val="center"/>
        <w:rPr>
          <w:rFonts w:ascii="Arial" w:hAnsi="Arial" w:cs="Arial"/>
          <w:sz w:val="26"/>
          <w:szCs w:val="26"/>
        </w:rPr>
      </w:pPr>
      <w:r w:rsidRPr="002F14E9">
        <w:rPr>
          <w:rFonts w:ascii="Arial" w:hAnsi="Arial" w:cs="Arial"/>
          <w:sz w:val="26"/>
          <w:szCs w:val="26"/>
        </w:rPr>
        <w:t>PRESIDENTE</w:t>
      </w:r>
    </w:p>
    <w:p w14:paraId="6F699426" w14:textId="77777777" w:rsidR="00586646" w:rsidRDefault="00586646" w:rsidP="00586646">
      <w:pPr>
        <w:spacing w:line="360" w:lineRule="auto"/>
        <w:rPr>
          <w:rFonts w:ascii="Arial" w:eastAsia="Calibri" w:hAnsi="Arial" w:cs="Arial"/>
          <w:sz w:val="26"/>
          <w:szCs w:val="26"/>
        </w:rPr>
      </w:pPr>
    </w:p>
    <w:p w14:paraId="46D97E64" w14:textId="77777777" w:rsidR="006B4576" w:rsidRDefault="006B4576" w:rsidP="00490CC9">
      <w:pPr>
        <w:spacing w:line="360" w:lineRule="auto"/>
        <w:rPr>
          <w:rFonts w:ascii="Arial" w:eastAsia="Calibri" w:hAnsi="Arial" w:cs="Arial"/>
          <w:sz w:val="26"/>
          <w:szCs w:val="26"/>
        </w:rPr>
      </w:pPr>
    </w:p>
    <w:p w14:paraId="0B006F6E" w14:textId="77777777" w:rsidR="00586646" w:rsidRDefault="00586646" w:rsidP="00586646">
      <w:pPr>
        <w:spacing w:line="360" w:lineRule="auto"/>
        <w:rPr>
          <w:rFonts w:ascii="Arial" w:eastAsia="Calibri" w:hAnsi="Arial" w:cs="Arial"/>
          <w:sz w:val="26"/>
          <w:szCs w:val="26"/>
        </w:rPr>
      </w:pPr>
    </w:p>
    <w:p w14:paraId="5AE50C87" w14:textId="77777777" w:rsidR="006B4576" w:rsidRDefault="006B4576" w:rsidP="00586646">
      <w:pPr>
        <w:spacing w:line="360" w:lineRule="auto"/>
        <w:rPr>
          <w:rFonts w:ascii="Arial" w:eastAsia="Calibri" w:hAnsi="Arial" w:cs="Arial"/>
          <w:sz w:val="26"/>
          <w:szCs w:val="26"/>
        </w:rPr>
      </w:pPr>
    </w:p>
    <w:p w14:paraId="201E7049" w14:textId="77777777" w:rsidR="006B4576" w:rsidRDefault="006B4576" w:rsidP="00586646">
      <w:pPr>
        <w:spacing w:line="360" w:lineRule="auto"/>
        <w:rPr>
          <w:rFonts w:ascii="Arial" w:eastAsia="Calibri" w:hAnsi="Arial" w:cs="Arial"/>
          <w:sz w:val="26"/>
          <w:szCs w:val="26"/>
        </w:rPr>
      </w:pPr>
    </w:p>
    <w:p w14:paraId="4AC660CF" w14:textId="77777777" w:rsidR="006B4576" w:rsidRDefault="006B4576" w:rsidP="00586646">
      <w:pPr>
        <w:spacing w:line="360" w:lineRule="auto"/>
        <w:rPr>
          <w:rFonts w:ascii="Arial" w:eastAsia="Calibri" w:hAnsi="Arial" w:cs="Arial"/>
          <w:sz w:val="26"/>
          <w:szCs w:val="26"/>
        </w:rPr>
      </w:pPr>
    </w:p>
    <w:p w14:paraId="2ABF9565"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46A54D26" w14:textId="77777777" w:rsidR="00586646" w:rsidRDefault="00586646" w:rsidP="00586646">
      <w:pPr>
        <w:spacing w:line="360" w:lineRule="auto"/>
        <w:rPr>
          <w:rFonts w:ascii="Arial" w:eastAsia="Calibri" w:hAnsi="Arial" w:cs="Arial"/>
          <w:sz w:val="26"/>
          <w:szCs w:val="26"/>
        </w:rPr>
      </w:pPr>
    </w:p>
    <w:p w14:paraId="2D867C13" w14:textId="2E35853E" w:rsidR="007734BC" w:rsidRPr="00490CC9" w:rsidRDefault="007734BC" w:rsidP="007734BC">
      <w:pPr>
        <w:spacing w:line="360" w:lineRule="auto"/>
        <w:jc w:val="center"/>
        <w:rPr>
          <w:rFonts w:ascii="Arial" w:eastAsia="Calibri" w:hAnsi="Arial" w:cs="Arial"/>
          <w:b/>
          <w:sz w:val="14"/>
          <w:szCs w:val="26"/>
        </w:rPr>
      </w:pPr>
      <w:r w:rsidRPr="00490CC9">
        <w:rPr>
          <w:rFonts w:ascii="Arial" w:eastAsia="Calibri" w:hAnsi="Arial" w:cs="Arial"/>
          <w:b/>
          <w:sz w:val="14"/>
          <w:szCs w:val="26"/>
        </w:rPr>
        <w:lastRenderedPageBreak/>
        <w:t xml:space="preserve">LAS PRESENTES FIRMAS CORRESPONDEN AL </w:t>
      </w:r>
      <w:r w:rsidR="00EA3670">
        <w:rPr>
          <w:rFonts w:ascii="Arial" w:eastAsia="Calibri" w:hAnsi="Arial" w:cs="Arial"/>
          <w:b/>
          <w:sz w:val="14"/>
          <w:szCs w:val="26"/>
        </w:rPr>
        <w:t>RECURSO DE REVISIÓN 720/2017</w:t>
      </w:r>
    </w:p>
    <w:p w14:paraId="1B52A1AC" w14:textId="77777777" w:rsidR="007734BC" w:rsidRDefault="007734BC" w:rsidP="007734BC">
      <w:pPr>
        <w:spacing w:line="360" w:lineRule="auto"/>
        <w:jc w:val="center"/>
        <w:rPr>
          <w:rFonts w:ascii="Arial" w:eastAsia="Calibri" w:hAnsi="Arial" w:cs="Arial"/>
          <w:sz w:val="26"/>
          <w:szCs w:val="26"/>
        </w:rPr>
      </w:pPr>
    </w:p>
    <w:p w14:paraId="4E8D8B16" w14:textId="77777777" w:rsidR="00586646" w:rsidRDefault="00586646" w:rsidP="00586646">
      <w:pPr>
        <w:spacing w:line="360" w:lineRule="auto"/>
        <w:rPr>
          <w:rFonts w:ascii="Arial" w:eastAsia="Calibri" w:hAnsi="Arial" w:cs="Arial"/>
          <w:sz w:val="26"/>
          <w:szCs w:val="26"/>
        </w:rPr>
      </w:pPr>
    </w:p>
    <w:p w14:paraId="110F7E09" w14:textId="77777777" w:rsidR="00586646" w:rsidRDefault="00586646" w:rsidP="00586646">
      <w:pPr>
        <w:spacing w:line="360" w:lineRule="auto"/>
        <w:rPr>
          <w:rFonts w:ascii="Arial" w:eastAsia="Calibri" w:hAnsi="Arial" w:cs="Arial"/>
          <w:sz w:val="26"/>
          <w:szCs w:val="26"/>
        </w:rPr>
      </w:pPr>
    </w:p>
    <w:p w14:paraId="4C1102E0" w14:textId="77777777" w:rsidR="007734BC" w:rsidRDefault="007734BC" w:rsidP="00586646">
      <w:pPr>
        <w:spacing w:line="360" w:lineRule="auto"/>
        <w:rPr>
          <w:rFonts w:ascii="Arial" w:eastAsia="Calibri" w:hAnsi="Arial" w:cs="Arial"/>
          <w:sz w:val="26"/>
          <w:szCs w:val="26"/>
        </w:rPr>
      </w:pPr>
    </w:p>
    <w:p w14:paraId="43A8187A" w14:textId="77777777" w:rsidR="007734BC" w:rsidRDefault="007734BC" w:rsidP="00586646">
      <w:pPr>
        <w:spacing w:line="360" w:lineRule="auto"/>
        <w:rPr>
          <w:rFonts w:ascii="Arial" w:eastAsia="Calibri" w:hAnsi="Arial" w:cs="Arial"/>
          <w:sz w:val="26"/>
          <w:szCs w:val="26"/>
        </w:rPr>
      </w:pPr>
    </w:p>
    <w:p w14:paraId="70BE5CE5" w14:textId="77777777" w:rsidR="00586646" w:rsidRDefault="00586646" w:rsidP="00586646">
      <w:pPr>
        <w:spacing w:line="360" w:lineRule="auto"/>
        <w:rPr>
          <w:rFonts w:ascii="Arial" w:eastAsia="Calibri" w:hAnsi="Arial" w:cs="Arial"/>
          <w:sz w:val="26"/>
          <w:szCs w:val="26"/>
        </w:rPr>
      </w:pPr>
    </w:p>
    <w:p w14:paraId="271DB47E"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39A21606" w14:textId="77777777" w:rsidR="00586646" w:rsidRDefault="00586646" w:rsidP="00586646">
      <w:pPr>
        <w:spacing w:line="360" w:lineRule="auto"/>
        <w:jc w:val="center"/>
        <w:rPr>
          <w:rFonts w:ascii="Arial" w:eastAsia="Calibri" w:hAnsi="Arial" w:cs="Arial"/>
          <w:sz w:val="26"/>
          <w:szCs w:val="26"/>
        </w:rPr>
      </w:pPr>
    </w:p>
    <w:p w14:paraId="634967B6" w14:textId="77777777" w:rsidR="00586646" w:rsidRDefault="00586646" w:rsidP="00586646">
      <w:pPr>
        <w:spacing w:line="360" w:lineRule="auto"/>
        <w:jc w:val="center"/>
        <w:rPr>
          <w:rFonts w:ascii="Arial" w:eastAsia="Calibri" w:hAnsi="Arial" w:cs="Arial"/>
          <w:sz w:val="26"/>
          <w:szCs w:val="26"/>
        </w:rPr>
      </w:pPr>
    </w:p>
    <w:p w14:paraId="1A62C8EF" w14:textId="77777777" w:rsidR="00586646" w:rsidRDefault="00586646" w:rsidP="00586646">
      <w:pPr>
        <w:spacing w:line="360" w:lineRule="auto"/>
        <w:jc w:val="center"/>
        <w:rPr>
          <w:rFonts w:ascii="Arial" w:eastAsia="Calibri" w:hAnsi="Arial" w:cs="Arial"/>
          <w:sz w:val="26"/>
          <w:szCs w:val="26"/>
        </w:rPr>
      </w:pPr>
    </w:p>
    <w:p w14:paraId="51FEBC7E" w14:textId="77777777" w:rsidR="00586646" w:rsidRDefault="00586646" w:rsidP="00586646">
      <w:pPr>
        <w:spacing w:line="360" w:lineRule="auto"/>
        <w:jc w:val="center"/>
        <w:rPr>
          <w:rFonts w:ascii="Arial" w:eastAsia="Calibri" w:hAnsi="Arial" w:cs="Arial"/>
          <w:sz w:val="26"/>
          <w:szCs w:val="26"/>
        </w:rPr>
      </w:pPr>
    </w:p>
    <w:p w14:paraId="121C99A5" w14:textId="77777777" w:rsidR="00586646" w:rsidRDefault="00586646" w:rsidP="00586646">
      <w:pPr>
        <w:spacing w:line="360" w:lineRule="auto"/>
        <w:jc w:val="center"/>
        <w:rPr>
          <w:rFonts w:ascii="Arial" w:eastAsia="Calibri" w:hAnsi="Arial" w:cs="Arial"/>
          <w:sz w:val="26"/>
          <w:szCs w:val="26"/>
        </w:rPr>
      </w:pPr>
    </w:p>
    <w:p w14:paraId="6E3F1153"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04889AD0" w14:textId="77777777" w:rsidR="00586646" w:rsidRDefault="00586646" w:rsidP="00586646">
      <w:pPr>
        <w:spacing w:line="360" w:lineRule="auto"/>
        <w:jc w:val="center"/>
        <w:rPr>
          <w:rFonts w:ascii="Arial" w:eastAsia="Calibri" w:hAnsi="Arial" w:cs="Arial"/>
          <w:sz w:val="26"/>
          <w:szCs w:val="26"/>
        </w:rPr>
      </w:pPr>
    </w:p>
    <w:p w14:paraId="1BEC2960" w14:textId="77777777" w:rsidR="00586646" w:rsidRDefault="00586646" w:rsidP="00586646">
      <w:pPr>
        <w:spacing w:line="360" w:lineRule="auto"/>
        <w:jc w:val="center"/>
        <w:rPr>
          <w:rFonts w:ascii="Arial" w:eastAsia="Calibri" w:hAnsi="Arial" w:cs="Arial"/>
          <w:sz w:val="26"/>
          <w:szCs w:val="26"/>
        </w:rPr>
      </w:pPr>
    </w:p>
    <w:p w14:paraId="34921EFE" w14:textId="77777777" w:rsidR="00586646" w:rsidRDefault="00586646" w:rsidP="00586646">
      <w:pPr>
        <w:spacing w:line="360" w:lineRule="auto"/>
        <w:jc w:val="center"/>
        <w:rPr>
          <w:rFonts w:ascii="Arial" w:eastAsia="Calibri" w:hAnsi="Arial" w:cs="Arial"/>
          <w:sz w:val="26"/>
          <w:szCs w:val="26"/>
        </w:rPr>
      </w:pPr>
    </w:p>
    <w:p w14:paraId="24ACC934" w14:textId="77777777" w:rsidR="00490CC9" w:rsidRDefault="00490CC9" w:rsidP="00586646">
      <w:pPr>
        <w:spacing w:line="360" w:lineRule="auto"/>
        <w:jc w:val="center"/>
        <w:rPr>
          <w:rFonts w:ascii="Arial" w:eastAsia="Calibri" w:hAnsi="Arial" w:cs="Arial"/>
          <w:sz w:val="26"/>
          <w:szCs w:val="26"/>
        </w:rPr>
      </w:pPr>
    </w:p>
    <w:p w14:paraId="13AF9DE5" w14:textId="77777777" w:rsidR="00490CC9" w:rsidRDefault="00490CC9" w:rsidP="00586646">
      <w:pPr>
        <w:spacing w:line="360" w:lineRule="auto"/>
        <w:jc w:val="center"/>
        <w:rPr>
          <w:rFonts w:ascii="Arial" w:eastAsia="Calibri" w:hAnsi="Arial" w:cs="Arial"/>
          <w:sz w:val="26"/>
          <w:szCs w:val="26"/>
        </w:rPr>
      </w:pPr>
    </w:p>
    <w:p w14:paraId="4DFC18A6" w14:textId="77777777" w:rsidR="00586646" w:rsidRDefault="00586646" w:rsidP="00586646">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B4A6ACD" w14:textId="77777777" w:rsidR="00586646" w:rsidRDefault="00586646" w:rsidP="00586646">
      <w:pPr>
        <w:rPr>
          <w:rFonts w:ascii="Arial" w:eastAsia="Calibri" w:hAnsi="Arial" w:cs="Arial"/>
          <w:sz w:val="26"/>
          <w:szCs w:val="26"/>
        </w:rPr>
      </w:pPr>
    </w:p>
    <w:p w14:paraId="50F013C9" w14:textId="77777777" w:rsidR="00586646" w:rsidRDefault="00586646" w:rsidP="00586646">
      <w:pPr>
        <w:rPr>
          <w:rFonts w:ascii="Arial" w:eastAsia="Calibri" w:hAnsi="Arial" w:cs="Arial"/>
          <w:sz w:val="26"/>
          <w:szCs w:val="26"/>
        </w:rPr>
      </w:pPr>
    </w:p>
    <w:p w14:paraId="5AC32C00" w14:textId="77777777" w:rsidR="00586646" w:rsidRDefault="00586646" w:rsidP="00586646">
      <w:pPr>
        <w:rPr>
          <w:rFonts w:ascii="Arial" w:eastAsia="Calibri" w:hAnsi="Arial" w:cs="Arial"/>
          <w:sz w:val="26"/>
          <w:szCs w:val="26"/>
        </w:rPr>
      </w:pPr>
    </w:p>
    <w:p w14:paraId="5349110A" w14:textId="77777777" w:rsidR="00490CC9" w:rsidRDefault="00490CC9" w:rsidP="00586646">
      <w:pPr>
        <w:rPr>
          <w:rFonts w:ascii="Arial" w:eastAsia="Calibri" w:hAnsi="Arial" w:cs="Arial"/>
          <w:sz w:val="26"/>
          <w:szCs w:val="26"/>
        </w:rPr>
      </w:pPr>
    </w:p>
    <w:p w14:paraId="0C7BD82A" w14:textId="77777777" w:rsidR="00586646" w:rsidRDefault="00586646" w:rsidP="00586646">
      <w:pPr>
        <w:rPr>
          <w:rFonts w:ascii="Arial" w:eastAsia="Calibri" w:hAnsi="Arial" w:cs="Arial"/>
          <w:sz w:val="26"/>
          <w:szCs w:val="26"/>
        </w:rPr>
      </w:pPr>
    </w:p>
    <w:p w14:paraId="2533F3A4" w14:textId="77777777" w:rsidR="00586646" w:rsidRDefault="00586646" w:rsidP="00586646">
      <w:pPr>
        <w:rPr>
          <w:rFonts w:ascii="Arial" w:eastAsia="Calibri" w:hAnsi="Arial" w:cs="Arial"/>
          <w:sz w:val="26"/>
          <w:szCs w:val="26"/>
        </w:rPr>
      </w:pPr>
    </w:p>
    <w:p w14:paraId="64BBBB5B" w14:textId="77777777" w:rsidR="00586646" w:rsidRDefault="00586646" w:rsidP="00586646">
      <w:pPr>
        <w:rPr>
          <w:rFonts w:ascii="Arial" w:eastAsia="Calibri" w:hAnsi="Arial" w:cs="Arial"/>
          <w:sz w:val="26"/>
          <w:szCs w:val="26"/>
        </w:rPr>
      </w:pPr>
    </w:p>
    <w:p w14:paraId="5516AA73" w14:textId="77777777" w:rsidR="00586646" w:rsidRDefault="00586646" w:rsidP="00586646">
      <w:pPr>
        <w:rPr>
          <w:rFonts w:ascii="Arial" w:eastAsia="Calibri" w:hAnsi="Arial" w:cs="Arial"/>
          <w:sz w:val="26"/>
          <w:szCs w:val="26"/>
        </w:rPr>
      </w:pPr>
    </w:p>
    <w:p w14:paraId="6195EFBE"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14:paraId="501B306D"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SECRETARIA GENERAL DE ACUERDOS.</w:t>
      </w:r>
    </w:p>
    <w:p w14:paraId="3E1DAEB9" w14:textId="77777777" w:rsidR="00586646" w:rsidRDefault="00586646" w:rsidP="00586646">
      <w:pPr>
        <w:ind w:left="142" w:firstLine="708"/>
        <w:jc w:val="center"/>
        <w:rPr>
          <w:rFonts w:ascii="Arial" w:eastAsia="Calibri" w:hAnsi="Arial" w:cs="Arial"/>
          <w:sz w:val="26"/>
          <w:szCs w:val="26"/>
        </w:rPr>
      </w:pPr>
    </w:p>
    <w:p w14:paraId="3F177ED5" w14:textId="77777777" w:rsidR="00691BFA" w:rsidRPr="0087542B" w:rsidRDefault="00691BFA" w:rsidP="00586646">
      <w:pPr>
        <w:spacing w:after="120" w:line="360" w:lineRule="auto"/>
        <w:ind w:firstLine="708"/>
        <w:jc w:val="both"/>
      </w:pPr>
    </w:p>
    <w:sectPr w:rsidR="00691BFA" w:rsidRPr="0087542B" w:rsidSect="00490CC9">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4232A" w14:textId="77777777" w:rsidR="003A1C0B" w:rsidRDefault="003A1C0B">
      <w:r>
        <w:separator/>
      </w:r>
    </w:p>
  </w:endnote>
  <w:endnote w:type="continuationSeparator" w:id="0">
    <w:p w14:paraId="762E07D2" w14:textId="77777777" w:rsidR="003A1C0B" w:rsidRDefault="003A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1A8D" w14:textId="08C54781" w:rsidR="00F15DBC" w:rsidRDefault="00F15D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4FE9" w14:textId="69A31D7C" w:rsidR="00F15DBC" w:rsidRDefault="00F15D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0A6D" w14:textId="77777777" w:rsidR="00F15DBC" w:rsidRDefault="00F15D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692F7" w14:textId="77777777" w:rsidR="003A1C0B" w:rsidRDefault="003A1C0B">
      <w:r>
        <w:separator/>
      </w:r>
    </w:p>
  </w:footnote>
  <w:footnote w:type="continuationSeparator" w:id="0">
    <w:p w14:paraId="35F7F9D9" w14:textId="77777777" w:rsidR="003A1C0B" w:rsidRDefault="003A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77777777" w:rsidR="00343C2B" w:rsidRDefault="00343C2B">
        <w:pPr>
          <w:pStyle w:val="Encabezado"/>
          <w:jc w:val="center"/>
        </w:pPr>
        <w:r>
          <w:fldChar w:fldCharType="begin"/>
        </w:r>
        <w:r>
          <w:instrText>PAGE   \* MERGEFORMAT</w:instrText>
        </w:r>
        <w:r>
          <w:fldChar w:fldCharType="separate"/>
        </w:r>
        <w:r w:rsidR="00F15DBC">
          <w:rPr>
            <w:noProof/>
          </w:rPr>
          <w:t>8</w:t>
        </w:r>
        <w:r>
          <w:fldChar w:fldCharType="end"/>
        </w:r>
      </w:p>
    </w:sdtContent>
  </w:sdt>
  <w:p w14:paraId="61FAD150" w14:textId="1354DA89" w:rsidR="00343C2B" w:rsidRDefault="00F15DBC">
    <w:pPr>
      <w:pStyle w:val="Encabezado"/>
    </w:pPr>
    <w:bookmarkStart w:id="0" w:name="_GoBack"/>
    <w:r>
      <w:rPr>
        <w:noProof/>
        <w:lang w:eastAsia="es-MX"/>
      </w:rPr>
      <w:drawing>
        <wp:anchor distT="0" distB="0" distL="114300" distR="114300" simplePos="0" relativeHeight="251675136" behindDoc="0" locked="0" layoutInCell="1" allowOverlap="1" wp14:anchorId="616C8798" wp14:editId="09C319F6">
          <wp:simplePos x="0" y="0"/>
          <wp:positionH relativeFrom="column">
            <wp:posOffset>5634990</wp:posOffset>
          </wp:positionH>
          <wp:positionV relativeFrom="paragraph">
            <wp:posOffset>4952365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9A18758" w14:textId="1D5AF547" w:rsidR="0088757B" w:rsidRDefault="00343C2B" w:rsidP="0088757B">
        <w:pPr>
          <w:pStyle w:val="Encabezado"/>
          <w:jc w:val="center"/>
          <w:rPr>
            <w:noProof/>
          </w:rPr>
        </w:pPr>
        <w:r>
          <w:fldChar w:fldCharType="begin"/>
        </w:r>
        <w:r>
          <w:instrText xml:space="preserve"> PAGE   \* MERGEFORMAT </w:instrText>
        </w:r>
        <w:r>
          <w:fldChar w:fldCharType="separate"/>
        </w:r>
        <w:r w:rsidR="00F15DBC">
          <w:rPr>
            <w:noProof/>
          </w:rPr>
          <w:t>1</w:t>
        </w:r>
        <w:r>
          <w:rPr>
            <w:noProof/>
          </w:rPr>
          <w:fldChar w:fldCharType="end"/>
        </w:r>
      </w:p>
    </w:sdtContent>
  </w:sdt>
  <w:p w14:paraId="323DD476" w14:textId="167F5D83" w:rsidR="00343C2B" w:rsidRDefault="00F15DBC" w:rsidP="0088757B">
    <w:pPr>
      <w:pStyle w:val="Encabezado"/>
      <w:jc w:val="center"/>
    </w:pPr>
    <w:r>
      <w:rPr>
        <w:noProof/>
        <w:lang w:eastAsia="es-MX"/>
      </w:rPr>
      <w:drawing>
        <wp:anchor distT="0" distB="0" distL="114300" distR="114300" simplePos="0" relativeHeight="251668992" behindDoc="0" locked="0" layoutInCell="1" allowOverlap="1" wp14:anchorId="2F01CFBA" wp14:editId="4E569E43">
          <wp:simplePos x="0" y="0"/>
          <wp:positionH relativeFrom="column">
            <wp:posOffset>-1403985</wp:posOffset>
          </wp:positionH>
          <wp:positionV relativeFrom="paragraph">
            <wp:posOffset>5561965</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343C2B" w:rsidRPr="003E6AD7">
      <w:rPr>
        <w:noProof/>
        <w:lang w:val="es-MX" w:eastAsia="es-MX"/>
      </w:rPr>
      <w:drawing>
        <wp:anchor distT="0" distB="0" distL="114300" distR="114300" simplePos="0" relativeHeight="251661824" behindDoc="0" locked="0" layoutInCell="1" allowOverlap="1" wp14:anchorId="6C75BE9E" wp14:editId="39749E1F">
          <wp:simplePos x="0" y="0"/>
          <wp:positionH relativeFrom="page">
            <wp:posOffset>384276</wp:posOffset>
          </wp:positionH>
          <wp:positionV relativeFrom="paragraph">
            <wp:posOffset>4179770</wp:posOffset>
          </wp:positionV>
          <wp:extent cx="1118870" cy="97472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C2B">
      <w:rPr>
        <w:noProof/>
        <w:lang w:val="es-MX" w:eastAsia="es-MX"/>
      </w:rPr>
      <w:drawing>
        <wp:anchor distT="0" distB="0" distL="114300" distR="114300" simplePos="0" relativeHeight="251650560"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BBA4" w14:textId="77777777" w:rsidR="00F15DBC" w:rsidRDefault="00F15D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97523"/>
    <w:multiLevelType w:val="hybridMultilevel"/>
    <w:tmpl w:val="6F72D01E"/>
    <w:lvl w:ilvl="0" w:tplc="FBD24C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F687C8F"/>
    <w:multiLevelType w:val="hybridMultilevel"/>
    <w:tmpl w:val="F3EE8B40"/>
    <w:lvl w:ilvl="0" w:tplc="5C26B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63340AD3"/>
    <w:multiLevelType w:val="hybridMultilevel"/>
    <w:tmpl w:val="91F83E70"/>
    <w:lvl w:ilvl="0" w:tplc="62EEA5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64EB63D9"/>
    <w:multiLevelType w:val="hybridMultilevel"/>
    <w:tmpl w:val="29AE4954"/>
    <w:lvl w:ilvl="0" w:tplc="31B6920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20"/>
  </w:num>
  <w:num w:numId="4">
    <w:abstractNumId w:val="15"/>
  </w:num>
  <w:num w:numId="5">
    <w:abstractNumId w:val="3"/>
  </w:num>
  <w:num w:numId="6">
    <w:abstractNumId w:val="21"/>
  </w:num>
  <w:num w:numId="7">
    <w:abstractNumId w:val="0"/>
  </w:num>
  <w:num w:numId="8">
    <w:abstractNumId w:val="16"/>
  </w:num>
  <w:num w:numId="9">
    <w:abstractNumId w:val="10"/>
  </w:num>
  <w:num w:numId="10">
    <w:abstractNumId w:val="7"/>
  </w:num>
  <w:num w:numId="11">
    <w:abstractNumId w:val="8"/>
  </w:num>
  <w:num w:numId="12">
    <w:abstractNumId w:val="11"/>
  </w:num>
  <w:num w:numId="13">
    <w:abstractNumId w:val="5"/>
  </w:num>
  <w:num w:numId="14">
    <w:abstractNumId w:val="19"/>
  </w:num>
  <w:num w:numId="15">
    <w:abstractNumId w:val="14"/>
  </w:num>
  <w:num w:numId="16">
    <w:abstractNumId w:val="2"/>
  </w:num>
  <w:num w:numId="17">
    <w:abstractNumId w:val="9"/>
  </w:num>
  <w:num w:numId="18">
    <w:abstractNumId w:val="4"/>
  </w:num>
  <w:num w:numId="19">
    <w:abstractNumId w:val="12"/>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143C"/>
    <w:rsid w:val="00012EC6"/>
    <w:rsid w:val="00013335"/>
    <w:rsid w:val="00021E6D"/>
    <w:rsid w:val="00037EC5"/>
    <w:rsid w:val="00040812"/>
    <w:rsid w:val="00040C9F"/>
    <w:rsid w:val="00042043"/>
    <w:rsid w:val="0005133C"/>
    <w:rsid w:val="000515DF"/>
    <w:rsid w:val="000533D8"/>
    <w:rsid w:val="00055136"/>
    <w:rsid w:val="00055982"/>
    <w:rsid w:val="00063787"/>
    <w:rsid w:val="0006676C"/>
    <w:rsid w:val="0007032E"/>
    <w:rsid w:val="0007468A"/>
    <w:rsid w:val="000823CC"/>
    <w:rsid w:val="000904F7"/>
    <w:rsid w:val="00092633"/>
    <w:rsid w:val="00092B64"/>
    <w:rsid w:val="00097E70"/>
    <w:rsid w:val="000A0212"/>
    <w:rsid w:val="000A3C35"/>
    <w:rsid w:val="000B0E36"/>
    <w:rsid w:val="000B3E39"/>
    <w:rsid w:val="000C16C8"/>
    <w:rsid w:val="000D0AB9"/>
    <w:rsid w:val="000D2BFB"/>
    <w:rsid w:val="000E0A23"/>
    <w:rsid w:val="000E3723"/>
    <w:rsid w:val="000E4F90"/>
    <w:rsid w:val="000E781B"/>
    <w:rsid w:val="000F3866"/>
    <w:rsid w:val="0010116F"/>
    <w:rsid w:val="0010152E"/>
    <w:rsid w:val="00101D15"/>
    <w:rsid w:val="00101EEE"/>
    <w:rsid w:val="00107CE0"/>
    <w:rsid w:val="00114A6B"/>
    <w:rsid w:val="0012652F"/>
    <w:rsid w:val="00127DBB"/>
    <w:rsid w:val="00132D70"/>
    <w:rsid w:val="00134084"/>
    <w:rsid w:val="001346F2"/>
    <w:rsid w:val="0014201D"/>
    <w:rsid w:val="00143F6F"/>
    <w:rsid w:val="00147F10"/>
    <w:rsid w:val="00154300"/>
    <w:rsid w:val="001548AE"/>
    <w:rsid w:val="0015559E"/>
    <w:rsid w:val="00162AE1"/>
    <w:rsid w:val="00163736"/>
    <w:rsid w:val="00163FAA"/>
    <w:rsid w:val="00164900"/>
    <w:rsid w:val="001657D1"/>
    <w:rsid w:val="00166448"/>
    <w:rsid w:val="001717F7"/>
    <w:rsid w:val="00171B21"/>
    <w:rsid w:val="00181484"/>
    <w:rsid w:val="00182658"/>
    <w:rsid w:val="00183217"/>
    <w:rsid w:val="00184F7A"/>
    <w:rsid w:val="00185992"/>
    <w:rsid w:val="00186E02"/>
    <w:rsid w:val="00194DAA"/>
    <w:rsid w:val="00195BEA"/>
    <w:rsid w:val="001B49BA"/>
    <w:rsid w:val="001B4BF9"/>
    <w:rsid w:val="001B6033"/>
    <w:rsid w:val="001B776B"/>
    <w:rsid w:val="001C3302"/>
    <w:rsid w:val="001C362A"/>
    <w:rsid w:val="001C3854"/>
    <w:rsid w:val="001C49AF"/>
    <w:rsid w:val="001D167B"/>
    <w:rsid w:val="001D1CC8"/>
    <w:rsid w:val="001D27E1"/>
    <w:rsid w:val="001E1D05"/>
    <w:rsid w:val="001E5ED9"/>
    <w:rsid w:val="001F2610"/>
    <w:rsid w:val="001F5246"/>
    <w:rsid w:val="001F5720"/>
    <w:rsid w:val="0020016A"/>
    <w:rsid w:val="00201025"/>
    <w:rsid w:val="0020272E"/>
    <w:rsid w:val="00207A73"/>
    <w:rsid w:val="00211CF5"/>
    <w:rsid w:val="00214697"/>
    <w:rsid w:val="002226C7"/>
    <w:rsid w:val="00233F43"/>
    <w:rsid w:val="00235F6F"/>
    <w:rsid w:val="0023692E"/>
    <w:rsid w:val="00240FFF"/>
    <w:rsid w:val="00241F41"/>
    <w:rsid w:val="00243890"/>
    <w:rsid w:val="002451B0"/>
    <w:rsid w:val="002452C9"/>
    <w:rsid w:val="00247748"/>
    <w:rsid w:val="00261F8C"/>
    <w:rsid w:val="00262C90"/>
    <w:rsid w:val="00263F98"/>
    <w:rsid w:val="0026442C"/>
    <w:rsid w:val="00270FA6"/>
    <w:rsid w:val="00271F83"/>
    <w:rsid w:val="00276C24"/>
    <w:rsid w:val="00276E2E"/>
    <w:rsid w:val="00282324"/>
    <w:rsid w:val="00283E9F"/>
    <w:rsid w:val="0028505F"/>
    <w:rsid w:val="002955A2"/>
    <w:rsid w:val="002A0206"/>
    <w:rsid w:val="002A1786"/>
    <w:rsid w:val="002A431E"/>
    <w:rsid w:val="002A7840"/>
    <w:rsid w:val="002B2B2B"/>
    <w:rsid w:val="002B3B6E"/>
    <w:rsid w:val="002B4000"/>
    <w:rsid w:val="002B4A63"/>
    <w:rsid w:val="002B4B5B"/>
    <w:rsid w:val="002B5678"/>
    <w:rsid w:val="002B6840"/>
    <w:rsid w:val="002B6BCE"/>
    <w:rsid w:val="002C0229"/>
    <w:rsid w:val="002C02F3"/>
    <w:rsid w:val="002C0700"/>
    <w:rsid w:val="002C2605"/>
    <w:rsid w:val="002C54C3"/>
    <w:rsid w:val="002C54E0"/>
    <w:rsid w:val="002C5A97"/>
    <w:rsid w:val="002D0ABE"/>
    <w:rsid w:val="002D1A4A"/>
    <w:rsid w:val="002D4556"/>
    <w:rsid w:val="002D7553"/>
    <w:rsid w:val="002E302D"/>
    <w:rsid w:val="002E3360"/>
    <w:rsid w:val="002E3804"/>
    <w:rsid w:val="002F0C1F"/>
    <w:rsid w:val="002F0E80"/>
    <w:rsid w:val="002F12B4"/>
    <w:rsid w:val="002F3064"/>
    <w:rsid w:val="002F3369"/>
    <w:rsid w:val="002F6D1A"/>
    <w:rsid w:val="003002FE"/>
    <w:rsid w:val="003007EB"/>
    <w:rsid w:val="003012BA"/>
    <w:rsid w:val="00303149"/>
    <w:rsid w:val="00305078"/>
    <w:rsid w:val="003139A0"/>
    <w:rsid w:val="00316443"/>
    <w:rsid w:val="0031747B"/>
    <w:rsid w:val="003201B0"/>
    <w:rsid w:val="00320CE1"/>
    <w:rsid w:val="00321D8A"/>
    <w:rsid w:val="00323223"/>
    <w:rsid w:val="00323E3E"/>
    <w:rsid w:val="00324136"/>
    <w:rsid w:val="003270F0"/>
    <w:rsid w:val="003271B3"/>
    <w:rsid w:val="00327510"/>
    <w:rsid w:val="00330C1A"/>
    <w:rsid w:val="00334579"/>
    <w:rsid w:val="00334C49"/>
    <w:rsid w:val="00334CE2"/>
    <w:rsid w:val="00335242"/>
    <w:rsid w:val="00341DB1"/>
    <w:rsid w:val="0034264E"/>
    <w:rsid w:val="00343C2B"/>
    <w:rsid w:val="00350A84"/>
    <w:rsid w:val="00350A94"/>
    <w:rsid w:val="0035150A"/>
    <w:rsid w:val="00352059"/>
    <w:rsid w:val="003523EF"/>
    <w:rsid w:val="00353473"/>
    <w:rsid w:val="00357E28"/>
    <w:rsid w:val="00360086"/>
    <w:rsid w:val="003630DE"/>
    <w:rsid w:val="0037448B"/>
    <w:rsid w:val="0038130E"/>
    <w:rsid w:val="00381690"/>
    <w:rsid w:val="00387A97"/>
    <w:rsid w:val="003973F5"/>
    <w:rsid w:val="0039769C"/>
    <w:rsid w:val="003A1C0B"/>
    <w:rsid w:val="003C3698"/>
    <w:rsid w:val="003C4C76"/>
    <w:rsid w:val="003C7D08"/>
    <w:rsid w:val="003D0FD1"/>
    <w:rsid w:val="003D1148"/>
    <w:rsid w:val="003D1A47"/>
    <w:rsid w:val="003D7D73"/>
    <w:rsid w:val="003E2793"/>
    <w:rsid w:val="003E3369"/>
    <w:rsid w:val="003E3D2A"/>
    <w:rsid w:val="003E709B"/>
    <w:rsid w:val="003F1346"/>
    <w:rsid w:val="003F21BE"/>
    <w:rsid w:val="003F31CF"/>
    <w:rsid w:val="003F3DC4"/>
    <w:rsid w:val="003F4DA0"/>
    <w:rsid w:val="00404275"/>
    <w:rsid w:val="00404654"/>
    <w:rsid w:val="004055A2"/>
    <w:rsid w:val="00405AF3"/>
    <w:rsid w:val="00405E65"/>
    <w:rsid w:val="00410E3D"/>
    <w:rsid w:val="00421F5B"/>
    <w:rsid w:val="00423A79"/>
    <w:rsid w:val="004307DF"/>
    <w:rsid w:val="00433A5A"/>
    <w:rsid w:val="00435E82"/>
    <w:rsid w:val="004365D5"/>
    <w:rsid w:val="00436A5B"/>
    <w:rsid w:val="00436D1D"/>
    <w:rsid w:val="00436E56"/>
    <w:rsid w:val="00437131"/>
    <w:rsid w:val="00441419"/>
    <w:rsid w:val="004423EC"/>
    <w:rsid w:val="00442F80"/>
    <w:rsid w:val="004447C8"/>
    <w:rsid w:val="004505CE"/>
    <w:rsid w:val="0045252A"/>
    <w:rsid w:val="00452E9D"/>
    <w:rsid w:val="00453503"/>
    <w:rsid w:val="00456C85"/>
    <w:rsid w:val="0046514D"/>
    <w:rsid w:val="00467168"/>
    <w:rsid w:val="004717D1"/>
    <w:rsid w:val="00471F7C"/>
    <w:rsid w:val="004723FD"/>
    <w:rsid w:val="00472D3B"/>
    <w:rsid w:val="00473037"/>
    <w:rsid w:val="00474A72"/>
    <w:rsid w:val="0047635D"/>
    <w:rsid w:val="00480526"/>
    <w:rsid w:val="004816C1"/>
    <w:rsid w:val="00490CC9"/>
    <w:rsid w:val="00491C37"/>
    <w:rsid w:val="00492852"/>
    <w:rsid w:val="0049627F"/>
    <w:rsid w:val="004A0D4D"/>
    <w:rsid w:val="004A499E"/>
    <w:rsid w:val="004A5D49"/>
    <w:rsid w:val="004A6044"/>
    <w:rsid w:val="004A7AB8"/>
    <w:rsid w:val="004B2C5B"/>
    <w:rsid w:val="004B5187"/>
    <w:rsid w:val="004B7FB2"/>
    <w:rsid w:val="004C2D13"/>
    <w:rsid w:val="004C4618"/>
    <w:rsid w:val="004C4BEF"/>
    <w:rsid w:val="004C594E"/>
    <w:rsid w:val="004D0FE0"/>
    <w:rsid w:val="004D2667"/>
    <w:rsid w:val="004D6A0E"/>
    <w:rsid w:val="004D7FA5"/>
    <w:rsid w:val="004E46DF"/>
    <w:rsid w:val="004E5B46"/>
    <w:rsid w:val="004E6262"/>
    <w:rsid w:val="004F4F5E"/>
    <w:rsid w:val="00500A28"/>
    <w:rsid w:val="0050201F"/>
    <w:rsid w:val="00502A34"/>
    <w:rsid w:val="00503C04"/>
    <w:rsid w:val="005046F5"/>
    <w:rsid w:val="0050648F"/>
    <w:rsid w:val="00511675"/>
    <w:rsid w:val="00517392"/>
    <w:rsid w:val="00517757"/>
    <w:rsid w:val="00517C71"/>
    <w:rsid w:val="005243A9"/>
    <w:rsid w:val="005257FB"/>
    <w:rsid w:val="005320E5"/>
    <w:rsid w:val="00534CB6"/>
    <w:rsid w:val="0054547D"/>
    <w:rsid w:val="00545DEE"/>
    <w:rsid w:val="00546F05"/>
    <w:rsid w:val="00547F15"/>
    <w:rsid w:val="00551C17"/>
    <w:rsid w:val="00560D2A"/>
    <w:rsid w:val="005619F2"/>
    <w:rsid w:val="005623BA"/>
    <w:rsid w:val="00562CDD"/>
    <w:rsid w:val="005650C9"/>
    <w:rsid w:val="00567A36"/>
    <w:rsid w:val="00574514"/>
    <w:rsid w:val="00575281"/>
    <w:rsid w:val="00577E2D"/>
    <w:rsid w:val="00577E63"/>
    <w:rsid w:val="00581677"/>
    <w:rsid w:val="00581B90"/>
    <w:rsid w:val="005828FE"/>
    <w:rsid w:val="00583516"/>
    <w:rsid w:val="0058355E"/>
    <w:rsid w:val="00583F0F"/>
    <w:rsid w:val="00586646"/>
    <w:rsid w:val="00587D84"/>
    <w:rsid w:val="005936A1"/>
    <w:rsid w:val="005A0810"/>
    <w:rsid w:val="005A26E0"/>
    <w:rsid w:val="005A7CB9"/>
    <w:rsid w:val="005B4077"/>
    <w:rsid w:val="005B589E"/>
    <w:rsid w:val="005B6265"/>
    <w:rsid w:val="005C1E3F"/>
    <w:rsid w:val="005C3333"/>
    <w:rsid w:val="005C37EA"/>
    <w:rsid w:val="005D1C12"/>
    <w:rsid w:val="005D212B"/>
    <w:rsid w:val="005D2834"/>
    <w:rsid w:val="005D33DB"/>
    <w:rsid w:val="005D3F5E"/>
    <w:rsid w:val="005D5964"/>
    <w:rsid w:val="005D6A93"/>
    <w:rsid w:val="005D7225"/>
    <w:rsid w:val="005E047B"/>
    <w:rsid w:val="005E3B97"/>
    <w:rsid w:val="005E442C"/>
    <w:rsid w:val="005E683F"/>
    <w:rsid w:val="005F434C"/>
    <w:rsid w:val="005F5B5A"/>
    <w:rsid w:val="0060140C"/>
    <w:rsid w:val="00603935"/>
    <w:rsid w:val="00603C18"/>
    <w:rsid w:val="00605D6E"/>
    <w:rsid w:val="00610D63"/>
    <w:rsid w:val="00612C86"/>
    <w:rsid w:val="00613062"/>
    <w:rsid w:val="00614FAE"/>
    <w:rsid w:val="00620F0A"/>
    <w:rsid w:val="00622DDE"/>
    <w:rsid w:val="00625196"/>
    <w:rsid w:val="006315CC"/>
    <w:rsid w:val="00634147"/>
    <w:rsid w:val="00636D8D"/>
    <w:rsid w:val="006373FB"/>
    <w:rsid w:val="00637658"/>
    <w:rsid w:val="0064024F"/>
    <w:rsid w:val="00652F5D"/>
    <w:rsid w:val="00654201"/>
    <w:rsid w:val="00655CCC"/>
    <w:rsid w:val="00656213"/>
    <w:rsid w:val="00656503"/>
    <w:rsid w:val="00656F1D"/>
    <w:rsid w:val="00657201"/>
    <w:rsid w:val="0066057B"/>
    <w:rsid w:val="0066061F"/>
    <w:rsid w:val="0066256D"/>
    <w:rsid w:val="00662969"/>
    <w:rsid w:val="00662C18"/>
    <w:rsid w:val="00672DA4"/>
    <w:rsid w:val="00672E7A"/>
    <w:rsid w:val="00676E26"/>
    <w:rsid w:val="00676F20"/>
    <w:rsid w:val="0068277A"/>
    <w:rsid w:val="00682B03"/>
    <w:rsid w:val="00684E14"/>
    <w:rsid w:val="00685403"/>
    <w:rsid w:val="00691BFA"/>
    <w:rsid w:val="006940A8"/>
    <w:rsid w:val="006A3A9F"/>
    <w:rsid w:val="006B255E"/>
    <w:rsid w:val="006B4576"/>
    <w:rsid w:val="006B670E"/>
    <w:rsid w:val="006B77A0"/>
    <w:rsid w:val="006C0A99"/>
    <w:rsid w:val="006C2BDB"/>
    <w:rsid w:val="006C530F"/>
    <w:rsid w:val="006C5486"/>
    <w:rsid w:val="006C7FC4"/>
    <w:rsid w:val="006E14DD"/>
    <w:rsid w:val="006E17DB"/>
    <w:rsid w:val="006E2D0B"/>
    <w:rsid w:val="006E5F8E"/>
    <w:rsid w:val="006F0298"/>
    <w:rsid w:val="006F271C"/>
    <w:rsid w:val="006F2F4B"/>
    <w:rsid w:val="00700E0A"/>
    <w:rsid w:val="007016A8"/>
    <w:rsid w:val="00701A61"/>
    <w:rsid w:val="007024D3"/>
    <w:rsid w:val="00703904"/>
    <w:rsid w:val="00704BEF"/>
    <w:rsid w:val="007072C4"/>
    <w:rsid w:val="0071016A"/>
    <w:rsid w:val="00710F84"/>
    <w:rsid w:val="0071510F"/>
    <w:rsid w:val="0072015D"/>
    <w:rsid w:val="00720A67"/>
    <w:rsid w:val="00721EBA"/>
    <w:rsid w:val="00721FA5"/>
    <w:rsid w:val="0072208F"/>
    <w:rsid w:val="00724490"/>
    <w:rsid w:val="007263C8"/>
    <w:rsid w:val="0072648B"/>
    <w:rsid w:val="007264B5"/>
    <w:rsid w:val="00727698"/>
    <w:rsid w:val="007276FF"/>
    <w:rsid w:val="007317E2"/>
    <w:rsid w:val="007413CB"/>
    <w:rsid w:val="00744048"/>
    <w:rsid w:val="00746018"/>
    <w:rsid w:val="0074709A"/>
    <w:rsid w:val="00752FB2"/>
    <w:rsid w:val="007557B3"/>
    <w:rsid w:val="00760D05"/>
    <w:rsid w:val="00760D3A"/>
    <w:rsid w:val="0077013A"/>
    <w:rsid w:val="007734BC"/>
    <w:rsid w:val="007747E8"/>
    <w:rsid w:val="00775F1D"/>
    <w:rsid w:val="00782842"/>
    <w:rsid w:val="00784B4F"/>
    <w:rsid w:val="00790EAA"/>
    <w:rsid w:val="0079104F"/>
    <w:rsid w:val="0079583D"/>
    <w:rsid w:val="007972B4"/>
    <w:rsid w:val="00797735"/>
    <w:rsid w:val="00797F51"/>
    <w:rsid w:val="007A2173"/>
    <w:rsid w:val="007A48EF"/>
    <w:rsid w:val="007B0ABE"/>
    <w:rsid w:val="007B1F9C"/>
    <w:rsid w:val="007B3E16"/>
    <w:rsid w:val="007B5269"/>
    <w:rsid w:val="007B5593"/>
    <w:rsid w:val="007B6309"/>
    <w:rsid w:val="007B77B6"/>
    <w:rsid w:val="007C5DEF"/>
    <w:rsid w:val="007D259E"/>
    <w:rsid w:val="007D295E"/>
    <w:rsid w:val="007D296F"/>
    <w:rsid w:val="007D449A"/>
    <w:rsid w:val="007D4611"/>
    <w:rsid w:val="007D7E00"/>
    <w:rsid w:val="007E1945"/>
    <w:rsid w:val="007E33B1"/>
    <w:rsid w:val="007E675E"/>
    <w:rsid w:val="007F0DC6"/>
    <w:rsid w:val="007F2469"/>
    <w:rsid w:val="007F2603"/>
    <w:rsid w:val="007F2E08"/>
    <w:rsid w:val="007F4CFF"/>
    <w:rsid w:val="007F4FA1"/>
    <w:rsid w:val="00800765"/>
    <w:rsid w:val="00801190"/>
    <w:rsid w:val="008020DD"/>
    <w:rsid w:val="0080627A"/>
    <w:rsid w:val="00806D7E"/>
    <w:rsid w:val="00807047"/>
    <w:rsid w:val="0080735F"/>
    <w:rsid w:val="008077C4"/>
    <w:rsid w:val="0080791F"/>
    <w:rsid w:val="00810065"/>
    <w:rsid w:val="008106AB"/>
    <w:rsid w:val="00811D21"/>
    <w:rsid w:val="008132C5"/>
    <w:rsid w:val="00820AE0"/>
    <w:rsid w:val="008215C6"/>
    <w:rsid w:val="008248DE"/>
    <w:rsid w:val="0082574A"/>
    <w:rsid w:val="00825AD0"/>
    <w:rsid w:val="0083085C"/>
    <w:rsid w:val="00840483"/>
    <w:rsid w:val="008432B2"/>
    <w:rsid w:val="008445B8"/>
    <w:rsid w:val="00851821"/>
    <w:rsid w:val="00852024"/>
    <w:rsid w:val="00853871"/>
    <w:rsid w:val="008538BF"/>
    <w:rsid w:val="00865C90"/>
    <w:rsid w:val="00866C3C"/>
    <w:rsid w:val="00872C2C"/>
    <w:rsid w:val="0087542B"/>
    <w:rsid w:val="0087562B"/>
    <w:rsid w:val="00875AC2"/>
    <w:rsid w:val="008854E2"/>
    <w:rsid w:val="008861ED"/>
    <w:rsid w:val="008874EC"/>
    <w:rsid w:val="0088757B"/>
    <w:rsid w:val="00887AFC"/>
    <w:rsid w:val="00893A3F"/>
    <w:rsid w:val="00894A24"/>
    <w:rsid w:val="00897E93"/>
    <w:rsid w:val="008A04A0"/>
    <w:rsid w:val="008A42A6"/>
    <w:rsid w:val="008A4613"/>
    <w:rsid w:val="008A5486"/>
    <w:rsid w:val="008B0C77"/>
    <w:rsid w:val="008B14E8"/>
    <w:rsid w:val="008B5197"/>
    <w:rsid w:val="008C0DD3"/>
    <w:rsid w:val="008C4258"/>
    <w:rsid w:val="008C47A7"/>
    <w:rsid w:val="008C4C10"/>
    <w:rsid w:val="008D0231"/>
    <w:rsid w:val="008D6D00"/>
    <w:rsid w:val="008D6D23"/>
    <w:rsid w:val="008E111C"/>
    <w:rsid w:val="008E7491"/>
    <w:rsid w:val="008F4C05"/>
    <w:rsid w:val="008F60DD"/>
    <w:rsid w:val="008F6DE1"/>
    <w:rsid w:val="0090160E"/>
    <w:rsid w:val="009130C0"/>
    <w:rsid w:val="009161FC"/>
    <w:rsid w:val="009172ED"/>
    <w:rsid w:val="00920723"/>
    <w:rsid w:val="009216ED"/>
    <w:rsid w:val="009261DC"/>
    <w:rsid w:val="009277BA"/>
    <w:rsid w:val="00930102"/>
    <w:rsid w:val="009301AD"/>
    <w:rsid w:val="009311A1"/>
    <w:rsid w:val="00934781"/>
    <w:rsid w:val="00935483"/>
    <w:rsid w:val="0094076A"/>
    <w:rsid w:val="00941A85"/>
    <w:rsid w:val="009424D0"/>
    <w:rsid w:val="00944DC3"/>
    <w:rsid w:val="009474F4"/>
    <w:rsid w:val="00950C0F"/>
    <w:rsid w:val="00950C2C"/>
    <w:rsid w:val="009512E4"/>
    <w:rsid w:val="0095172E"/>
    <w:rsid w:val="00952517"/>
    <w:rsid w:val="009525E5"/>
    <w:rsid w:val="00952B75"/>
    <w:rsid w:val="009578DB"/>
    <w:rsid w:val="0096015D"/>
    <w:rsid w:val="00960AEA"/>
    <w:rsid w:val="00961BB9"/>
    <w:rsid w:val="009624F8"/>
    <w:rsid w:val="009626AC"/>
    <w:rsid w:val="00962BE0"/>
    <w:rsid w:val="00970EDB"/>
    <w:rsid w:val="009715C0"/>
    <w:rsid w:val="00975033"/>
    <w:rsid w:val="00976446"/>
    <w:rsid w:val="009840B1"/>
    <w:rsid w:val="00985E9C"/>
    <w:rsid w:val="00987E4B"/>
    <w:rsid w:val="00991F13"/>
    <w:rsid w:val="00992169"/>
    <w:rsid w:val="00996E36"/>
    <w:rsid w:val="009A4275"/>
    <w:rsid w:val="009B4D54"/>
    <w:rsid w:val="009B6DB6"/>
    <w:rsid w:val="009C47A0"/>
    <w:rsid w:val="009C6658"/>
    <w:rsid w:val="009C7C14"/>
    <w:rsid w:val="009D30E7"/>
    <w:rsid w:val="009D310D"/>
    <w:rsid w:val="009D394E"/>
    <w:rsid w:val="009D5065"/>
    <w:rsid w:val="009E0382"/>
    <w:rsid w:val="009E05F4"/>
    <w:rsid w:val="009E43BE"/>
    <w:rsid w:val="009E4460"/>
    <w:rsid w:val="009E4AA5"/>
    <w:rsid w:val="009F1E3A"/>
    <w:rsid w:val="009F4C00"/>
    <w:rsid w:val="009F5A35"/>
    <w:rsid w:val="00A020E4"/>
    <w:rsid w:val="00A0247D"/>
    <w:rsid w:val="00A06591"/>
    <w:rsid w:val="00A0665F"/>
    <w:rsid w:val="00A0712D"/>
    <w:rsid w:val="00A1109D"/>
    <w:rsid w:val="00A118D3"/>
    <w:rsid w:val="00A149DB"/>
    <w:rsid w:val="00A15B66"/>
    <w:rsid w:val="00A2031C"/>
    <w:rsid w:val="00A22D64"/>
    <w:rsid w:val="00A275BE"/>
    <w:rsid w:val="00A3057E"/>
    <w:rsid w:val="00A32546"/>
    <w:rsid w:val="00A32D27"/>
    <w:rsid w:val="00A34EAB"/>
    <w:rsid w:val="00A351BA"/>
    <w:rsid w:val="00A40877"/>
    <w:rsid w:val="00A417E2"/>
    <w:rsid w:val="00A508BD"/>
    <w:rsid w:val="00A51EA5"/>
    <w:rsid w:val="00A52EA5"/>
    <w:rsid w:val="00A554F5"/>
    <w:rsid w:val="00A57406"/>
    <w:rsid w:val="00A60639"/>
    <w:rsid w:val="00A61271"/>
    <w:rsid w:val="00A66965"/>
    <w:rsid w:val="00A66AD4"/>
    <w:rsid w:val="00A704FC"/>
    <w:rsid w:val="00A710E3"/>
    <w:rsid w:val="00A7271F"/>
    <w:rsid w:val="00A801C2"/>
    <w:rsid w:val="00A85754"/>
    <w:rsid w:val="00A878EC"/>
    <w:rsid w:val="00A939D0"/>
    <w:rsid w:val="00A95AF0"/>
    <w:rsid w:val="00AA0629"/>
    <w:rsid w:val="00AA19B5"/>
    <w:rsid w:val="00AA7FEC"/>
    <w:rsid w:val="00AB6C17"/>
    <w:rsid w:val="00AB7A73"/>
    <w:rsid w:val="00AC041E"/>
    <w:rsid w:val="00AC0CC2"/>
    <w:rsid w:val="00AC5BD0"/>
    <w:rsid w:val="00AC7542"/>
    <w:rsid w:val="00AD13B8"/>
    <w:rsid w:val="00AD3177"/>
    <w:rsid w:val="00AD4F1A"/>
    <w:rsid w:val="00AE283B"/>
    <w:rsid w:val="00AE3A0D"/>
    <w:rsid w:val="00AE6266"/>
    <w:rsid w:val="00AE6D5F"/>
    <w:rsid w:val="00AF1EFD"/>
    <w:rsid w:val="00AF263E"/>
    <w:rsid w:val="00AF2C6A"/>
    <w:rsid w:val="00AF3388"/>
    <w:rsid w:val="00AF4C18"/>
    <w:rsid w:val="00B03795"/>
    <w:rsid w:val="00B05F1F"/>
    <w:rsid w:val="00B06703"/>
    <w:rsid w:val="00B11CB0"/>
    <w:rsid w:val="00B13363"/>
    <w:rsid w:val="00B16094"/>
    <w:rsid w:val="00B27EA9"/>
    <w:rsid w:val="00B37EE5"/>
    <w:rsid w:val="00B40740"/>
    <w:rsid w:val="00B417F2"/>
    <w:rsid w:val="00B43356"/>
    <w:rsid w:val="00B45896"/>
    <w:rsid w:val="00B459B6"/>
    <w:rsid w:val="00B504F0"/>
    <w:rsid w:val="00B5260F"/>
    <w:rsid w:val="00B52EF2"/>
    <w:rsid w:val="00B56182"/>
    <w:rsid w:val="00B5683B"/>
    <w:rsid w:val="00B60E74"/>
    <w:rsid w:val="00B62075"/>
    <w:rsid w:val="00B67B8F"/>
    <w:rsid w:val="00B739C1"/>
    <w:rsid w:val="00B7510A"/>
    <w:rsid w:val="00B76C6E"/>
    <w:rsid w:val="00B902CA"/>
    <w:rsid w:val="00B93209"/>
    <w:rsid w:val="00B96112"/>
    <w:rsid w:val="00BA3247"/>
    <w:rsid w:val="00BA48B4"/>
    <w:rsid w:val="00BA554F"/>
    <w:rsid w:val="00BB000B"/>
    <w:rsid w:val="00BB3A4F"/>
    <w:rsid w:val="00BB3C35"/>
    <w:rsid w:val="00BC3683"/>
    <w:rsid w:val="00BC5F13"/>
    <w:rsid w:val="00BD3E0F"/>
    <w:rsid w:val="00BD5633"/>
    <w:rsid w:val="00BF1582"/>
    <w:rsid w:val="00BF4006"/>
    <w:rsid w:val="00BF5234"/>
    <w:rsid w:val="00BF5A5D"/>
    <w:rsid w:val="00BF6F4E"/>
    <w:rsid w:val="00C007E6"/>
    <w:rsid w:val="00C059D9"/>
    <w:rsid w:val="00C12434"/>
    <w:rsid w:val="00C13263"/>
    <w:rsid w:val="00C15D3D"/>
    <w:rsid w:val="00C208CA"/>
    <w:rsid w:val="00C20977"/>
    <w:rsid w:val="00C345FA"/>
    <w:rsid w:val="00C368FF"/>
    <w:rsid w:val="00C40F55"/>
    <w:rsid w:val="00C413FC"/>
    <w:rsid w:val="00C471AD"/>
    <w:rsid w:val="00C50C6D"/>
    <w:rsid w:val="00C51751"/>
    <w:rsid w:val="00C5474B"/>
    <w:rsid w:val="00C64FB6"/>
    <w:rsid w:val="00C67A62"/>
    <w:rsid w:val="00C67F22"/>
    <w:rsid w:val="00C7339B"/>
    <w:rsid w:val="00C750E5"/>
    <w:rsid w:val="00C76277"/>
    <w:rsid w:val="00C77373"/>
    <w:rsid w:val="00C77F40"/>
    <w:rsid w:val="00C83A3F"/>
    <w:rsid w:val="00C86510"/>
    <w:rsid w:val="00C910A1"/>
    <w:rsid w:val="00C92F4B"/>
    <w:rsid w:val="00C93F30"/>
    <w:rsid w:val="00C9587A"/>
    <w:rsid w:val="00C95FF7"/>
    <w:rsid w:val="00CA1022"/>
    <w:rsid w:val="00CA20EC"/>
    <w:rsid w:val="00CA308B"/>
    <w:rsid w:val="00CA4BD9"/>
    <w:rsid w:val="00CA5FC1"/>
    <w:rsid w:val="00CA64E0"/>
    <w:rsid w:val="00CB03A7"/>
    <w:rsid w:val="00CB7B9A"/>
    <w:rsid w:val="00CC192F"/>
    <w:rsid w:val="00CC1E99"/>
    <w:rsid w:val="00CC3C61"/>
    <w:rsid w:val="00CD16B1"/>
    <w:rsid w:val="00CD4676"/>
    <w:rsid w:val="00CE11E3"/>
    <w:rsid w:val="00CE31E8"/>
    <w:rsid w:val="00CE438C"/>
    <w:rsid w:val="00CE5384"/>
    <w:rsid w:val="00CE5DE0"/>
    <w:rsid w:val="00CE742E"/>
    <w:rsid w:val="00CF3AE7"/>
    <w:rsid w:val="00CF55A7"/>
    <w:rsid w:val="00D006B0"/>
    <w:rsid w:val="00D0120A"/>
    <w:rsid w:val="00D01C75"/>
    <w:rsid w:val="00D129CF"/>
    <w:rsid w:val="00D149B5"/>
    <w:rsid w:val="00D2291D"/>
    <w:rsid w:val="00D2305B"/>
    <w:rsid w:val="00D25F44"/>
    <w:rsid w:val="00D26F86"/>
    <w:rsid w:val="00D35A48"/>
    <w:rsid w:val="00D374B6"/>
    <w:rsid w:val="00D41160"/>
    <w:rsid w:val="00D441D5"/>
    <w:rsid w:val="00D479B5"/>
    <w:rsid w:val="00D5009C"/>
    <w:rsid w:val="00D504A9"/>
    <w:rsid w:val="00D5260C"/>
    <w:rsid w:val="00D646CC"/>
    <w:rsid w:val="00D669BC"/>
    <w:rsid w:val="00D715C4"/>
    <w:rsid w:val="00D7207F"/>
    <w:rsid w:val="00D73FCC"/>
    <w:rsid w:val="00D755DB"/>
    <w:rsid w:val="00D764E9"/>
    <w:rsid w:val="00D80903"/>
    <w:rsid w:val="00D81032"/>
    <w:rsid w:val="00D842A9"/>
    <w:rsid w:val="00DA0278"/>
    <w:rsid w:val="00DA4508"/>
    <w:rsid w:val="00DA4EC2"/>
    <w:rsid w:val="00DB19E7"/>
    <w:rsid w:val="00DB31F8"/>
    <w:rsid w:val="00DB6617"/>
    <w:rsid w:val="00DB6921"/>
    <w:rsid w:val="00DC04CC"/>
    <w:rsid w:val="00DD2D6E"/>
    <w:rsid w:val="00DD3DBF"/>
    <w:rsid w:val="00DD5F51"/>
    <w:rsid w:val="00DD63D4"/>
    <w:rsid w:val="00DD6D8E"/>
    <w:rsid w:val="00DD7EA5"/>
    <w:rsid w:val="00DE2E63"/>
    <w:rsid w:val="00DE4F9D"/>
    <w:rsid w:val="00DE7F1A"/>
    <w:rsid w:val="00DF186E"/>
    <w:rsid w:val="00DF2530"/>
    <w:rsid w:val="00DF6206"/>
    <w:rsid w:val="00DF79D7"/>
    <w:rsid w:val="00E00E02"/>
    <w:rsid w:val="00E04954"/>
    <w:rsid w:val="00E04F42"/>
    <w:rsid w:val="00E07CA3"/>
    <w:rsid w:val="00E12EAB"/>
    <w:rsid w:val="00E15C94"/>
    <w:rsid w:val="00E15DC9"/>
    <w:rsid w:val="00E2014B"/>
    <w:rsid w:val="00E23622"/>
    <w:rsid w:val="00E26112"/>
    <w:rsid w:val="00E30131"/>
    <w:rsid w:val="00E36969"/>
    <w:rsid w:val="00E37639"/>
    <w:rsid w:val="00E411D2"/>
    <w:rsid w:val="00E42971"/>
    <w:rsid w:val="00E473B7"/>
    <w:rsid w:val="00E506C6"/>
    <w:rsid w:val="00E51AB8"/>
    <w:rsid w:val="00E623DB"/>
    <w:rsid w:val="00E634C7"/>
    <w:rsid w:val="00E65999"/>
    <w:rsid w:val="00E7288B"/>
    <w:rsid w:val="00E803DF"/>
    <w:rsid w:val="00E80DEC"/>
    <w:rsid w:val="00E81A1F"/>
    <w:rsid w:val="00E82872"/>
    <w:rsid w:val="00E82F8A"/>
    <w:rsid w:val="00E83669"/>
    <w:rsid w:val="00E8373D"/>
    <w:rsid w:val="00E8597E"/>
    <w:rsid w:val="00E8704F"/>
    <w:rsid w:val="00E941EF"/>
    <w:rsid w:val="00E9456E"/>
    <w:rsid w:val="00EA0164"/>
    <w:rsid w:val="00EA3670"/>
    <w:rsid w:val="00EA6CCD"/>
    <w:rsid w:val="00EA6F11"/>
    <w:rsid w:val="00EA704C"/>
    <w:rsid w:val="00EA7228"/>
    <w:rsid w:val="00EA7AC6"/>
    <w:rsid w:val="00EB1060"/>
    <w:rsid w:val="00EB2EFB"/>
    <w:rsid w:val="00EB5EE0"/>
    <w:rsid w:val="00EC0ADB"/>
    <w:rsid w:val="00EC76B8"/>
    <w:rsid w:val="00ED2897"/>
    <w:rsid w:val="00ED537D"/>
    <w:rsid w:val="00ED5CE2"/>
    <w:rsid w:val="00ED7273"/>
    <w:rsid w:val="00EE3222"/>
    <w:rsid w:val="00EE3524"/>
    <w:rsid w:val="00EE738B"/>
    <w:rsid w:val="00EE7E12"/>
    <w:rsid w:val="00EF13FF"/>
    <w:rsid w:val="00EF1A9E"/>
    <w:rsid w:val="00EF7382"/>
    <w:rsid w:val="00F0241C"/>
    <w:rsid w:val="00F052F3"/>
    <w:rsid w:val="00F078E3"/>
    <w:rsid w:val="00F15DBC"/>
    <w:rsid w:val="00F213FF"/>
    <w:rsid w:val="00F21C90"/>
    <w:rsid w:val="00F23FAE"/>
    <w:rsid w:val="00F24E3D"/>
    <w:rsid w:val="00F2523C"/>
    <w:rsid w:val="00F2596A"/>
    <w:rsid w:val="00F2680B"/>
    <w:rsid w:val="00F26B33"/>
    <w:rsid w:val="00F31739"/>
    <w:rsid w:val="00F329B0"/>
    <w:rsid w:val="00F32F4F"/>
    <w:rsid w:val="00F35322"/>
    <w:rsid w:val="00F371FB"/>
    <w:rsid w:val="00F37AE3"/>
    <w:rsid w:val="00F40BAE"/>
    <w:rsid w:val="00F411C3"/>
    <w:rsid w:val="00F43158"/>
    <w:rsid w:val="00F4362A"/>
    <w:rsid w:val="00F50AC5"/>
    <w:rsid w:val="00F54EA7"/>
    <w:rsid w:val="00F56FED"/>
    <w:rsid w:val="00F64995"/>
    <w:rsid w:val="00F728D5"/>
    <w:rsid w:val="00F732BD"/>
    <w:rsid w:val="00F754CD"/>
    <w:rsid w:val="00F80800"/>
    <w:rsid w:val="00F81383"/>
    <w:rsid w:val="00F82814"/>
    <w:rsid w:val="00F84393"/>
    <w:rsid w:val="00F94CF5"/>
    <w:rsid w:val="00F95B76"/>
    <w:rsid w:val="00F96657"/>
    <w:rsid w:val="00F977C7"/>
    <w:rsid w:val="00FA2D3D"/>
    <w:rsid w:val="00FA456F"/>
    <w:rsid w:val="00FA5D67"/>
    <w:rsid w:val="00FA6D20"/>
    <w:rsid w:val="00FB35D3"/>
    <w:rsid w:val="00FB3FA6"/>
    <w:rsid w:val="00FB5411"/>
    <w:rsid w:val="00FB57DE"/>
    <w:rsid w:val="00FB72FB"/>
    <w:rsid w:val="00FC465A"/>
    <w:rsid w:val="00FC7455"/>
    <w:rsid w:val="00FC764A"/>
    <w:rsid w:val="00FD22B3"/>
    <w:rsid w:val="00FD3F18"/>
    <w:rsid w:val="00FD6022"/>
    <w:rsid w:val="00FE0065"/>
    <w:rsid w:val="00FE7933"/>
    <w:rsid w:val="00FF19A2"/>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4062AF63-5979-40DF-993C-49C431AD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 w:type="character" w:customStyle="1" w:styleId="apple-converted-space">
    <w:name w:val="apple-converted-space"/>
    <w:basedOn w:val="Fuentedeprrafopredeter"/>
    <w:rsid w:val="00262C90"/>
  </w:style>
  <w:style w:type="character" w:customStyle="1" w:styleId="corte4fondoCar3">
    <w:name w:val="corte4 fondo Car3"/>
    <w:link w:val="corte4fondo"/>
    <w:locked/>
    <w:rsid w:val="000904F7"/>
    <w:rPr>
      <w:rFonts w:ascii="Arial" w:hAnsi="Arial" w:cs="Arial"/>
      <w:sz w:val="30"/>
      <w:szCs w:val="30"/>
      <w:lang w:val="es-ES_tradnl"/>
    </w:rPr>
  </w:style>
  <w:style w:type="paragraph" w:customStyle="1" w:styleId="corte4fondo">
    <w:name w:val="corte4 fondo"/>
    <w:basedOn w:val="Normal"/>
    <w:link w:val="corte4fondoCar3"/>
    <w:qFormat/>
    <w:rsid w:val="000904F7"/>
    <w:pPr>
      <w:spacing w:line="360" w:lineRule="auto"/>
      <w:ind w:firstLine="709"/>
      <w:jc w:val="both"/>
    </w:pPr>
    <w:rPr>
      <w:rFonts w:ascii="Arial" w:hAnsi="Arial" w:cs="Arial"/>
      <w:sz w:val="30"/>
      <w:szCs w:val="30"/>
      <w:lang w:val="es-ES_tradnl"/>
    </w:rPr>
  </w:style>
  <w:style w:type="table" w:styleId="Tablaconcuadrcula">
    <w:name w:val="Table Grid"/>
    <w:basedOn w:val="Tablanormal"/>
    <w:uiPriority w:val="39"/>
    <w:rsid w:val="0009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831916372">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
    <b:Tag>Pal81</b:Tag>
    <b:SourceType>BookSection</b:SourceType>
    <b:Guid>{A7A03D9A-9452-4FC8-9F85-C07BC8760B50}</b:Guid>
    <b:Author>
      <b:BookAuthor>
        <b:NameList>
          <b:Person>
            <b:Last>Palomar de Miguel</b:Last>
            <b:First>Juan</b:First>
          </b:Person>
        </b:NameList>
      </b:BookAuthor>
    </b:Author>
    <b:Title>Diccionario para Juristas</b:Title>
    <b:BookTitle>Diccionario para Juristas</b:BookTitle>
    <b:Year>1981</b:Year>
    <b:Pages>917</b:Pages>
    <b:City>Distrito Federal</b:City>
    <b:Publisher>Ediciones Mayo</b:Publisher>
    <b:RefOrder>1</b:RefOrder>
  </b:Source>
</b:Sources>
</file>

<file path=customXml/itemProps1.xml><?xml version="1.0" encoding="utf-8"?>
<ds:datastoreItem xmlns:ds="http://schemas.openxmlformats.org/officeDocument/2006/customXml" ds:itemID="{C3D58282-D4BC-48DD-AAEB-F2F8DEA1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154</cp:revision>
  <cp:lastPrinted>2019-03-15T15:44:00Z</cp:lastPrinted>
  <dcterms:created xsi:type="dcterms:W3CDTF">2019-02-14T17:00:00Z</dcterms:created>
  <dcterms:modified xsi:type="dcterms:W3CDTF">2019-04-08T20:39:00Z</dcterms:modified>
</cp:coreProperties>
</file>