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70AD4">
        <w:rPr>
          <w:rFonts w:ascii="Arial" w:hAnsi="Arial" w:cs="Arial"/>
          <w:b/>
          <w:sz w:val="26"/>
          <w:szCs w:val="26"/>
        </w:rPr>
        <w:t>7</w:t>
      </w:r>
      <w:r w:rsidR="003E2BBB">
        <w:rPr>
          <w:rFonts w:ascii="Arial" w:hAnsi="Arial" w:cs="Arial"/>
          <w:b/>
          <w:sz w:val="26"/>
          <w:szCs w:val="26"/>
        </w:rPr>
        <w:t>10</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70AD4">
        <w:rPr>
          <w:rFonts w:ascii="Arial" w:hAnsi="Arial" w:cs="Arial"/>
          <w:b/>
          <w:sz w:val="26"/>
          <w:szCs w:val="26"/>
        </w:rPr>
        <w:t>39</w:t>
      </w:r>
      <w:r w:rsidR="003E2BBB">
        <w:rPr>
          <w:rFonts w:ascii="Arial" w:hAnsi="Arial" w:cs="Arial"/>
          <w:b/>
          <w:sz w:val="26"/>
          <w:szCs w:val="26"/>
        </w:rPr>
        <w:t>5</w:t>
      </w:r>
      <w:r>
        <w:rPr>
          <w:rFonts w:ascii="Arial" w:hAnsi="Arial" w:cs="Arial"/>
          <w:b/>
          <w:sz w:val="26"/>
          <w:szCs w:val="26"/>
        </w:rPr>
        <w:t>/</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b/>
          <w:sz w:val="26"/>
          <w:szCs w:val="26"/>
        </w:rPr>
        <w:t xml:space="preserve"> </w:t>
      </w:r>
      <w:r w:rsidR="00C70AD4">
        <w:rPr>
          <w:rFonts w:ascii="Arial" w:hAnsi="Arial" w:cs="Arial"/>
          <w:b/>
          <w:sz w:val="26"/>
          <w:szCs w:val="26"/>
        </w:rPr>
        <w:t xml:space="preserve">QUINTA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6B7F56"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E21610">
        <w:rPr>
          <w:rFonts w:ascii="Arial" w:hAnsi="Arial" w:cs="Arial"/>
          <w:b/>
          <w:sz w:val="26"/>
          <w:szCs w:val="26"/>
        </w:rPr>
        <w:t>SIETE</w:t>
      </w:r>
      <w:r w:rsidR="00B53176">
        <w:rPr>
          <w:rFonts w:ascii="Arial" w:hAnsi="Arial" w:cs="Arial"/>
          <w:b/>
          <w:sz w:val="26"/>
          <w:szCs w:val="26"/>
        </w:rPr>
        <w:t xml:space="preserve"> </w:t>
      </w:r>
      <w:r w:rsidR="00776E5E">
        <w:rPr>
          <w:rFonts w:ascii="Arial" w:hAnsi="Arial" w:cs="Arial"/>
          <w:b/>
          <w:sz w:val="26"/>
          <w:szCs w:val="26"/>
        </w:rPr>
        <w:t xml:space="preserve">DE </w:t>
      </w:r>
      <w:r w:rsidR="00E21610">
        <w:rPr>
          <w:rFonts w:ascii="Arial" w:hAnsi="Arial" w:cs="Arial"/>
          <w:b/>
          <w:sz w:val="26"/>
          <w:szCs w:val="26"/>
        </w:rPr>
        <w:t>JUNIO</w:t>
      </w:r>
      <w:r w:rsidR="00776E5E">
        <w:rPr>
          <w:rFonts w:ascii="Arial" w:hAnsi="Arial" w:cs="Arial"/>
          <w:b/>
          <w:sz w:val="26"/>
          <w:szCs w:val="26"/>
        </w:rPr>
        <w:t xml:space="preserve"> </w:t>
      </w:r>
      <w:r w:rsidR="00E103C8">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Pr>
          <w:rFonts w:ascii="Arial" w:hAnsi="Arial" w:cs="Arial"/>
          <w:b/>
          <w:sz w:val="26"/>
          <w:szCs w:val="26"/>
        </w:rPr>
        <w:t>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E2BBB">
        <w:rPr>
          <w:rFonts w:ascii="Arial" w:hAnsi="Arial" w:cs="Arial"/>
          <w:b/>
          <w:sz w:val="26"/>
          <w:szCs w:val="26"/>
        </w:rPr>
        <w:t>710</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w:t>
      </w:r>
      <w:r w:rsidR="003E2BBB">
        <w:rPr>
          <w:rFonts w:ascii="Arial" w:hAnsi="Arial" w:cs="Arial"/>
          <w:sz w:val="26"/>
          <w:szCs w:val="26"/>
        </w:rPr>
        <w:t xml:space="preserve"> cinco de septiembre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C70AD4">
        <w:rPr>
          <w:rFonts w:ascii="Arial" w:hAnsi="Arial" w:cs="Arial"/>
          <w:b/>
          <w:sz w:val="26"/>
          <w:szCs w:val="26"/>
        </w:rPr>
        <w:t>39</w:t>
      </w:r>
      <w:r w:rsidR="003E2BBB">
        <w:rPr>
          <w:rFonts w:ascii="Arial" w:hAnsi="Arial" w:cs="Arial"/>
          <w:b/>
          <w:sz w:val="26"/>
          <w:szCs w:val="26"/>
        </w:rPr>
        <w:t>5</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sz w:val="26"/>
          <w:szCs w:val="26"/>
        </w:rPr>
        <w:t xml:space="preserve"> de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33755E">
        <w:rPr>
          <w:rFonts w:ascii="Arial" w:eastAsia="Times New Roman" w:hAnsi="Arial" w:cs="Arial"/>
          <w:bCs/>
          <w:i/>
          <w:iCs/>
          <w:sz w:val="24"/>
          <w:szCs w:val="24"/>
          <w:lang w:eastAsia="es-ES"/>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C70AD4">
        <w:rPr>
          <w:rFonts w:ascii="Arial" w:hAnsi="Arial" w:cs="Arial"/>
          <w:sz w:val="26"/>
          <w:szCs w:val="26"/>
        </w:rPr>
        <w:t xml:space="preserve"> </w:t>
      </w:r>
      <w:r w:rsidRPr="00CB6405">
        <w:rPr>
          <w:rFonts w:ascii="Arial" w:hAnsi="Arial" w:cs="Arial"/>
          <w:sz w:val="26"/>
          <w:szCs w:val="26"/>
        </w:rPr>
        <w:t>l</w:t>
      </w:r>
      <w:r w:rsidR="00C70AD4">
        <w:rPr>
          <w:rFonts w:ascii="Arial" w:hAnsi="Arial" w:cs="Arial"/>
          <w:sz w:val="26"/>
          <w:szCs w:val="26"/>
        </w:rPr>
        <w:t>a</w:t>
      </w:r>
      <w:r w:rsidRPr="00CB6405">
        <w:rPr>
          <w:rFonts w:ascii="Arial" w:hAnsi="Arial" w:cs="Arial"/>
          <w:sz w:val="26"/>
          <w:szCs w:val="26"/>
        </w:rPr>
        <w:t xml:space="preserve"> </w:t>
      </w:r>
      <w:r w:rsidR="00C70AD4">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B3BEA">
        <w:rPr>
          <w:rFonts w:ascii="Arial" w:hAnsi="Arial" w:cs="Arial"/>
          <w:bCs/>
          <w:iCs/>
          <w:sz w:val="26"/>
          <w:szCs w:val="26"/>
        </w:rPr>
        <w:t xml:space="preserve">vigente </w:t>
      </w:r>
      <w:r w:rsidR="006317CE">
        <w:rPr>
          <w:rFonts w:ascii="Arial" w:hAnsi="Arial" w:cs="Arial"/>
          <w:bCs/>
          <w:iCs/>
          <w:sz w:val="26"/>
          <w:szCs w:val="26"/>
        </w:rPr>
        <w:t>hasta el</w:t>
      </w:r>
      <w:r w:rsidR="006B3BEA">
        <w:rPr>
          <w:rFonts w:ascii="Arial" w:hAnsi="Arial" w:cs="Arial"/>
          <w:bCs/>
          <w:iCs/>
          <w:sz w:val="26"/>
          <w:szCs w:val="26"/>
        </w:rPr>
        <w:t xml:space="preserve"> 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E2BBB">
        <w:rPr>
          <w:rFonts w:ascii="Arial" w:hAnsi="Arial" w:cs="Arial"/>
          <w:sz w:val="26"/>
          <w:szCs w:val="26"/>
        </w:rPr>
        <w:t xml:space="preserve"> cinco de septiembre </w:t>
      </w:r>
      <w:r w:rsidR="00C70AD4">
        <w:rPr>
          <w:rFonts w:ascii="Arial" w:hAnsi="Arial" w:cs="Arial"/>
          <w:sz w:val="26"/>
          <w:szCs w:val="26"/>
        </w:rPr>
        <w:t xml:space="preserve">de </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w:t>
      </w:r>
      <w:r w:rsidR="00C70AD4">
        <w:rPr>
          <w:rFonts w:ascii="Arial" w:hAnsi="Arial" w:cs="Arial"/>
          <w:sz w:val="26"/>
          <w:szCs w:val="26"/>
        </w:rPr>
        <w:t xml:space="preserve">la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C70AD4">
        <w:rPr>
          <w:rFonts w:ascii="Arial" w:eastAsia="Times New Roman" w:hAnsi="Arial" w:cs="Arial"/>
          <w:bCs/>
          <w:i/>
          <w:iCs/>
          <w:sz w:val="24"/>
          <w:szCs w:val="24"/>
          <w:lang w:eastAsia="es-ES"/>
        </w:rPr>
        <w:t xml:space="preserve">Quinta </w:t>
      </w:r>
      <w:r w:rsidR="00B53176">
        <w:rPr>
          <w:rFonts w:ascii="Arial" w:eastAsia="Times New Roman" w:hAnsi="Arial" w:cs="Arial"/>
          <w:bCs/>
          <w:i/>
          <w:iCs/>
          <w:sz w:val="24"/>
          <w:szCs w:val="24"/>
          <w:lang w:eastAsia="es-ES"/>
        </w:rPr>
        <w:t xml:space="preserve">Sala </w:t>
      </w:r>
      <w:r w:rsidR="00C70AD4">
        <w:rPr>
          <w:rFonts w:ascii="Arial" w:eastAsia="Times New Roman" w:hAnsi="Arial" w:cs="Arial"/>
          <w:bCs/>
          <w:i/>
          <w:iCs/>
          <w:sz w:val="24"/>
          <w:szCs w:val="24"/>
          <w:lang w:eastAsia="es-ES"/>
        </w:rPr>
        <w:t xml:space="preserve">Unitaria </w:t>
      </w:r>
      <w:r w:rsidR="00B53176">
        <w:rPr>
          <w:rFonts w:ascii="Arial" w:eastAsia="Times New Roman" w:hAnsi="Arial" w:cs="Arial"/>
          <w:bCs/>
          <w:i/>
          <w:iCs/>
          <w:sz w:val="24"/>
          <w:szCs w:val="24"/>
          <w:lang w:eastAsia="es-ES"/>
        </w:rPr>
        <w:t>de Primera Instancia del Tribunal de lo Contencioso Administrativo y de Cuentas del Poder Judicial del Estado</w:t>
      </w:r>
      <w:r w:rsidR="00C70AD4">
        <w:rPr>
          <w:rFonts w:ascii="Arial" w:eastAsia="Times New Roman" w:hAnsi="Arial" w:cs="Arial"/>
          <w:bCs/>
          <w:i/>
          <w:iCs/>
          <w:sz w:val="24"/>
          <w:szCs w:val="24"/>
          <w:lang w:eastAsia="es-ES"/>
        </w:rPr>
        <w:t xml:space="preserve"> de Oaxaca</w:t>
      </w:r>
      <w:r w:rsidR="00B53176">
        <w:rPr>
          <w:rFonts w:ascii="Arial" w:eastAsia="Times New Roman" w:hAnsi="Arial" w:cs="Arial"/>
          <w:bCs/>
          <w:i/>
          <w:iCs/>
          <w:sz w:val="24"/>
          <w:szCs w:val="24"/>
          <w:lang w:eastAsia="es-ES"/>
        </w:rPr>
        <w:t xml:space="preserve"> es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del presente </w:t>
      </w:r>
      <w:r w:rsidR="00C70AD4">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SEGUNDO.</w:t>
      </w:r>
      <w:r w:rsidR="00C70AD4">
        <w:rPr>
          <w:rFonts w:ascii="Arial" w:eastAsia="Times New Roman" w:hAnsi="Arial" w:cs="Arial"/>
          <w:b/>
          <w:bCs/>
          <w:i/>
          <w:iCs/>
          <w:sz w:val="24"/>
          <w:szCs w:val="24"/>
          <w:lang w:eastAsia="es-ES"/>
        </w:rPr>
        <w:t>-</w:t>
      </w:r>
      <w:r w:rsidR="00151D48" w:rsidRPr="00C06661">
        <w:rPr>
          <w:rFonts w:ascii="Arial" w:eastAsia="Times New Roman" w:hAnsi="Arial" w:cs="Arial"/>
          <w:b/>
          <w:bCs/>
          <w:i/>
          <w:iCs/>
          <w:sz w:val="24"/>
          <w:szCs w:val="24"/>
          <w:lang w:eastAsia="es-ES"/>
        </w:rPr>
        <w:t xml:space="preserve"> </w:t>
      </w:r>
      <w:r w:rsidR="00C70AD4">
        <w:rPr>
          <w:rFonts w:ascii="Arial" w:eastAsia="Times New Roman" w:hAnsi="Arial" w:cs="Arial"/>
          <w:bCs/>
          <w:i/>
          <w:iCs/>
          <w:sz w:val="24"/>
          <w:szCs w:val="24"/>
          <w:lang w:eastAsia="es-ES"/>
        </w:rPr>
        <w:t xml:space="preserve">La personalidad de las partes quedó acreditada </w:t>
      </w:r>
      <w:r w:rsidR="00C70AD4">
        <w:rPr>
          <w:rFonts w:ascii="Arial" w:eastAsia="Times New Roman" w:hAnsi="Arial" w:cs="Arial"/>
          <w:bCs/>
          <w:i/>
          <w:iCs/>
          <w:sz w:val="24"/>
          <w:szCs w:val="24"/>
          <w:lang w:eastAsia="es-ES"/>
        </w:rPr>
        <w:lastRenderedPageBreak/>
        <w:t>en autos.- - - - - - - - - - - - - - - - - - - - - - - - - - - - - - - - - - - - - -</w:t>
      </w:r>
      <w:r w:rsidR="00C70AD4">
        <w:rPr>
          <w:rFonts w:ascii="Arial" w:eastAsia="Times New Roman" w:hAnsi="Arial" w:cs="Arial"/>
          <w:b/>
          <w:bCs/>
          <w:i/>
          <w:iCs/>
          <w:sz w:val="24"/>
          <w:szCs w:val="24"/>
          <w:lang w:eastAsia="es-ES"/>
        </w:rPr>
        <w:t xml:space="preserve">TERCERO.- </w:t>
      </w:r>
      <w:r w:rsidR="00C70AD4">
        <w:rPr>
          <w:rFonts w:ascii="Arial" w:eastAsia="Times New Roman" w:hAnsi="Arial" w:cs="Arial"/>
          <w:bCs/>
          <w:i/>
          <w:iCs/>
          <w:sz w:val="24"/>
          <w:szCs w:val="24"/>
          <w:lang w:eastAsia="es-ES"/>
        </w:rPr>
        <w:t>No</w:t>
      </w:r>
      <w:r w:rsidR="00B53176">
        <w:rPr>
          <w:rFonts w:ascii="Arial" w:eastAsia="Times New Roman" w:hAnsi="Arial" w:cs="Arial"/>
          <w:bCs/>
          <w:i/>
          <w:iCs/>
          <w:sz w:val="24"/>
          <w:szCs w:val="24"/>
          <w:lang w:eastAsia="es-ES"/>
        </w:rPr>
        <w:t xml:space="preserve"> </w:t>
      </w:r>
      <w:r w:rsidR="00C70AD4">
        <w:rPr>
          <w:rFonts w:ascii="Arial" w:eastAsia="Times New Roman" w:hAnsi="Arial" w:cs="Arial"/>
          <w:bCs/>
          <w:i/>
          <w:iCs/>
          <w:sz w:val="24"/>
          <w:szCs w:val="24"/>
          <w:lang w:eastAsia="es-ES"/>
        </w:rPr>
        <w:t>sobresee el presente juicio por las razones esgrimidas en el considerando TERCERO de esta sentencia</w:t>
      </w:r>
      <w:r w:rsidR="00472E19" w:rsidRPr="00C06661">
        <w:rPr>
          <w:rFonts w:ascii="Arial" w:eastAsia="Times New Roman" w:hAnsi="Arial" w:cs="Arial"/>
          <w:bCs/>
          <w:i/>
          <w:iCs/>
          <w:sz w:val="24"/>
          <w:szCs w:val="24"/>
          <w:lang w:eastAsia="es-ES"/>
        </w:rPr>
        <w:t xml:space="preserve">.- </w:t>
      </w:r>
    </w:p>
    <w:p w:rsidR="006B52CD" w:rsidRPr="00C06661" w:rsidRDefault="00C70AD4" w:rsidP="00B216FE">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472E19"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CONFIGURÓ LA RESOLUCIÓN NEGATIVA FICTA </w:t>
      </w:r>
      <w:r>
        <w:rPr>
          <w:rFonts w:ascii="Arial" w:eastAsia="Times New Roman" w:hAnsi="Arial" w:cs="Arial"/>
          <w:bCs/>
          <w:i/>
          <w:iCs/>
          <w:sz w:val="24"/>
          <w:szCs w:val="24"/>
          <w:lang w:eastAsia="es-ES"/>
        </w:rPr>
        <w:t xml:space="preserve">cuya nulidad fue solicitada en términos del considerando Quinto de la presente sentencia.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sidRPr="00C70AD4">
        <w:rPr>
          <w:rFonts w:ascii="Arial" w:eastAsia="Times New Roman" w:hAnsi="Arial" w:cs="Arial"/>
          <w:b/>
          <w:bCs/>
          <w:i/>
          <w:iCs/>
          <w:sz w:val="24"/>
          <w:szCs w:val="24"/>
          <w:lang w:eastAsia="es-ES"/>
        </w:rPr>
        <w:t>DECLARA</w:t>
      </w:r>
      <w:r>
        <w:rPr>
          <w:rFonts w:ascii="Arial" w:eastAsia="Times New Roman" w:hAnsi="Arial" w:cs="Arial"/>
          <w:bCs/>
          <w:i/>
          <w:iCs/>
          <w:sz w:val="24"/>
          <w:szCs w:val="24"/>
          <w:lang w:eastAsia="es-ES"/>
        </w:rPr>
        <w:t xml:space="preserve"> </w:t>
      </w:r>
      <w:r w:rsidR="003E2B2E" w:rsidRPr="00C70AD4">
        <w:rPr>
          <w:rFonts w:ascii="Arial" w:eastAsia="Times New Roman" w:hAnsi="Arial" w:cs="Arial"/>
          <w:b/>
          <w:bCs/>
          <w:i/>
          <w:iCs/>
          <w:sz w:val="24"/>
          <w:szCs w:val="24"/>
          <w:lang w:eastAsia="es-ES"/>
        </w:rPr>
        <w:t>la NULIDAD</w:t>
      </w:r>
      <w:r>
        <w:rPr>
          <w:rFonts w:ascii="Arial" w:eastAsia="Times New Roman" w:hAnsi="Arial" w:cs="Arial"/>
          <w:b/>
          <w:bCs/>
          <w:i/>
          <w:iCs/>
          <w:sz w:val="24"/>
          <w:szCs w:val="24"/>
          <w:lang w:eastAsia="es-ES"/>
        </w:rPr>
        <w:t xml:space="preserve"> DE LA RESOLUCIÓN NEGATIVA FICTA, </w:t>
      </w:r>
      <w:r>
        <w:rPr>
          <w:rFonts w:ascii="Arial" w:eastAsia="Times New Roman" w:hAnsi="Arial" w:cs="Arial"/>
          <w:bCs/>
          <w:i/>
          <w:iCs/>
          <w:sz w:val="24"/>
          <w:szCs w:val="24"/>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ESTAOD DE OAXACA</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en los términos precisados en los CONSIDERANDO CUARTO Y QUINTO de la presente sentencia</w:t>
      </w:r>
      <w:r w:rsidR="00DC76BD">
        <w:rPr>
          <w:rFonts w:ascii="Arial" w:eastAsia="Times New Roman" w:hAnsi="Arial" w:cs="Arial"/>
          <w:bCs/>
          <w:i/>
          <w:iCs/>
          <w:sz w:val="24"/>
          <w:szCs w:val="24"/>
          <w:lang w:eastAsia="es-ES"/>
        </w:rPr>
        <w:t>.</w:t>
      </w:r>
      <w:r w:rsidR="00EA4997">
        <w:rPr>
          <w:rFonts w:ascii="Arial" w:eastAsia="Times New Roman" w:hAnsi="Arial" w:cs="Arial"/>
          <w:bCs/>
          <w:i/>
          <w:iCs/>
          <w:sz w:val="24"/>
          <w:szCs w:val="24"/>
          <w:lang w:eastAsia="es-ES"/>
        </w:rPr>
        <w:t xml:space="preserve">- - - - - - - - - - - - - </w:t>
      </w:r>
      <w:r w:rsidR="00C83BAB">
        <w:rPr>
          <w:rFonts w:ascii="Arial" w:eastAsia="Times New Roman" w:hAnsi="Arial" w:cs="Arial"/>
          <w:bCs/>
          <w:i/>
          <w:iCs/>
          <w:sz w:val="24"/>
          <w:szCs w:val="24"/>
          <w:lang w:eastAsia="es-ES"/>
        </w:rPr>
        <w:t>- - - - - - - - - - - - - - - - -  - - - - - - -</w:t>
      </w:r>
      <w:r w:rsidR="00C83BAB">
        <w:rPr>
          <w:rFonts w:ascii="Arial" w:eastAsia="Times New Roman" w:hAnsi="Arial" w:cs="Arial"/>
          <w:b/>
          <w:bCs/>
          <w:i/>
          <w:iCs/>
          <w:sz w:val="24"/>
          <w:szCs w:val="24"/>
          <w:lang w:eastAsia="es-ES"/>
        </w:rPr>
        <w:t>SEXTO</w:t>
      </w:r>
      <w:r w:rsidR="00EA4997">
        <w:rPr>
          <w:rFonts w:ascii="Arial" w:eastAsia="Times New Roman" w:hAnsi="Arial" w:cs="Arial"/>
          <w:b/>
          <w:bCs/>
          <w:i/>
          <w:iCs/>
          <w:sz w:val="24"/>
          <w:szCs w:val="24"/>
          <w:lang w:eastAsia="es-ES"/>
        </w:rPr>
        <w:t>.</w:t>
      </w:r>
      <w:r w:rsidR="00C83BAB">
        <w:rPr>
          <w:rFonts w:ascii="Arial" w:eastAsia="Times New Roman" w:hAnsi="Arial" w:cs="Arial"/>
          <w:b/>
          <w:bCs/>
          <w:i/>
          <w:iCs/>
          <w:sz w:val="24"/>
          <w:szCs w:val="24"/>
          <w:lang w:eastAsia="es-ES"/>
        </w:rPr>
        <w:t>-</w:t>
      </w:r>
      <w:r w:rsidR="00EA4997">
        <w:rPr>
          <w:rFonts w:ascii="Arial" w:eastAsia="Times New Roman" w:hAnsi="Arial" w:cs="Arial"/>
          <w:b/>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C83BAB" w:rsidRPr="00C83BAB">
        <w:rPr>
          <w:rFonts w:ascii="Arial" w:eastAsia="Times New Roman" w:hAnsi="Arial" w:cs="Arial"/>
          <w:bCs/>
          <w:i/>
          <w:iCs/>
          <w:sz w:val="24"/>
          <w:szCs w:val="24"/>
          <w:lang w:eastAsia="es-ES"/>
        </w:rPr>
        <w:t>personalmente al actor</w:t>
      </w:r>
      <w:r w:rsidR="00C83BAB">
        <w:rPr>
          <w:rFonts w:ascii="Arial" w:eastAsia="Times New Roman" w:hAnsi="Arial" w:cs="Arial"/>
          <w:bCs/>
          <w:i/>
          <w:iCs/>
          <w:sz w:val="24"/>
          <w:szCs w:val="24"/>
          <w:lang w:eastAsia="es-ES"/>
        </w:rPr>
        <w:t xml:space="preserve">, </w:t>
      </w:r>
      <w:r w:rsidR="00C83BAB" w:rsidRPr="00C83BAB">
        <w:rPr>
          <w:rFonts w:ascii="Arial" w:eastAsia="Times New Roman" w:hAnsi="Arial" w:cs="Arial"/>
          <w:bCs/>
          <w:i/>
          <w:iCs/>
          <w:sz w:val="24"/>
          <w:szCs w:val="24"/>
          <w:lang w:eastAsia="es-ES"/>
        </w:rPr>
        <w:t>por oficio a la autoridad demandada</w:t>
      </w:r>
      <w:r w:rsidR="00C83BAB">
        <w:rPr>
          <w:rFonts w:ascii="Arial" w:eastAsia="Times New Roman" w:hAnsi="Arial" w:cs="Arial"/>
          <w:bCs/>
          <w:i/>
          <w:iCs/>
          <w:sz w:val="24"/>
          <w:szCs w:val="24"/>
          <w:lang w:eastAsia="es-ES"/>
        </w:rPr>
        <w:t xml:space="preserve"> y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xml:space="preserve">- - - - - - - </w:t>
      </w:r>
      <w:r w:rsidR="00C83BAB">
        <w:rPr>
          <w:rFonts w:ascii="Arial" w:eastAsia="Times New Roman" w:hAnsi="Arial" w:cs="Arial"/>
          <w:bCs/>
          <w:i/>
          <w:iCs/>
          <w:sz w:val="24"/>
          <w:szCs w:val="24"/>
          <w:lang w:eastAsia="es-ES"/>
        </w:rPr>
        <w:t xml:space="preserve">- - - - - - - - </w:t>
      </w:r>
      <w:r w:rsidR="00742758" w:rsidRPr="00C06661">
        <w:rPr>
          <w:rFonts w:ascii="Arial" w:eastAsia="Times New Roman" w:hAnsi="Arial" w:cs="Arial"/>
          <w:bCs/>
          <w:i/>
          <w:iCs/>
          <w:sz w:val="24"/>
          <w:szCs w:val="24"/>
          <w:lang w:eastAsia="es-ES"/>
        </w:rPr>
        <w:t>”</w:t>
      </w:r>
    </w:p>
    <w:p w:rsidR="00C06661" w:rsidRPr="00CB6405" w:rsidRDefault="00E103C8"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C06661" w:rsidRPr="00CB6405" w:rsidRDefault="001B5B75"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EEC99A5" wp14:editId="65CF3A03">
                <wp:simplePos x="0" y="0"/>
                <wp:positionH relativeFrom="column">
                  <wp:posOffset>5420360</wp:posOffset>
                </wp:positionH>
                <wp:positionV relativeFrom="paragraph">
                  <wp:posOffset>673100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B5B75" w:rsidRDefault="001B5B75" w:rsidP="001B5B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6.8pt;margin-top:5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aJAIAAEs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">
                <v:textbox>
                  <w:txbxContent>
                    <w:p w:rsidR="001B5B75" w:rsidRDefault="001B5B75" w:rsidP="001B5B75">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FF4F6A">
        <w:rPr>
          <w:rFonts w:ascii="Arial" w:hAnsi="Arial" w:cs="Arial"/>
          <w:bCs/>
          <w:iCs/>
          <w:sz w:val="26"/>
          <w:szCs w:val="26"/>
        </w:rPr>
        <w:t xml:space="preserve">Esta Sala Superior es competente para conocer del presente asunto, de </w:t>
      </w:r>
      <w:r w:rsidR="00FF4F6A">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FF4F6A">
        <w:rPr>
          <w:rFonts w:ascii="Arial" w:hAnsi="Arial" w:cs="Arial"/>
          <w:bCs/>
          <w:iCs/>
          <w:sz w:val="26"/>
          <w:szCs w:val="26"/>
        </w:rPr>
        <w:t>86, 88, 92, 93, fracción I, 94, 201, 206 y 208, de la Ley de Justicia Administrativa para el Estado de Oaxaca, vigente hasta el veinte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3E2BBB">
        <w:rPr>
          <w:rFonts w:ascii="Arial" w:hAnsi="Arial" w:cs="Arial"/>
          <w:bCs/>
          <w:iCs/>
          <w:sz w:val="26"/>
          <w:szCs w:val="26"/>
        </w:rPr>
        <w:t xml:space="preserve">cinco de septiembre </w:t>
      </w:r>
      <w:r w:rsidR="00C4233C">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C83BAB">
        <w:rPr>
          <w:rFonts w:ascii="Arial" w:hAnsi="Arial" w:cs="Arial"/>
          <w:bCs/>
          <w:iCs/>
          <w:sz w:val="26"/>
          <w:szCs w:val="26"/>
        </w:rPr>
        <w:t xml:space="preserve">Quinta </w:t>
      </w:r>
      <w:r w:rsidR="00C06661" w:rsidRPr="00CB6405">
        <w:rPr>
          <w:rFonts w:ascii="Arial" w:hAnsi="Arial" w:cs="Arial"/>
          <w:bCs/>
          <w:iCs/>
          <w:sz w:val="26"/>
          <w:szCs w:val="26"/>
        </w:rPr>
        <w:t xml:space="preserve">Sala Unitaria de Primera Instancia de este Tribunal, en el expediente </w:t>
      </w:r>
      <w:r w:rsidR="00C83BAB">
        <w:rPr>
          <w:rFonts w:ascii="Arial" w:hAnsi="Arial" w:cs="Arial"/>
          <w:b/>
          <w:bCs/>
          <w:iCs/>
          <w:sz w:val="26"/>
          <w:szCs w:val="26"/>
        </w:rPr>
        <w:t>39</w:t>
      </w:r>
      <w:r w:rsidR="003E2BBB">
        <w:rPr>
          <w:rFonts w:ascii="Arial" w:hAnsi="Arial" w:cs="Arial"/>
          <w:b/>
          <w:bCs/>
          <w:iCs/>
          <w:sz w:val="26"/>
          <w:szCs w:val="26"/>
        </w:rPr>
        <w:t>5</w:t>
      </w:r>
      <w:r w:rsidR="00C4233C">
        <w:rPr>
          <w:rFonts w:ascii="Arial" w:hAnsi="Arial" w:cs="Arial"/>
          <w:b/>
          <w:bCs/>
          <w:iCs/>
          <w:sz w:val="26"/>
          <w:szCs w:val="26"/>
        </w:rPr>
        <w:t>/201</w:t>
      </w:r>
      <w:r w:rsidR="00C83BAB">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172B29">
        <w:rPr>
          <w:rFonts w:ascii="Arial" w:eastAsia="Calibri" w:hAnsi="Arial" w:cs="Arial"/>
          <w:b/>
          <w:bCs/>
          <w:sz w:val="26"/>
          <w:szCs w:val="26"/>
        </w:rPr>
        <w:t xml:space="preserve">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443FC" w:rsidRDefault="003873E7"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el revisionista que la determinación de la primera instancia en la que decretó la nulidad de la resolución negativa ficta de los escritos de diez de agosto de dos mil seis, veintiocho de octubre de  dos mil nueve y once de enero de  dos mil once, para el efecto de otorgar a</w:t>
      </w:r>
      <w:r w:rsidR="009B6946">
        <w:rPr>
          <w:rFonts w:ascii="Arial" w:eastAsia="Calibri" w:hAnsi="Arial" w:cs="Arial"/>
          <w:bCs/>
          <w:sz w:val="26"/>
          <w:szCs w:val="26"/>
        </w:rPr>
        <w:t xml:space="preserve"> </w:t>
      </w:r>
      <w:r w:rsidR="0033755E">
        <w:rPr>
          <w:rFonts w:ascii="Arial" w:eastAsia="Times New Roman" w:hAnsi="Arial" w:cs="Arial"/>
          <w:bCs/>
          <w:i/>
          <w:iCs/>
          <w:sz w:val="24"/>
          <w:szCs w:val="24"/>
          <w:lang w:eastAsia="es-ES"/>
        </w:rPr>
        <w:t>**********</w:t>
      </w:r>
      <w:r>
        <w:rPr>
          <w:rFonts w:ascii="Arial" w:eastAsia="Calibri" w:hAnsi="Arial" w:cs="Arial"/>
          <w:bCs/>
          <w:sz w:val="26"/>
          <w:szCs w:val="26"/>
        </w:rPr>
        <w:t xml:space="preserve">, el certificado de certeza jurídica y la renovación del acuerdo de concesión </w:t>
      </w:r>
      <w:r w:rsidR="0033755E">
        <w:rPr>
          <w:rFonts w:ascii="Arial" w:eastAsia="Times New Roman" w:hAnsi="Arial" w:cs="Arial"/>
          <w:bCs/>
          <w:i/>
          <w:iCs/>
          <w:sz w:val="24"/>
          <w:szCs w:val="24"/>
          <w:lang w:eastAsia="es-ES"/>
        </w:rPr>
        <w:t>**********</w:t>
      </w:r>
      <w:r>
        <w:rPr>
          <w:rFonts w:ascii="Arial" w:eastAsia="Calibri" w:hAnsi="Arial" w:cs="Arial"/>
          <w:bCs/>
          <w:sz w:val="26"/>
          <w:szCs w:val="26"/>
        </w:rPr>
        <w:t xml:space="preserve"> de treinta de noviembre de  dos mil cuatro, para prestar el servicio público de alquiler (taxi) en la Comunidad de </w:t>
      </w:r>
      <w:r w:rsidR="0033755E">
        <w:rPr>
          <w:rFonts w:ascii="Arial" w:eastAsia="Times New Roman" w:hAnsi="Arial" w:cs="Arial"/>
          <w:bCs/>
          <w:i/>
          <w:iCs/>
          <w:sz w:val="24"/>
          <w:szCs w:val="24"/>
          <w:lang w:eastAsia="es-ES"/>
        </w:rPr>
        <w:t>**********</w:t>
      </w:r>
      <w:r>
        <w:rPr>
          <w:rFonts w:ascii="Arial" w:eastAsia="Calibri" w:hAnsi="Arial" w:cs="Arial"/>
          <w:bCs/>
          <w:sz w:val="26"/>
          <w:szCs w:val="26"/>
        </w:rPr>
        <w:t xml:space="preserve">, Oaxaca, rebasa la esfera de su competencia, porque dejó de </w:t>
      </w:r>
      <w:r w:rsidR="00FE1705">
        <w:rPr>
          <w:rFonts w:ascii="Arial" w:eastAsia="Calibri" w:hAnsi="Arial" w:cs="Arial"/>
          <w:bCs/>
          <w:sz w:val="26"/>
          <w:szCs w:val="26"/>
        </w:rPr>
        <w:t>prever</w:t>
      </w:r>
      <w:r>
        <w:rPr>
          <w:rFonts w:ascii="Arial" w:eastAsia="Calibri" w:hAnsi="Arial" w:cs="Arial"/>
          <w:bCs/>
          <w:sz w:val="26"/>
          <w:szCs w:val="26"/>
        </w:rPr>
        <w:t xml:space="preserve"> que el Poder Ejecutivo por disposición expresa de la Ley en base a las facultades discrecionales es el único facultado de otorgar títulos de concesión y consecuentemente renovación de concesión</w:t>
      </w:r>
      <w:r w:rsidR="00E475A6">
        <w:rPr>
          <w:rFonts w:ascii="Arial" w:eastAsia="Calibri" w:hAnsi="Arial" w:cs="Arial"/>
          <w:bCs/>
          <w:sz w:val="26"/>
          <w:szCs w:val="26"/>
        </w:rPr>
        <w:t>, quien a su vez, ante sus múltiples ocupaciones delega sus facultades</w:t>
      </w:r>
      <w:r w:rsidR="00FB6DF3">
        <w:rPr>
          <w:rFonts w:ascii="Arial" w:eastAsia="Calibri" w:hAnsi="Arial" w:cs="Arial"/>
          <w:bCs/>
          <w:sz w:val="26"/>
          <w:szCs w:val="26"/>
        </w:rPr>
        <w:t xml:space="preserve"> a órganos auxiliares, siendo en el caso el Secretario de Vialidad y Transporte, quien tiene la competencia para determinar sobre la procedencia o improcedencia de las renovaciones de concesión, y es por ello que la primera instancia rebasó sus competencia </w:t>
      </w:r>
      <w:r w:rsidR="005A1C28">
        <w:rPr>
          <w:rFonts w:ascii="Arial" w:eastAsia="Calibri" w:hAnsi="Arial" w:cs="Arial"/>
          <w:bCs/>
          <w:sz w:val="26"/>
          <w:szCs w:val="26"/>
        </w:rPr>
        <w:t xml:space="preserve">al ordenar la renovación del acuerdo de concesión </w:t>
      </w:r>
      <w:r w:rsidR="0033755E">
        <w:rPr>
          <w:rFonts w:ascii="Arial" w:eastAsia="Times New Roman" w:hAnsi="Arial" w:cs="Arial"/>
          <w:bCs/>
          <w:i/>
          <w:iCs/>
          <w:sz w:val="24"/>
          <w:szCs w:val="24"/>
          <w:lang w:eastAsia="es-ES"/>
        </w:rPr>
        <w:t>**********</w:t>
      </w:r>
      <w:r w:rsidR="005A1C28">
        <w:rPr>
          <w:rFonts w:ascii="Arial" w:eastAsia="Calibri" w:hAnsi="Arial" w:cs="Arial"/>
          <w:bCs/>
          <w:sz w:val="26"/>
          <w:szCs w:val="26"/>
        </w:rPr>
        <w:t xml:space="preserve"> sin tomar en consideración que corresponde a la Secretaría de Vialidad, por ser quien tiene los antecedentes de los títulos otorgados</w:t>
      </w:r>
      <w:r w:rsidR="00172B29">
        <w:rPr>
          <w:rFonts w:ascii="Arial" w:eastAsia="Calibri" w:hAnsi="Arial" w:cs="Arial"/>
          <w:bCs/>
          <w:sz w:val="26"/>
          <w:szCs w:val="26"/>
        </w:rPr>
        <w:t xml:space="preserve">. </w:t>
      </w:r>
      <w:r w:rsidR="00407B2F">
        <w:rPr>
          <w:rFonts w:ascii="Arial" w:eastAsia="Calibri" w:hAnsi="Arial" w:cs="Arial"/>
          <w:bCs/>
          <w:sz w:val="26"/>
          <w:szCs w:val="26"/>
        </w:rPr>
        <w:t xml:space="preserve">Se apoya en </w:t>
      </w:r>
      <w:r w:rsidR="00172B29">
        <w:rPr>
          <w:rFonts w:ascii="Arial" w:eastAsia="Calibri" w:hAnsi="Arial" w:cs="Arial"/>
          <w:bCs/>
          <w:sz w:val="26"/>
          <w:szCs w:val="26"/>
        </w:rPr>
        <w:t>e</w:t>
      </w:r>
      <w:r w:rsidR="00407B2F">
        <w:rPr>
          <w:rFonts w:ascii="Arial" w:eastAsia="Calibri" w:hAnsi="Arial" w:cs="Arial"/>
          <w:bCs/>
          <w:sz w:val="26"/>
          <w:szCs w:val="26"/>
        </w:rPr>
        <w:t>l criterio</w:t>
      </w:r>
      <w:r w:rsidR="00172B29">
        <w:rPr>
          <w:rFonts w:ascii="Arial" w:eastAsia="Calibri" w:hAnsi="Arial" w:cs="Arial"/>
          <w:bCs/>
          <w:sz w:val="26"/>
          <w:szCs w:val="26"/>
        </w:rPr>
        <w:t xml:space="preserve"> de rubro</w:t>
      </w:r>
      <w:r w:rsidR="00407B2F">
        <w:rPr>
          <w:rFonts w:ascii="Arial" w:eastAsia="Calibri" w:hAnsi="Arial" w:cs="Arial"/>
          <w:bCs/>
          <w:sz w:val="26"/>
          <w:szCs w:val="26"/>
        </w:rPr>
        <w:t>: “</w:t>
      </w:r>
      <w:r w:rsidR="00172B29">
        <w:rPr>
          <w:rFonts w:ascii="Arial" w:eastAsia="Calibri" w:hAnsi="Arial" w:cs="Arial"/>
          <w:bCs/>
          <w:i/>
        </w:rPr>
        <w:t>TRIBUNAL DE LO CONTENCIOSO ADMINISTRATIVO DEL DISTRITO FEDERAL. FALTA DE RESPUESTA A UNA SOLICITUD. ALCANCE DE LA SENTENCIA</w:t>
      </w:r>
      <w:r w:rsidR="00407B2F" w:rsidRPr="00407B2F">
        <w:rPr>
          <w:rFonts w:ascii="Arial" w:eastAsia="Calibri" w:hAnsi="Arial" w:cs="Arial"/>
          <w:bCs/>
          <w:i/>
        </w:rPr>
        <w:t>.</w:t>
      </w:r>
      <w:r w:rsidR="00407B2F">
        <w:rPr>
          <w:rFonts w:ascii="Arial" w:eastAsia="Calibri" w:hAnsi="Arial" w:cs="Arial"/>
          <w:bCs/>
          <w:sz w:val="26"/>
          <w:szCs w:val="26"/>
        </w:rPr>
        <w:t>”</w:t>
      </w:r>
    </w:p>
    <w:p w:rsidR="00172B29" w:rsidRDefault="00172B29" w:rsidP="009768B5">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9233B3" w:rsidRDefault="009233B3" w:rsidP="009233B3">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 xml:space="preserve">la negativa ficta tiene como finalidad declara la validez o invalidez de la misma, pero no puede ser generadora o </w:t>
      </w:r>
      <w:r>
        <w:rPr>
          <w:rFonts w:ascii="Arial" w:eastAsia="Calibri" w:hAnsi="Arial" w:cs="Arial"/>
          <w:bCs/>
          <w:sz w:val="26"/>
          <w:szCs w:val="26"/>
        </w:rPr>
        <w:lastRenderedPageBreak/>
        <w:t>constitutiva de derechos que sólo otorga la ley una vez satisfechos los requisitos ante las autoridades competentes, pues como se dijo en la contestación de la demanda el actor no cuenta con el procedimiento jurídico de otorgamiento de concesión, y no cumplió en tiempo y forma con los acuerdos 18 y 24 publicados en el Periódico Oficial del Gobierno del Estado el</w:t>
      </w:r>
      <w:r w:rsidR="00F2782C">
        <w:rPr>
          <w:rFonts w:ascii="Arial" w:eastAsia="Calibri" w:hAnsi="Arial" w:cs="Arial"/>
          <w:bCs/>
          <w:sz w:val="26"/>
          <w:szCs w:val="26"/>
        </w:rPr>
        <w:t xml:space="preserve"> </w:t>
      </w:r>
      <w:r>
        <w:rPr>
          <w:rFonts w:ascii="Arial" w:eastAsia="Calibri" w:hAnsi="Arial" w:cs="Arial"/>
          <w:bCs/>
          <w:sz w:val="26"/>
          <w:szCs w:val="26"/>
        </w:rPr>
        <w:t xml:space="preserve"> once de mayo de  dos mil seis y  diecisiete de marzo de 2007 dos mil siete, y como consecuencia no cuenta con concesión regularizada.</w:t>
      </w:r>
    </w:p>
    <w:p w:rsidR="009233B3" w:rsidRDefault="001B5B75" w:rsidP="009233B3">
      <w:pPr>
        <w:spacing w:before="240" w:line="360" w:lineRule="auto"/>
        <w:ind w:firstLine="709"/>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3A47726" wp14:editId="477BA8E6">
                <wp:simplePos x="0" y="0"/>
                <wp:positionH relativeFrom="column">
                  <wp:posOffset>5479415</wp:posOffset>
                </wp:positionH>
                <wp:positionV relativeFrom="paragraph">
                  <wp:posOffset>4062095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B5B75" w:rsidRDefault="001B5B75" w:rsidP="001B5B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1.45pt;margin-top:319.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">
                <v:textbox>
                  <w:txbxContent>
                    <w:p w:rsidR="001B5B75" w:rsidRDefault="001B5B75" w:rsidP="001B5B75">
                      <w:pPr>
                        <w:rPr>
                          <w:sz w:val="16"/>
                          <w:szCs w:val="16"/>
                        </w:rPr>
                      </w:pPr>
                      <w:r>
                        <w:rPr>
                          <w:sz w:val="16"/>
                          <w:szCs w:val="16"/>
                        </w:rPr>
                        <w:t>Datos personales protegidos por el Art. 116 de la LGTAIP y el Art. 56 de la LTAIPEO</w:t>
                      </w:r>
                    </w:p>
                  </w:txbxContent>
                </v:textbox>
              </v:shape>
            </w:pict>
          </mc:Fallback>
        </mc:AlternateContent>
      </w:r>
      <w:r w:rsidR="006E22F2">
        <w:rPr>
          <w:rFonts w:ascii="Arial" w:eastAsia="Calibri" w:hAnsi="Arial" w:cs="Arial"/>
          <w:bCs/>
          <w:sz w:val="26"/>
          <w:szCs w:val="26"/>
        </w:rPr>
        <w:t xml:space="preserve">Estas manifestaciones son </w:t>
      </w:r>
      <w:r w:rsidR="006E22F2">
        <w:rPr>
          <w:rFonts w:ascii="Arial" w:eastAsia="Calibri" w:hAnsi="Arial" w:cs="Arial"/>
          <w:b/>
          <w:bCs/>
          <w:sz w:val="26"/>
          <w:szCs w:val="26"/>
        </w:rPr>
        <w:t>inoperantes</w:t>
      </w:r>
      <w:r w:rsidR="006E22F2">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006E22F2" w:rsidRPr="006E22F2">
        <w:rPr>
          <w:rFonts w:ascii="Arial" w:eastAsia="Calibri" w:hAnsi="Arial" w:cs="Arial"/>
          <w:bCs/>
          <w:i/>
          <w:sz w:val="24"/>
          <w:szCs w:val="24"/>
        </w:rPr>
        <w:t xml:space="preserve">ante el silencio de la enjuiciada respecto de los hechos narrados por el actor en su demanda, se colige que ésta los confesó y como ya se dijo, no desvirtuó la enjuiciada los hechos plasmados en la demanda, consistentes en que la enjuiciante es titular del acuerdo de concesión antes reseñado y que cumplió con lo establecidos en los acuerdos 18 y 24 del Ejecutivo del Estado, por lo que tiene derecho a que sea renovado su acuerdo de concesión de número </w:t>
      </w:r>
      <w:r w:rsidR="007B6EF8">
        <w:rPr>
          <w:rFonts w:ascii="Arial" w:eastAsia="Times New Roman" w:hAnsi="Arial" w:cs="Arial"/>
          <w:bCs/>
          <w:i/>
          <w:iCs/>
          <w:sz w:val="24"/>
          <w:szCs w:val="24"/>
          <w:lang w:eastAsia="es-ES"/>
        </w:rPr>
        <w:t>**********</w:t>
      </w:r>
      <w:r w:rsidR="006E22F2" w:rsidRPr="006E22F2">
        <w:rPr>
          <w:rFonts w:ascii="Arial" w:eastAsia="Calibri" w:hAnsi="Arial" w:cs="Arial"/>
          <w:bCs/>
          <w:i/>
          <w:sz w:val="24"/>
          <w:szCs w:val="24"/>
        </w:rPr>
        <w:t xml:space="preserve"> de treinta de noviembre de dos mil cuatro (30/11/2004); teniéndose por ciertas las afirmaciones del actor, conforme al citado artículo 156 de la Ley de Justicia Administrativa para el Estado de Oaxaca.</w:t>
      </w:r>
      <w:r w:rsidR="006E22F2" w:rsidRPr="006E22F2">
        <w:rPr>
          <w:rFonts w:ascii="Arial" w:eastAsia="Calibri" w:hAnsi="Arial" w:cs="Arial"/>
          <w:bCs/>
          <w:sz w:val="26"/>
          <w:szCs w:val="26"/>
        </w:rPr>
        <w:t>”</w:t>
      </w:r>
      <w:r w:rsidR="006E22F2">
        <w:rPr>
          <w:rFonts w:ascii="Arial" w:eastAsia="Calibri" w:hAnsi="Arial" w:cs="Arial"/>
          <w:bCs/>
          <w:sz w:val="26"/>
          <w:szCs w:val="26"/>
        </w:rPr>
        <w:t>; así como que “</w:t>
      </w:r>
      <w:r w:rsidR="006E22F2" w:rsidRPr="006E22F2">
        <w:rPr>
          <w:rFonts w:ascii="Arial" w:eastAsia="Calibri" w:hAnsi="Arial" w:cs="Arial"/>
          <w:bCs/>
          <w:sz w:val="26"/>
          <w:szCs w:val="26"/>
        </w:rPr>
        <w:t>…</w:t>
      </w:r>
      <w:r w:rsidR="006E22F2" w:rsidRPr="009233B3">
        <w:rPr>
          <w:rFonts w:ascii="Arial" w:eastAsia="Calibri" w:hAnsi="Arial" w:cs="Arial"/>
          <w:bCs/>
          <w:i/>
          <w:sz w:val="24"/>
          <w:szCs w:val="24"/>
        </w:rPr>
        <w:t>que la negativa ficta consiste en estimar que el silencio de la autoridad 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al parte act</w:t>
      </w:r>
      <w:r w:rsidR="009233B3" w:rsidRPr="009233B3">
        <w:rPr>
          <w:rFonts w:ascii="Arial" w:eastAsia="Calibri" w:hAnsi="Arial" w:cs="Arial"/>
          <w:bCs/>
          <w:i/>
          <w:sz w:val="24"/>
          <w:szCs w:val="24"/>
        </w:rPr>
        <w:t>o</w:t>
      </w:r>
      <w:r w:rsidR="006E22F2" w:rsidRPr="009233B3">
        <w:rPr>
          <w:rFonts w:ascii="Arial" w:eastAsia="Calibri" w:hAnsi="Arial" w:cs="Arial"/>
          <w:bCs/>
          <w:i/>
          <w:sz w:val="24"/>
          <w:szCs w:val="24"/>
        </w:rPr>
        <w:t xml:space="preserve">ra </w:t>
      </w:r>
      <w:r w:rsidR="009233B3" w:rsidRPr="009233B3">
        <w:rPr>
          <w:rFonts w:ascii="Arial" w:eastAsia="Calibri" w:hAnsi="Arial" w:cs="Arial"/>
          <w:bCs/>
          <w:i/>
          <w:sz w:val="24"/>
          <w:szCs w:val="24"/>
        </w:rPr>
        <w:t>a</w:t>
      </w:r>
      <w:r w:rsidR="006E22F2" w:rsidRPr="009233B3">
        <w:rPr>
          <w:rFonts w:ascii="Arial" w:eastAsia="Calibri" w:hAnsi="Arial" w:cs="Arial"/>
          <w:bCs/>
          <w:i/>
          <w:sz w:val="24"/>
          <w:szCs w:val="24"/>
        </w:rPr>
        <w:t>l acudir ante este Tribunal a impugnar esa dete</w:t>
      </w:r>
      <w:r w:rsidR="009233B3" w:rsidRPr="009233B3">
        <w:rPr>
          <w:rFonts w:ascii="Arial" w:eastAsia="Calibri" w:hAnsi="Arial" w:cs="Arial"/>
          <w:bCs/>
          <w:i/>
          <w:sz w:val="24"/>
          <w:szCs w:val="24"/>
        </w:rPr>
        <w:t>r</w:t>
      </w:r>
      <w:r w:rsidR="006E22F2" w:rsidRPr="009233B3">
        <w:rPr>
          <w:rFonts w:ascii="Arial" w:eastAsia="Calibri" w:hAnsi="Arial" w:cs="Arial"/>
          <w:bCs/>
          <w:i/>
          <w:sz w:val="24"/>
          <w:szCs w:val="24"/>
        </w:rPr>
        <w:t>minación, el estudio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de su validez sólo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 xml:space="preserve">puede versar sobre </w:t>
      </w:r>
      <w:r w:rsidR="009233B3" w:rsidRPr="009233B3">
        <w:rPr>
          <w:rFonts w:ascii="Arial" w:eastAsia="Calibri" w:hAnsi="Arial" w:cs="Arial"/>
          <w:bCs/>
          <w:i/>
          <w:sz w:val="24"/>
          <w:szCs w:val="24"/>
        </w:rPr>
        <w:t>e</w:t>
      </w:r>
      <w:r w:rsidR="006E22F2" w:rsidRPr="009233B3">
        <w:rPr>
          <w:rFonts w:ascii="Arial" w:eastAsia="Calibri" w:hAnsi="Arial" w:cs="Arial"/>
          <w:bCs/>
          <w:i/>
          <w:sz w:val="24"/>
          <w:szCs w:val="24"/>
        </w:rPr>
        <w:t>l fondo de lo pretendido</w:t>
      </w:r>
      <w:r w:rsidR="009233B3" w:rsidRPr="009233B3">
        <w:rPr>
          <w:rFonts w:ascii="Arial" w:eastAsia="Calibri" w:hAnsi="Arial" w:cs="Arial"/>
          <w:bCs/>
          <w:i/>
          <w:sz w:val="24"/>
          <w:szCs w:val="24"/>
        </w:rPr>
        <w:t xml:space="preserve">,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resoluciones recaídas a un derecho de petición y obliguen a la autoridad que emitió la resolución (negativa dicta) a emitir una nueva, es decir, impedir un paso administrativo más; además, se rompe con la finalidad de la negativa ficta que es evitar que se afecte la esfera jurídica </w:t>
      </w:r>
      <w:proofErr w:type="gramStart"/>
      <w:r w:rsidR="009233B3" w:rsidRPr="009233B3">
        <w:rPr>
          <w:rFonts w:ascii="Arial" w:eastAsia="Calibri" w:hAnsi="Arial" w:cs="Arial"/>
          <w:bCs/>
          <w:i/>
          <w:sz w:val="24"/>
          <w:szCs w:val="24"/>
        </w:rPr>
        <w:lastRenderedPageBreak/>
        <w:t>del</w:t>
      </w:r>
      <w:proofErr w:type="gramEnd"/>
      <w:r w:rsidR="009233B3" w:rsidRPr="009233B3">
        <w:rPr>
          <w:rFonts w:ascii="Arial" w:eastAsia="Calibri" w:hAnsi="Arial" w:cs="Arial"/>
          <w:bCs/>
          <w:i/>
          <w:sz w:val="24"/>
          <w:szCs w:val="24"/>
        </w:rPr>
        <w:t xml:space="preserve"> administrado ante la abstención de la autoridad de emitir la resolución correspondiente, postergando la impartición de justicia indefinidamente</w:t>
      </w:r>
      <w:r w:rsidR="009233B3">
        <w:rPr>
          <w:rFonts w:ascii="Arial" w:eastAsia="Calibri" w:hAnsi="Arial" w:cs="Arial"/>
          <w:bCs/>
          <w:i/>
          <w:sz w:val="26"/>
          <w:szCs w:val="26"/>
        </w:rPr>
        <w:t>.</w:t>
      </w:r>
      <w:r w:rsidR="009233B3" w:rsidRPr="009233B3">
        <w:rPr>
          <w:rFonts w:ascii="Arial" w:eastAsia="Calibri" w:hAnsi="Arial" w:cs="Arial"/>
          <w:bCs/>
          <w:sz w:val="26"/>
          <w:szCs w:val="26"/>
        </w:rPr>
        <w:t>”</w:t>
      </w:r>
    </w:p>
    <w:p w:rsidR="009233B3" w:rsidRDefault="009233B3" w:rsidP="006E22F2">
      <w:pPr>
        <w:spacing w:line="360" w:lineRule="auto"/>
        <w:ind w:firstLine="709"/>
        <w:jc w:val="both"/>
        <w:rPr>
          <w:rFonts w:ascii="Arial" w:eastAsia="Calibri" w:hAnsi="Arial" w:cs="Arial"/>
          <w:bCs/>
          <w:sz w:val="26"/>
          <w:szCs w:val="26"/>
        </w:rPr>
      </w:pPr>
      <w:r>
        <w:rPr>
          <w:rFonts w:ascii="Arial" w:eastAsia="Calibri" w:hAnsi="Arial" w:cs="Arial"/>
          <w:bCs/>
          <w:sz w:val="26"/>
          <w:szCs w:val="26"/>
        </w:rPr>
        <w:t>C</w:t>
      </w:r>
      <w:r w:rsidR="006E22F2">
        <w:rPr>
          <w:rFonts w:ascii="Arial" w:eastAsia="Calibri" w:hAnsi="Arial" w:cs="Arial"/>
          <w:bCs/>
          <w:sz w:val="26"/>
          <w:szCs w:val="26"/>
        </w:rPr>
        <w:t>onsideraciones que debió controvertir l</w:t>
      </w:r>
      <w:r>
        <w:rPr>
          <w:rFonts w:ascii="Arial" w:eastAsia="Calibri" w:hAnsi="Arial" w:cs="Arial"/>
          <w:bCs/>
          <w:sz w:val="26"/>
          <w:szCs w:val="26"/>
        </w:rPr>
        <w:t>a</w:t>
      </w:r>
      <w:r w:rsidR="006E22F2">
        <w:rPr>
          <w:rFonts w:ascii="Arial" w:eastAsia="Calibri" w:hAnsi="Arial" w:cs="Arial"/>
          <w:bCs/>
          <w:sz w:val="26"/>
          <w:szCs w:val="26"/>
        </w:rPr>
        <w:t xml:space="preserve"> ahora inconforme, y al no hacerlo así, éstas siguen rigiendo el sentido del fallo en revisión</w:t>
      </w:r>
      <w:r>
        <w:rPr>
          <w:rFonts w:ascii="Arial" w:eastAsia="Calibri" w:hAnsi="Arial" w:cs="Arial"/>
          <w:bCs/>
          <w:sz w:val="26"/>
          <w:szCs w:val="26"/>
        </w:rPr>
        <w:t>, pues son las que dieron la pauta para que la primera instancia concluyera en declarar la nulidad de la negativa ficta demandada para el efecto de que la autoridad demandada otorgue al actor el certificado de certeza jurídica y la renovación de su acuerdo de concesión.</w:t>
      </w:r>
    </w:p>
    <w:p w:rsidR="006E22F2" w:rsidRPr="002B506D" w:rsidRDefault="006E22F2" w:rsidP="006E22F2">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6E22F2" w:rsidRPr="004A2FA8" w:rsidRDefault="006E22F2" w:rsidP="006E22F2">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164E7" w:rsidRDefault="009233B3"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in</w:t>
      </w:r>
      <w:r>
        <w:rPr>
          <w:rFonts w:ascii="Arial" w:eastAsia="Calibri" w:hAnsi="Arial" w:cs="Arial"/>
          <w:b/>
          <w:bCs/>
          <w:sz w:val="26"/>
          <w:szCs w:val="26"/>
        </w:rPr>
        <w:t xml:space="preserve">operante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veinte de octubre de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F2782C">
        <w:rPr>
          <w:rFonts w:ascii="Arial" w:hAnsi="Arial" w:cs="Arial"/>
          <w:color w:val="000000"/>
          <w:sz w:val="26"/>
          <w:szCs w:val="26"/>
          <w:lang w:val="es-MX"/>
        </w:rPr>
        <w:t>.</w:t>
      </w:r>
    </w:p>
    <w:p w:rsidR="00E164E7" w:rsidRDefault="00D03B93" w:rsidP="00E164E7">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9233B3">
        <w:rPr>
          <w:rFonts w:ascii="Arial" w:hAnsi="Arial" w:cs="Arial"/>
          <w:sz w:val="26"/>
          <w:szCs w:val="26"/>
        </w:rPr>
        <w:t xml:space="preserve">Quinta </w:t>
      </w:r>
      <w:r w:rsidR="00986534">
        <w:rPr>
          <w:rFonts w:ascii="Arial" w:hAnsi="Arial" w:cs="Arial"/>
          <w:sz w:val="26"/>
          <w:szCs w:val="26"/>
        </w:rPr>
        <w:t xml:space="preserve">Sala Unitaria de </w:t>
      </w:r>
      <w:r w:rsidR="00986534">
        <w:rPr>
          <w:rFonts w:ascii="Arial" w:hAnsi="Arial" w:cs="Arial"/>
          <w:sz w:val="26"/>
          <w:szCs w:val="26"/>
        </w:rPr>
        <w:lastRenderedPageBreak/>
        <w:t>Primera Instancia de este Tribunal y en su oportunidad archívese el presente cuaderno de rev</w:t>
      </w:r>
      <w:r w:rsidR="00F2782C">
        <w:rPr>
          <w:rFonts w:ascii="Arial" w:hAnsi="Arial" w:cs="Arial"/>
          <w:sz w:val="26"/>
          <w:szCs w:val="26"/>
        </w:rPr>
        <w:t>isión como asunto concluido.</w:t>
      </w:r>
    </w:p>
    <w:p w:rsidR="00E103C8" w:rsidRDefault="00E103C8" w:rsidP="00E103C8">
      <w:pPr>
        <w:spacing w:after="0" w:line="360" w:lineRule="auto"/>
        <w:jc w:val="both"/>
        <w:rPr>
          <w:rFonts w:ascii="Arial" w:eastAsiaTheme="minorEastAsia" w:hAnsi="Arial" w:cs="Arial"/>
          <w:sz w:val="26"/>
          <w:szCs w:val="26"/>
          <w:lang w:val="es-MX" w:eastAsia="es-MX"/>
        </w:rPr>
      </w:pPr>
    </w:p>
    <w:p w:rsidR="00E103C8" w:rsidRPr="00E103C8" w:rsidRDefault="00E103C8" w:rsidP="00E103C8">
      <w:pPr>
        <w:spacing w:after="0" w:line="360" w:lineRule="auto"/>
        <w:ind w:firstLine="708"/>
        <w:jc w:val="both"/>
        <w:rPr>
          <w:rFonts w:ascii="Arial" w:eastAsiaTheme="minorEastAsia" w:hAnsi="Arial" w:cs="Arial"/>
          <w:sz w:val="26"/>
          <w:szCs w:val="26"/>
          <w:lang w:val="es-MX" w:eastAsia="es-MX"/>
        </w:rPr>
      </w:pPr>
      <w:r w:rsidRPr="00E103C8">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Jarquín y Magistrado Manuel Velasco Alcántara. </w:t>
      </w:r>
    </w:p>
    <w:p w:rsidR="00E103C8" w:rsidRPr="00E103C8" w:rsidRDefault="00E103C8" w:rsidP="00E103C8">
      <w:pPr>
        <w:spacing w:after="0" w:line="240" w:lineRule="auto"/>
        <w:jc w:val="center"/>
        <w:rPr>
          <w:rFonts w:ascii="Arial" w:eastAsia="Calibri" w:hAnsi="Arial" w:cs="Arial"/>
          <w:sz w:val="26"/>
          <w:szCs w:val="26"/>
          <w:lang w:val="es-MX" w:eastAsia="es-MX"/>
        </w:rPr>
      </w:pPr>
    </w:p>
    <w:p w:rsidR="00E103C8" w:rsidRPr="00E103C8" w:rsidRDefault="00E103C8" w:rsidP="00E103C8">
      <w:pPr>
        <w:spacing w:after="0" w:line="240" w:lineRule="auto"/>
        <w:jc w:val="center"/>
        <w:rPr>
          <w:rFonts w:ascii="Arial" w:eastAsia="Calibri" w:hAnsi="Arial" w:cs="Arial"/>
          <w:sz w:val="26"/>
          <w:szCs w:val="26"/>
          <w:lang w:val="es-MX" w:eastAsia="es-MX"/>
        </w:rPr>
      </w:pPr>
    </w:p>
    <w:p w:rsidR="00E103C8" w:rsidRPr="00E103C8" w:rsidRDefault="00E103C8" w:rsidP="00E103C8">
      <w:pPr>
        <w:spacing w:after="0" w:line="240" w:lineRule="auto"/>
        <w:jc w:val="center"/>
        <w:rPr>
          <w:rFonts w:ascii="Arial" w:eastAsia="Calibri" w:hAnsi="Arial" w:cs="Arial"/>
          <w:sz w:val="26"/>
          <w:szCs w:val="26"/>
          <w:lang w:val="es-MX" w:eastAsia="es-MX"/>
        </w:rPr>
      </w:pPr>
    </w:p>
    <w:p w:rsidR="00E103C8" w:rsidRPr="00E103C8" w:rsidRDefault="00E103C8" w:rsidP="00E103C8">
      <w:pPr>
        <w:spacing w:after="0" w:line="240" w:lineRule="auto"/>
        <w:jc w:val="center"/>
        <w:rPr>
          <w:rFonts w:ascii="Arial" w:eastAsia="Calibri" w:hAnsi="Arial" w:cs="Arial"/>
          <w:sz w:val="26"/>
          <w:szCs w:val="26"/>
          <w:lang w:val="es-MX" w:eastAsia="es-MX"/>
        </w:rPr>
      </w:pPr>
    </w:p>
    <w:p w:rsidR="00E103C8" w:rsidRPr="00E103C8" w:rsidRDefault="00E103C8" w:rsidP="00E103C8">
      <w:pPr>
        <w:spacing w:after="0" w:line="24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MAGISTRADO ADRIÁN QUIROGA AVENDAÑO.</w:t>
      </w:r>
    </w:p>
    <w:p w:rsidR="00E103C8" w:rsidRPr="00E103C8" w:rsidRDefault="00E103C8" w:rsidP="00E103C8">
      <w:pPr>
        <w:spacing w:after="0" w:line="24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PRESIDENTE</w:t>
      </w:r>
    </w:p>
    <w:p w:rsidR="00E103C8" w:rsidRPr="00E103C8" w:rsidRDefault="00E103C8" w:rsidP="00E103C8">
      <w:pPr>
        <w:spacing w:after="0" w:line="240" w:lineRule="auto"/>
        <w:rPr>
          <w:rFonts w:ascii="Arial" w:eastAsia="Calibri" w:hAnsi="Arial" w:cs="Arial"/>
          <w:sz w:val="26"/>
          <w:szCs w:val="26"/>
          <w:lang w:val="es-MX" w:eastAsia="es-MX"/>
        </w:rPr>
      </w:pPr>
    </w:p>
    <w:p w:rsidR="00E103C8" w:rsidRDefault="00E103C8" w:rsidP="00E103C8">
      <w:pPr>
        <w:spacing w:line="360" w:lineRule="auto"/>
        <w:jc w:val="center"/>
        <w:rPr>
          <w:rFonts w:ascii="Arial" w:eastAsia="Calibri" w:hAnsi="Arial" w:cs="Arial"/>
          <w:sz w:val="26"/>
          <w:szCs w:val="26"/>
          <w:lang w:val="es-MX" w:eastAsia="es-MX"/>
        </w:rPr>
      </w:pPr>
    </w:p>
    <w:p w:rsidR="00F2782C" w:rsidRPr="00E103C8" w:rsidRDefault="00F2782C" w:rsidP="00E103C8">
      <w:pPr>
        <w:spacing w:line="360" w:lineRule="auto"/>
        <w:jc w:val="center"/>
        <w:rPr>
          <w:rFonts w:ascii="Arial" w:eastAsia="Calibri" w:hAnsi="Arial" w:cs="Arial"/>
          <w:sz w:val="26"/>
          <w:szCs w:val="26"/>
          <w:lang w:val="es-MX" w:eastAsia="es-MX"/>
        </w:rPr>
      </w:pPr>
    </w:p>
    <w:p w:rsidR="00E103C8" w:rsidRPr="00E103C8" w:rsidRDefault="00E103C8" w:rsidP="00E103C8">
      <w:pPr>
        <w:spacing w:line="36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MAGISTRADO HUGO VILLEGAS AQUINO.</w:t>
      </w:r>
    </w:p>
    <w:p w:rsidR="00E103C8" w:rsidRDefault="00E103C8" w:rsidP="00E103C8">
      <w:pPr>
        <w:spacing w:line="360" w:lineRule="auto"/>
        <w:jc w:val="center"/>
        <w:rPr>
          <w:rFonts w:ascii="Arial" w:eastAsia="Calibri" w:hAnsi="Arial" w:cs="Arial"/>
          <w:sz w:val="26"/>
          <w:szCs w:val="26"/>
          <w:lang w:val="es-MX" w:eastAsia="es-MX"/>
        </w:rPr>
      </w:pPr>
    </w:p>
    <w:p w:rsidR="00F2782C" w:rsidRPr="00E103C8" w:rsidRDefault="00F2782C" w:rsidP="00E103C8">
      <w:pPr>
        <w:spacing w:line="360" w:lineRule="auto"/>
        <w:jc w:val="center"/>
        <w:rPr>
          <w:rFonts w:ascii="Arial" w:eastAsia="Calibri" w:hAnsi="Arial" w:cs="Arial"/>
          <w:sz w:val="26"/>
          <w:szCs w:val="26"/>
          <w:lang w:val="es-MX" w:eastAsia="es-MX"/>
        </w:rPr>
      </w:pPr>
    </w:p>
    <w:p w:rsidR="00E103C8" w:rsidRPr="00E103C8" w:rsidRDefault="001B5B75" w:rsidP="00E103C8">
      <w:pPr>
        <w:spacing w:line="360" w:lineRule="auto"/>
        <w:jc w:val="center"/>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E67512A" wp14:editId="0CA19D44">
                <wp:simplePos x="0" y="0"/>
                <wp:positionH relativeFrom="column">
                  <wp:posOffset>5455920</wp:posOffset>
                </wp:positionH>
                <wp:positionV relativeFrom="paragraph">
                  <wp:posOffset>234950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B5B75" w:rsidRDefault="001B5B75" w:rsidP="001B5B7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29.6pt;margin-top:1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J/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">
                <v:textbox>
                  <w:txbxContent>
                    <w:p w:rsidR="001B5B75" w:rsidRDefault="001B5B75" w:rsidP="001B5B7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103C8" w:rsidRPr="00E103C8" w:rsidRDefault="00E103C8" w:rsidP="00E103C8">
      <w:pPr>
        <w:spacing w:line="36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MAGISTRADO ENRIQUE PACHECO MARTÍNEZ.</w:t>
      </w:r>
    </w:p>
    <w:p w:rsidR="00E103C8" w:rsidRPr="00E103C8" w:rsidRDefault="00E103C8" w:rsidP="00E103C8">
      <w:pPr>
        <w:spacing w:after="0" w:line="240" w:lineRule="auto"/>
        <w:jc w:val="center"/>
        <w:rPr>
          <w:rFonts w:ascii="Arial" w:eastAsia="Calibri" w:hAnsi="Arial" w:cs="Arial"/>
          <w:sz w:val="26"/>
          <w:szCs w:val="26"/>
          <w:lang w:val="es-MX" w:eastAsia="es-MX"/>
        </w:rPr>
      </w:pPr>
    </w:p>
    <w:p w:rsidR="00F2782C" w:rsidRDefault="00F2782C" w:rsidP="00E103C8">
      <w:pPr>
        <w:spacing w:after="0" w:line="240" w:lineRule="auto"/>
        <w:jc w:val="center"/>
        <w:rPr>
          <w:rFonts w:ascii="Arial" w:eastAsia="Calibri" w:hAnsi="Arial" w:cs="Arial"/>
          <w:sz w:val="26"/>
          <w:szCs w:val="26"/>
          <w:lang w:val="es-MX" w:eastAsia="es-MX"/>
        </w:rPr>
      </w:pPr>
    </w:p>
    <w:p w:rsidR="00F2782C" w:rsidRDefault="00F2782C" w:rsidP="00E103C8">
      <w:pPr>
        <w:spacing w:after="0" w:line="240" w:lineRule="auto"/>
        <w:jc w:val="center"/>
        <w:rPr>
          <w:rFonts w:ascii="Arial" w:eastAsia="Calibri" w:hAnsi="Arial" w:cs="Arial"/>
          <w:sz w:val="26"/>
          <w:szCs w:val="26"/>
          <w:lang w:val="es-MX" w:eastAsia="es-MX"/>
        </w:rPr>
      </w:pPr>
    </w:p>
    <w:p w:rsidR="00F2782C" w:rsidRDefault="00F2782C" w:rsidP="00E103C8">
      <w:pPr>
        <w:spacing w:after="0" w:line="240" w:lineRule="auto"/>
        <w:jc w:val="center"/>
        <w:rPr>
          <w:rFonts w:ascii="Arial" w:eastAsia="Calibri" w:hAnsi="Arial" w:cs="Arial"/>
          <w:sz w:val="26"/>
          <w:szCs w:val="26"/>
          <w:lang w:val="es-MX" w:eastAsia="es-MX"/>
        </w:rPr>
      </w:pPr>
    </w:p>
    <w:p w:rsidR="00F2782C" w:rsidRDefault="00F2782C" w:rsidP="00E103C8">
      <w:pPr>
        <w:spacing w:after="0" w:line="240" w:lineRule="auto"/>
        <w:jc w:val="center"/>
        <w:rPr>
          <w:rFonts w:ascii="Arial" w:eastAsia="Calibri" w:hAnsi="Arial" w:cs="Arial"/>
          <w:sz w:val="26"/>
          <w:szCs w:val="26"/>
          <w:lang w:val="es-MX" w:eastAsia="es-MX"/>
        </w:rPr>
      </w:pPr>
    </w:p>
    <w:p w:rsidR="00E103C8" w:rsidRPr="00E103C8" w:rsidRDefault="00E103C8" w:rsidP="00E103C8">
      <w:pPr>
        <w:spacing w:after="0" w:line="24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LICENCIADA SANDRA PÉREZ CRUZ.</w:t>
      </w:r>
    </w:p>
    <w:p w:rsidR="00E103C8" w:rsidRPr="00E103C8" w:rsidRDefault="00E103C8" w:rsidP="00E103C8">
      <w:pPr>
        <w:spacing w:after="0" w:line="240" w:lineRule="auto"/>
        <w:jc w:val="center"/>
        <w:rPr>
          <w:rFonts w:ascii="Arial" w:eastAsia="Calibri" w:hAnsi="Arial" w:cs="Arial"/>
          <w:sz w:val="26"/>
          <w:szCs w:val="26"/>
          <w:lang w:val="es-MX" w:eastAsia="es-MX"/>
        </w:rPr>
      </w:pPr>
      <w:r w:rsidRPr="00E103C8">
        <w:rPr>
          <w:rFonts w:ascii="Arial" w:eastAsia="Calibri" w:hAnsi="Arial" w:cs="Arial"/>
          <w:sz w:val="26"/>
          <w:szCs w:val="26"/>
          <w:lang w:val="es-MX" w:eastAsia="es-MX"/>
        </w:rPr>
        <w:t>SECRETARIA GENERAL DE ACUERDOS.</w:t>
      </w:r>
    </w:p>
    <w:p w:rsidR="006640C5" w:rsidRPr="00E103C8" w:rsidRDefault="006640C5" w:rsidP="00E103C8">
      <w:pPr>
        <w:spacing w:before="240" w:line="360" w:lineRule="auto"/>
        <w:ind w:firstLine="708"/>
        <w:jc w:val="both"/>
        <w:rPr>
          <w:sz w:val="26"/>
          <w:szCs w:val="26"/>
          <w:lang w:val="es-MX"/>
        </w:rPr>
      </w:pPr>
    </w:p>
    <w:sectPr w:rsidR="006640C5" w:rsidRPr="00E103C8" w:rsidSect="00E103C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D7" w:rsidRDefault="007533D7">
      <w:pPr>
        <w:spacing w:after="0" w:line="240" w:lineRule="auto"/>
      </w:pPr>
      <w:r>
        <w:separator/>
      </w:r>
    </w:p>
  </w:endnote>
  <w:endnote w:type="continuationSeparator" w:id="0">
    <w:p w:rsidR="007533D7" w:rsidRDefault="0075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D7" w:rsidRDefault="007533D7">
      <w:pPr>
        <w:spacing w:after="0" w:line="240" w:lineRule="auto"/>
      </w:pPr>
      <w:r>
        <w:separator/>
      </w:r>
    </w:p>
  </w:footnote>
  <w:footnote w:type="continuationSeparator" w:id="0">
    <w:p w:rsidR="007533D7" w:rsidRDefault="00753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1B5B75">
          <w:rPr>
            <w:noProof/>
          </w:rPr>
          <w:t>6</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B00F6" w:rsidRDefault="001B5B75" w:rsidP="009B00F6">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185C0DD" wp14:editId="53448ADE">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B5B75" w:rsidRDefault="001B5B75" w:rsidP="001B5B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1B5B75" w:rsidRDefault="001B5B75" w:rsidP="001B5B75">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sdtContent>
  </w:sdt>
  <w:p w:rsidR="007A2B3C" w:rsidRDefault="004A1C3F" w:rsidP="009B00F6">
    <w:pPr>
      <w:pStyle w:val="Encabezado"/>
      <w:jc w:val="center"/>
    </w:pPr>
    <w:r>
      <w:rPr>
        <w:noProof/>
        <w:lang w:val="es-MX" w:eastAsia="es-MX"/>
      </w:rPr>
      <w:drawing>
        <wp:anchor distT="0" distB="0" distL="114300" distR="114300" simplePos="0" relativeHeight="251661312" behindDoc="1" locked="0" layoutInCell="1" allowOverlap="1" wp14:anchorId="0790436A" wp14:editId="4476E80A">
          <wp:simplePos x="0" y="0"/>
          <wp:positionH relativeFrom="margin">
            <wp:align>right</wp:align>
          </wp:positionH>
          <wp:positionV relativeFrom="paragraph">
            <wp:posOffset>3374827</wp:posOffset>
          </wp:positionV>
          <wp:extent cx="5248894" cy="3266576"/>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B7D9F"/>
    <w:rsid w:val="000C1F7C"/>
    <w:rsid w:val="000C313C"/>
    <w:rsid w:val="000C3DBF"/>
    <w:rsid w:val="000D0E1D"/>
    <w:rsid w:val="000D1BD0"/>
    <w:rsid w:val="000D29A1"/>
    <w:rsid w:val="000D2FDE"/>
    <w:rsid w:val="000D3B8A"/>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5B75"/>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5E"/>
    <w:rsid w:val="00337583"/>
    <w:rsid w:val="0034180B"/>
    <w:rsid w:val="00342CE5"/>
    <w:rsid w:val="003462AA"/>
    <w:rsid w:val="003505C2"/>
    <w:rsid w:val="00355E72"/>
    <w:rsid w:val="00360A0B"/>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BBB"/>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1C3F"/>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25CF"/>
    <w:rsid w:val="004D316A"/>
    <w:rsid w:val="004D3ADD"/>
    <w:rsid w:val="004D5713"/>
    <w:rsid w:val="004D5934"/>
    <w:rsid w:val="004D7564"/>
    <w:rsid w:val="004E154D"/>
    <w:rsid w:val="004E16A4"/>
    <w:rsid w:val="004E5D5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17CE"/>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B7F56"/>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33D7"/>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B6EF8"/>
    <w:rsid w:val="007C4D7C"/>
    <w:rsid w:val="007C4FC7"/>
    <w:rsid w:val="007C5134"/>
    <w:rsid w:val="007C6CD3"/>
    <w:rsid w:val="007C7AD1"/>
    <w:rsid w:val="007D1A69"/>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00F6"/>
    <w:rsid w:val="009B1106"/>
    <w:rsid w:val="009B1EAF"/>
    <w:rsid w:val="009B38C8"/>
    <w:rsid w:val="009B3FAA"/>
    <w:rsid w:val="009B6946"/>
    <w:rsid w:val="009C4221"/>
    <w:rsid w:val="009D1ED8"/>
    <w:rsid w:val="009D4A0A"/>
    <w:rsid w:val="009D6659"/>
    <w:rsid w:val="009D7058"/>
    <w:rsid w:val="009E0336"/>
    <w:rsid w:val="009E10EC"/>
    <w:rsid w:val="009E3A9A"/>
    <w:rsid w:val="009E5841"/>
    <w:rsid w:val="009F50FA"/>
    <w:rsid w:val="00A022D9"/>
    <w:rsid w:val="00A024D3"/>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1DFB"/>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24E5"/>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C8"/>
    <w:rsid w:val="00E10F14"/>
    <w:rsid w:val="00E11F28"/>
    <w:rsid w:val="00E12B19"/>
    <w:rsid w:val="00E14744"/>
    <w:rsid w:val="00E154AB"/>
    <w:rsid w:val="00E164E7"/>
    <w:rsid w:val="00E16654"/>
    <w:rsid w:val="00E21610"/>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82C"/>
    <w:rsid w:val="00F27F68"/>
    <w:rsid w:val="00F321E1"/>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481A"/>
    <w:rsid w:val="00FF4F6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4A1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rsid w:val="004A1C3F"/>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A1C3F"/>
    <w:pPr>
      <w:spacing w:after="120"/>
    </w:pPr>
  </w:style>
  <w:style w:type="character" w:customStyle="1" w:styleId="TextoindependienteCar">
    <w:name w:val="Texto independiente Car"/>
    <w:basedOn w:val="Fuentedeprrafopredeter"/>
    <w:link w:val="Textoindependiente"/>
    <w:uiPriority w:val="99"/>
    <w:rsid w:val="004A1C3F"/>
    <w:rPr>
      <w:lang w:val="es-ES"/>
    </w:rPr>
  </w:style>
  <w:style w:type="paragraph" w:styleId="Textoindependienteprimerasangra">
    <w:name w:val="Body Text First Indent"/>
    <w:basedOn w:val="Textoindependiente"/>
    <w:link w:val="TextoindependienteprimerasangraCar"/>
    <w:uiPriority w:val="99"/>
    <w:unhideWhenUsed/>
    <w:rsid w:val="004A1C3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A1C3F"/>
    <w:rPr>
      <w:lang w:val="es-ES"/>
    </w:rPr>
  </w:style>
  <w:style w:type="paragraph" w:styleId="Sangradetextonormal">
    <w:name w:val="Body Text Indent"/>
    <w:basedOn w:val="Normal"/>
    <w:link w:val="SangradetextonormalCar"/>
    <w:uiPriority w:val="99"/>
    <w:semiHidden/>
    <w:unhideWhenUsed/>
    <w:rsid w:val="004A1C3F"/>
    <w:pPr>
      <w:spacing w:after="120"/>
      <w:ind w:left="283"/>
    </w:pPr>
  </w:style>
  <w:style w:type="character" w:customStyle="1" w:styleId="SangradetextonormalCar">
    <w:name w:val="Sangría de texto normal Car"/>
    <w:basedOn w:val="Fuentedeprrafopredeter"/>
    <w:link w:val="Sangradetextonormal"/>
    <w:uiPriority w:val="99"/>
    <w:semiHidden/>
    <w:rsid w:val="004A1C3F"/>
    <w:rPr>
      <w:lang w:val="es-ES"/>
    </w:rPr>
  </w:style>
  <w:style w:type="paragraph" w:styleId="Textoindependienteprimerasangra2">
    <w:name w:val="Body Text First Indent 2"/>
    <w:basedOn w:val="Sangradetextonormal"/>
    <w:link w:val="Textoindependienteprimerasangra2Car"/>
    <w:uiPriority w:val="99"/>
    <w:unhideWhenUsed/>
    <w:rsid w:val="004A1C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1C3F"/>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4A1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rsid w:val="004A1C3F"/>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A1C3F"/>
    <w:pPr>
      <w:spacing w:after="120"/>
    </w:pPr>
  </w:style>
  <w:style w:type="character" w:customStyle="1" w:styleId="TextoindependienteCar">
    <w:name w:val="Texto independiente Car"/>
    <w:basedOn w:val="Fuentedeprrafopredeter"/>
    <w:link w:val="Textoindependiente"/>
    <w:uiPriority w:val="99"/>
    <w:rsid w:val="004A1C3F"/>
    <w:rPr>
      <w:lang w:val="es-ES"/>
    </w:rPr>
  </w:style>
  <w:style w:type="paragraph" w:styleId="Textoindependienteprimerasangra">
    <w:name w:val="Body Text First Indent"/>
    <w:basedOn w:val="Textoindependiente"/>
    <w:link w:val="TextoindependienteprimerasangraCar"/>
    <w:uiPriority w:val="99"/>
    <w:unhideWhenUsed/>
    <w:rsid w:val="004A1C3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A1C3F"/>
    <w:rPr>
      <w:lang w:val="es-ES"/>
    </w:rPr>
  </w:style>
  <w:style w:type="paragraph" w:styleId="Sangradetextonormal">
    <w:name w:val="Body Text Indent"/>
    <w:basedOn w:val="Normal"/>
    <w:link w:val="SangradetextonormalCar"/>
    <w:uiPriority w:val="99"/>
    <w:semiHidden/>
    <w:unhideWhenUsed/>
    <w:rsid w:val="004A1C3F"/>
    <w:pPr>
      <w:spacing w:after="120"/>
      <w:ind w:left="283"/>
    </w:pPr>
  </w:style>
  <w:style w:type="character" w:customStyle="1" w:styleId="SangradetextonormalCar">
    <w:name w:val="Sangría de texto normal Car"/>
    <w:basedOn w:val="Fuentedeprrafopredeter"/>
    <w:link w:val="Sangradetextonormal"/>
    <w:uiPriority w:val="99"/>
    <w:semiHidden/>
    <w:rsid w:val="004A1C3F"/>
    <w:rPr>
      <w:lang w:val="es-ES"/>
    </w:rPr>
  </w:style>
  <w:style w:type="paragraph" w:styleId="Textoindependienteprimerasangra2">
    <w:name w:val="Body Text First Indent 2"/>
    <w:basedOn w:val="Sangradetextonormal"/>
    <w:link w:val="Textoindependienteprimerasangra2Car"/>
    <w:uiPriority w:val="99"/>
    <w:unhideWhenUsed/>
    <w:rsid w:val="004A1C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1C3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137E-834C-4BD3-A98D-DF6BE741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97</cp:revision>
  <cp:lastPrinted>2018-06-13T17:08:00Z</cp:lastPrinted>
  <dcterms:created xsi:type="dcterms:W3CDTF">2017-09-05T18:57:00Z</dcterms:created>
  <dcterms:modified xsi:type="dcterms:W3CDTF">2018-12-10T17:27:00Z</dcterms:modified>
</cp:coreProperties>
</file>