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362AD6">
        <w:rPr>
          <w:rFonts w:cs="Arial"/>
          <w:b/>
          <w:i/>
          <w:sz w:val="22"/>
          <w:szCs w:val="22"/>
        </w:rPr>
        <w:t>JUSTICIA ADMINISTRATIVA DEL ESTAD</w:t>
      </w:r>
      <w:r w:rsidRPr="00930A36">
        <w:rPr>
          <w:rFonts w:cs="Arial"/>
          <w:b/>
          <w:i/>
          <w:sz w:val="22"/>
          <w:szCs w:val="22"/>
        </w:rPr>
        <w:t>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104772">
        <w:rPr>
          <w:rFonts w:cs="Arial"/>
          <w:b/>
          <w:i/>
          <w:sz w:val="22"/>
          <w:szCs w:val="22"/>
        </w:rPr>
        <w:t>71</w:t>
      </w:r>
      <w:r w:rsidR="00D0772C" w:rsidRPr="00930A36">
        <w:rPr>
          <w:rFonts w:cs="Arial"/>
          <w:b/>
          <w:i/>
          <w:sz w:val="22"/>
          <w:szCs w:val="22"/>
        </w:rPr>
        <w:t>/201</w:t>
      </w:r>
      <w:r w:rsidR="00AC45AE">
        <w:rPr>
          <w:rFonts w:cs="Arial"/>
          <w:b/>
          <w:i/>
          <w:sz w:val="22"/>
          <w:szCs w:val="22"/>
        </w:rPr>
        <w:t>8</w:t>
      </w:r>
      <w:r w:rsidR="006D5A60">
        <w:rPr>
          <w:rFonts w:cs="Arial"/>
          <w:b/>
          <w:i/>
          <w:sz w:val="22"/>
          <w:szCs w:val="22"/>
        </w:rPr>
        <w:t>.</w:t>
      </w:r>
    </w:p>
    <w:p w:rsidR="004A41DB" w:rsidRPr="00930A36" w:rsidRDefault="004A41DB" w:rsidP="004A41DB">
      <w:pPr>
        <w:pStyle w:val="corte4fondo"/>
        <w:spacing w:line="240" w:lineRule="auto"/>
        <w:ind w:left="3544" w:right="-496" w:firstLine="0"/>
        <w:rPr>
          <w:rFonts w:cs="Arial"/>
          <w:b/>
          <w:i/>
          <w:sz w:val="22"/>
          <w:szCs w:val="22"/>
        </w:rPr>
      </w:pPr>
    </w:p>
    <w:p w:rsidR="003C7B0F"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673D5B">
        <w:rPr>
          <w:rFonts w:cs="Arial"/>
          <w:b/>
          <w:i/>
          <w:sz w:val="22"/>
          <w:szCs w:val="22"/>
        </w:rPr>
        <w:t xml:space="preserve"> </w:t>
      </w:r>
      <w:r w:rsidR="00063F20">
        <w:rPr>
          <w:rFonts w:cs="Arial"/>
          <w:b/>
          <w:i/>
          <w:sz w:val="22"/>
          <w:szCs w:val="22"/>
        </w:rPr>
        <w:t>********</w:t>
      </w:r>
      <w:r w:rsidR="00022C84">
        <w:rPr>
          <w:rFonts w:cs="Arial"/>
          <w:b/>
          <w:i/>
          <w:sz w:val="22"/>
          <w:szCs w:val="22"/>
        </w:rPr>
        <w:t>.</w:t>
      </w:r>
    </w:p>
    <w:p w:rsidR="00AC4AF9" w:rsidRPr="00930A36" w:rsidRDefault="00AC4AF9"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022C84">
        <w:rPr>
          <w:rFonts w:ascii="Arial" w:hAnsi="Arial" w:cs="Arial"/>
          <w:b/>
          <w:sz w:val="24"/>
          <w:szCs w:val="24"/>
        </w:rPr>
        <w:t>,</w:t>
      </w:r>
      <w:r>
        <w:rPr>
          <w:rFonts w:ascii="Arial" w:hAnsi="Arial" w:cs="Arial"/>
          <w:b/>
          <w:sz w:val="24"/>
          <w:szCs w:val="24"/>
        </w:rPr>
        <w:t xml:space="preserve"> A </w:t>
      </w:r>
      <w:r w:rsidR="00104772">
        <w:rPr>
          <w:rFonts w:ascii="Arial" w:hAnsi="Arial" w:cs="Arial"/>
          <w:b/>
          <w:sz w:val="24"/>
          <w:szCs w:val="24"/>
        </w:rPr>
        <w:t>TRES DE JUNIO</w:t>
      </w:r>
      <w:r w:rsidR="005B5C3F">
        <w:rPr>
          <w:rFonts w:ascii="Arial" w:hAnsi="Arial" w:cs="Arial"/>
          <w:b/>
          <w:sz w:val="24"/>
          <w:szCs w:val="24"/>
        </w:rPr>
        <w:t xml:space="preserve"> DE</w:t>
      </w:r>
      <w:r w:rsidR="000476EE">
        <w:rPr>
          <w:rFonts w:ascii="Arial" w:hAnsi="Arial" w:cs="Arial"/>
          <w:b/>
          <w:sz w:val="24"/>
          <w:szCs w:val="24"/>
        </w:rPr>
        <w:t xml:space="preserve"> DOS MIL DIECI</w:t>
      </w:r>
      <w:r w:rsidR="00104772">
        <w:rPr>
          <w:rFonts w:ascii="Arial" w:hAnsi="Arial" w:cs="Arial"/>
          <w:b/>
          <w:sz w:val="24"/>
          <w:szCs w:val="24"/>
        </w:rPr>
        <w:t>NUEVE</w:t>
      </w:r>
      <w:r w:rsidR="004A41DB" w:rsidRPr="00003F0B">
        <w:rPr>
          <w:rFonts w:ascii="Arial" w:hAnsi="Arial" w:cs="Arial"/>
          <w:b/>
          <w:sz w:val="24"/>
          <w:szCs w:val="24"/>
        </w:rPr>
        <w:t>.</w:t>
      </w:r>
      <w:r w:rsidR="005B5C3F">
        <w:rPr>
          <w:rFonts w:ascii="Arial" w:hAnsi="Arial" w:cs="Arial"/>
          <w:b/>
          <w:sz w:val="24"/>
          <w:szCs w:val="24"/>
        </w:rPr>
        <w:t>-</w:t>
      </w:r>
      <w:r w:rsidR="00127D56">
        <w:rPr>
          <w:rFonts w:ascii="Arial" w:hAnsi="Arial" w:cs="Arial"/>
          <w:b/>
          <w:sz w:val="24"/>
          <w:szCs w:val="24"/>
        </w:rPr>
        <w:t xml:space="preserve">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104772" w:rsidRPr="00104772">
        <w:rPr>
          <w:rFonts w:ascii="Arial" w:hAnsi="Arial" w:cs="Arial"/>
          <w:b/>
          <w:sz w:val="24"/>
          <w:szCs w:val="24"/>
          <w:lang w:val="es-MX"/>
        </w:rPr>
        <w:t>71</w:t>
      </w:r>
      <w:r w:rsidR="00AC45AE" w:rsidRPr="00104772">
        <w:rPr>
          <w:rFonts w:ascii="Arial" w:hAnsi="Arial" w:cs="Arial"/>
          <w:b/>
          <w:sz w:val="24"/>
          <w:szCs w:val="24"/>
          <w:lang w:val="es-MX"/>
        </w:rPr>
        <w:t>/2018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063F20">
        <w:rPr>
          <w:rFonts w:ascii="Arial" w:hAnsi="Arial" w:cs="Arial"/>
          <w:b/>
          <w:sz w:val="24"/>
          <w:szCs w:val="24"/>
          <w:lang w:val="es-MX"/>
        </w:rPr>
        <w:t xml:space="preserve">******** </w:t>
      </w:r>
      <w:r w:rsidR="007528BD">
        <w:rPr>
          <w:rFonts w:ascii="Arial" w:hAnsi="Arial" w:cs="Arial"/>
          <w:sz w:val="24"/>
          <w:szCs w:val="24"/>
          <w:lang w:val="es-MX"/>
        </w:rPr>
        <w:t>en contr</w:t>
      </w:r>
      <w:r w:rsidR="000476EE">
        <w:rPr>
          <w:rFonts w:ascii="Arial" w:hAnsi="Arial" w:cs="Arial"/>
          <w:sz w:val="24"/>
          <w:szCs w:val="24"/>
          <w:lang w:val="es-MX"/>
        </w:rPr>
        <w:t xml:space="preserve">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05260" w:rsidRDefault="00705260" w:rsidP="00B0645B">
      <w:pPr>
        <w:spacing w:line="360" w:lineRule="auto"/>
        <w:ind w:right="-518"/>
        <w:jc w:val="center"/>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9C4F43" w:rsidP="007528BD">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542B11CB" wp14:editId="135677E8">
                <wp:simplePos x="0" y="0"/>
                <wp:positionH relativeFrom="column">
                  <wp:posOffset>-1230630</wp:posOffset>
                </wp:positionH>
                <wp:positionV relativeFrom="paragraph">
                  <wp:posOffset>978535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9C4F43" w:rsidRDefault="009C4F43" w:rsidP="009C4F4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6.9pt;margin-top:77.0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">
                <v:textbox>
                  <w:txbxContent>
                    <w:p w:rsidR="009C4F43" w:rsidRDefault="009C4F43" w:rsidP="009C4F4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de</w:t>
      </w:r>
      <w:r w:rsidR="00705260">
        <w:rPr>
          <w:rFonts w:ascii="Arial" w:hAnsi="Arial" w:cs="Arial"/>
          <w:color w:val="000000"/>
          <w:sz w:val="24"/>
          <w:szCs w:val="24"/>
        </w:rPr>
        <w:t xml:space="preserve"> </w:t>
      </w:r>
      <w:r w:rsidR="00104772">
        <w:rPr>
          <w:rFonts w:ascii="Arial" w:hAnsi="Arial" w:cs="Arial"/>
          <w:color w:val="000000"/>
          <w:sz w:val="24"/>
          <w:szCs w:val="24"/>
        </w:rPr>
        <w:t xml:space="preserve">cinco de septiembre de dos mil </w:t>
      </w:r>
      <w:r w:rsidR="00AC45AE">
        <w:rPr>
          <w:rFonts w:ascii="Arial" w:hAnsi="Arial" w:cs="Arial"/>
          <w:color w:val="000000"/>
          <w:sz w:val="24"/>
          <w:szCs w:val="24"/>
        </w:rPr>
        <w:t>dieciocho</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063F20">
        <w:rPr>
          <w:rFonts w:ascii="Arial" w:hAnsi="Arial" w:cs="Arial"/>
          <w:b/>
          <w:sz w:val="24"/>
          <w:szCs w:val="24"/>
          <w:lang w:val="es-MX"/>
        </w:rPr>
        <w:t>********</w:t>
      </w:r>
      <w:r w:rsidR="0042187B">
        <w:rPr>
          <w:rFonts w:ascii="Arial" w:hAnsi="Arial" w:cs="Arial"/>
          <w:color w:val="000000"/>
          <w:sz w:val="24"/>
          <w:szCs w:val="24"/>
        </w:rPr>
        <w:t>,</w:t>
      </w:r>
      <w:r w:rsidR="00464A66">
        <w:rPr>
          <w:rFonts w:ascii="Arial" w:hAnsi="Arial" w:cs="Arial"/>
          <w:color w:val="000000"/>
          <w:sz w:val="24"/>
          <w:szCs w:val="24"/>
        </w:rPr>
        <w:t xml:space="preserve"> </w:t>
      </w:r>
      <w:r w:rsidR="00705260">
        <w:rPr>
          <w:rFonts w:ascii="Arial" w:hAnsi="Arial" w:cs="Arial"/>
          <w:color w:val="000000"/>
          <w:sz w:val="24"/>
          <w:szCs w:val="24"/>
        </w:rPr>
        <w:t xml:space="preserve">quien 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063F20">
        <w:rPr>
          <w:rFonts w:ascii="Arial" w:hAnsi="Arial" w:cs="Arial"/>
          <w:b/>
          <w:sz w:val="24"/>
          <w:szCs w:val="24"/>
          <w:lang w:val="es-MX"/>
        </w:rPr>
        <w:t>********</w:t>
      </w:r>
      <w:r w:rsidR="0042187B">
        <w:rPr>
          <w:rFonts w:ascii="Arial" w:hAnsi="Arial" w:cs="Arial"/>
          <w:color w:val="000000"/>
          <w:sz w:val="24"/>
          <w:szCs w:val="24"/>
        </w:rPr>
        <w:t xml:space="preserve"> </w:t>
      </w:r>
      <w:r w:rsidR="00464A66">
        <w:rPr>
          <w:rFonts w:ascii="Arial" w:hAnsi="Arial" w:cs="Arial"/>
          <w:color w:val="000000"/>
          <w:sz w:val="24"/>
          <w:szCs w:val="24"/>
        </w:rPr>
        <w:t xml:space="preserve">de </w:t>
      </w:r>
      <w:r w:rsidR="000F2596">
        <w:rPr>
          <w:rFonts w:ascii="Arial" w:hAnsi="Arial" w:cs="Arial"/>
          <w:color w:val="000000"/>
          <w:sz w:val="24"/>
          <w:szCs w:val="24"/>
        </w:rPr>
        <w:t>ocho de agosto de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w:t>
      </w:r>
      <w:r w:rsidR="00B237AA">
        <w:rPr>
          <w:rFonts w:ascii="Arial" w:hAnsi="Arial" w:cs="Arial"/>
          <w:color w:val="000000"/>
          <w:sz w:val="24"/>
          <w:szCs w:val="24"/>
        </w:rPr>
        <w:t>.</w:t>
      </w:r>
      <w:r w:rsidR="006A03AA">
        <w:rPr>
          <w:rFonts w:ascii="Arial" w:hAnsi="Arial" w:cs="Arial"/>
          <w:color w:val="000000"/>
          <w:sz w:val="24"/>
          <w:szCs w:val="24"/>
        </w:rPr>
        <w:t xml:space="preserve"> - - - </w:t>
      </w:r>
      <w:r w:rsidR="002A0256">
        <w:rPr>
          <w:rFonts w:ascii="Arial" w:hAnsi="Arial" w:cs="Arial"/>
          <w:color w:val="000000"/>
          <w:sz w:val="24"/>
          <w:szCs w:val="24"/>
        </w:rPr>
        <w:t xml:space="preserve">- - </w:t>
      </w:r>
      <w:r w:rsidR="00AE4748">
        <w:rPr>
          <w:rFonts w:ascii="Arial" w:hAnsi="Arial" w:cs="Arial"/>
          <w:color w:val="000000"/>
          <w:sz w:val="24"/>
          <w:szCs w:val="24"/>
        </w:rPr>
        <w:t xml:space="preserve">- - - - </w:t>
      </w:r>
      <w:r w:rsidR="00464A66">
        <w:rPr>
          <w:rFonts w:ascii="Arial" w:hAnsi="Arial" w:cs="Arial"/>
          <w:color w:val="000000"/>
          <w:sz w:val="24"/>
          <w:szCs w:val="24"/>
        </w:rPr>
        <w:t xml:space="preserve">- - - - - - - - </w:t>
      </w:r>
    </w:p>
    <w:p w:rsidR="005F0D67" w:rsidRPr="003E09AA" w:rsidRDefault="005F0D67" w:rsidP="00B8086C">
      <w:pPr>
        <w:spacing w:line="360" w:lineRule="auto"/>
        <w:ind w:right="-518" w:firstLine="567"/>
        <w:jc w:val="both"/>
        <w:rPr>
          <w:rFonts w:ascii="Arial" w:hAnsi="Arial" w:cs="Arial"/>
          <w:color w:val="000000"/>
          <w:sz w:val="24"/>
          <w:szCs w:val="24"/>
        </w:rPr>
      </w:pPr>
    </w:p>
    <w:p w:rsidR="00475DF1" w:rsidRDefault="006B6CB5" w:rsidP="00475DF1">
      <w:pPr>
        <w:spacing w:line="360" w:lineRule="auto"/>
        <w:ind w:right="-518" w:firstLine="567"/>
        <w:jc w:val="both"/>
        <w:rPr>
          <w:rFonts w:ascii="Arial" w:hAnsi="Arial" w:cs="Arial"/>
          <w:sz w:val="24"/>
          <w:szCs w:val="24"/>
          <w:lang w:val="es-MX"/>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E05DC8">
        <w:rPr>
          <w:rFonts w:ascii="Arial" w:hAnsi="Arial" w:cs="Arial"/>
          <w:sz w:val="24"/>
          <w:szCs w:val="24"/>
          <w:lang w:val="es-MX"/>
        </w:rPr>
        <w:t xml:space="preserve">El </w:t>
      </w:r>
      <w:r w:rsidR="00104772">
        <w:rPr>
          <w:rFonts w:ascii="Arial" w:hAnsi="Arial" w:cs="Arial"/>
          <w:sz w:val="24"/>
          <w:szCs w:val="24"/>
          <w:lang w:val="es-MX"/>
        </w:rPr>
        <w:t>cinco de octubre</w:t>
      </w:r>
      <w:r w:rsidR="00475DF1">
        <w:rPr>
          <w:rFonts w:ascii="Arial" w:hAnsi="Arial" w:cs="Arial"/>
          <w:sz w:val="24"/>
          <w:szCs w:val="24"/>
          <w:lang w:val="es-MX"/>
        </w:rPr>
        <w:t xml:space="preserve"> del</w:t>
      </w:r>
      <w:r w:rsidR="00104772">
        <w:rPr>
          <w:rFonts w:ascii="Arial" w:hAnsi="Arial" w:cs="Arial"/>
          <w:sz w:val="24"/>
          <w:szCs w:val="24"/>
          <w:lang w:val="es-MX"/>
        </w:rPr>
        <w:t xml:space="preserve"> dos mil dieciocho</w:t>
      </w:r>
      <w:r w:rsidR="00475DF1">
        <w:rPr>
          <w:rFonts w:ascii="Arial" w:hAnsi="Arial" w:cs="Arial"/>
          <w:sz w:val="24"/>
          <w:szCs w:val="24"/>
          <w:lang w:val="es-MX"/>
        </w:rPr>
        <w:t xml:space="preserve">, </w:t>
      </w:r>
      <w:r w:rsidR="00AC45AE">
        <w:rPr>
          <w:rFonts w:ascii="Arial" w:hAnsi="Arial" w:cs="Arial"/>
          <w:sz w:val="24"/>
          <w:szCs w:val="24"/>
          <w:lang w:val="es-MX"/>
        </w:rPr>
        <w:t xml:space="preserve">se tuvo a la Directora de lo Contencioso de la Procuraduría Fiscal de la Secretaría de Finanzas del Poder Ejecutivo del Estado, contestando la demanda en representación de la Directora de ingresos y Recaudación de la citada Secretaría, haciendo valer sus argumentos y defensas, por ofrecidas las pruebas de su parte. Y con copia de la demanda y anexos, se ordenó correr traslado a la parte actora, </w:t>
      </w:r>
      <w:r w:rsidR="00104772">
        <w:rPr>
          <w:rFonts w:ascii="Arial" w:hAnsi="Arial" w:cs="Arial"/>
          <w:sz w:val="24"/>
          <w:szCs w:val="24"/>
          <w:lang w:val="es-MX"/>
        </w:rPr>
        <w:t xml:space="preserve">para que ampliara su demanda, apercibido que de no hacerlo, se declararía la preclusión de su derecho. </w:t>
      </w:r>
      <w:r w:rsidR="00475DF1">
        <w:rPr>
          <w:rFonts w:ascii="Arial" w:hAnsi="Arial" w:cs="Arial"/>
          <w:sz w:val="24"/>
          <w:szCs w:val="24"/>
          <w:lang w:val="es-MX"/>
        </w:rPr>
        <w:t xml:space="preserve">- - - - - - - - - </w:t>
      </w:r>
    </w:p>
    <w:p w:rsidR="00475DF1" w:rsidRDefault="00475DF1" w:rsidP="00AE010A">
      <w:pPr>
        <w:spacing w:line="360" w:lineRule="auto"/>
        <w:ind w:right="-518" w:firstLine="567"/>
        <w:jc w:val="both"/>
        <w:rPr>
          <w:rFonts w:ascii="Arial" w:hAnsi="Arial" w:cs="Arial"/>
          <w:b/>
          <w:bCs/>
          <w:color w:val="000000"/>
          <w:sz w:val="24"/>
          <w:szCs w:val="24"/>
        </w:rPr>
      </w:pPr>
    </w:p>
    <w:p w:rsidR="00C26708" w:rsidRDefault="006A219F" w:rsidP="00AE010A">
      <w:pPr>
        <w:spacing w:line="360" w:lineRule="auto"/>
        <w:ind w:right="-518" w:firstLine="567"/>
        <w:jc w:val="both"/>
        <w:rPr>
          <w:rFonts w:ascii="Arial" w:hAnsi="Arial" w:cs="Arial"/>
          <w:sz w:val="24"/>
          <w:szCs w:val="24"/>
        </w:rPr>
      </w:pPr>
      <w:r>
        <w:rPr>
          <w:rFonts w:ascii="Arial" w:hAnsi="Arial" w:cs="Arial"/>
          <w:b/>
          <w:sz w:val="24"/>
          <w:szCs w:val="24"/>
        </w:rPr>
        <w:t xml:space="preserve">TERCERO. </w:t>
      </w:r>
      <w:r w:rsidR="00C26708">
        <w:rPr>
          <w:rFonts w:ascii="Arial" w:hAnsi="Arial" w:cs="Arial"/>
          <w:sz w:val="24"/>
          <w:szCs w:val="24"/>
        </w:rPr>
        <w:t xml:space="preserve">Con fecha </w:t>
      </w:r>
      <w:r w:rsidR="00104772">
        <w:rPr>
          <w:rFonts w:ascii="Arial" w:hAnsi="Arial" w:cs="Arial"/>
          <w:sz w:val="24"/>
          <w:szCs w:val="24"/>
        </w:rPr>
        <w:t>catorce de noviembre del dos mil dieciocho</w:t>
      </w:r>
      <w:r w:rsidR="00C26708">
        <w:rPr>
          <w:rFonts w:ascii="Arial" w:hAnsi="Arial" w:cs="Arial"/>
          <w:sz w:val="24"/>
          <w:szCs w:val="24"/>
        </w:rPr>
        <w:t>, se tuvo a la actora, ampliando la demanda, y se ordenó notificar y correr traslado a la</w:t>
      </w:r>
      <w:r w:rsidR="00104772">
        <w:rPr>
          <w:rFonts w:ascii="Arial" w:hAnsi="Arial" w:cs="Arial"/>
          <w:sz w:val="24"/>
          <w:szCs w:val="24"/>
        </w:rPr>
        <w:t>s</w:t>
      </w:r>
      <w:r w:rsidR="00C26708">
        <w:rPr>
          <w:rFonts w:ascii="Arial" w:hAnsi="Arial" w:cs="Arial"/>
          <w:sz w:val="24"/>
          <w:szCs w:val="24"/>
        </w:rPr>
        <w:t xml:space="preserve"> autoridad</w:t>
      </w:r>
      <w:r w:rsidR="00104772">
        <w:rPr>
          <w:rFonts w:ascii="Arial" w:hAnsi="Arial" w:cs="Arial"/>
          <w:sz w:val="24"/>
          <w:szCs w:val="24"/>
        </w:rPr>
        <w:t>es</w:t>
      </w:r>
      <w:r w:rsidR="00C26708">
        <w:rPr>
          <w:rFonts w:ascii="Arial" w:hAnsi="Arial" w:cs="Arial"/>
          <w:sz w:val="24"/>
          <w:szCs w:val="24"/>
        </w:rPr>
        <w:t xml:space="preserve"> demandada</w:t>
      </w:r>
      <w:r w:rsidR="00104772">
        <w:rPr>
          <w:rFonts w:ascii="Arial" w:hAnsi="Arial" w:cs="Arial"/>
          <w:sz w:val="24"/>
          <w:szCs w:val="24"/>
        </w:rPr>
        <w:t>s</w:t>
      </w:r>
      <w:r w:rsidR="00C26708">
        <w:rPr>
          <w:rFonts w:ascii="Arial" w:hAnsi="Arial" w:cs="Arial"/>
          <w:sz w:val="24"/>
          <w:szCs w:val="24"/>
        </w:rPr>
        <w:t>, para que contestara</w:t>
      </w:r>
      <w:r w:rsidR="00104772">
        <w:rPr>
          <w:rFonts w:ascii="Arial" w:hAnsi="Arial" w:cs="Arial"/>
          <w:sz w:val="24"/>
          <w:szCs w:val="24"/>
        </w:rPr>
        <w:t>n</w:t>
      </w:r>
      <w:r w:rsidR="00C26708">
        <w:rPr>
          <w:rFonts w:ascii="Arial" w:hAnsi="Arial" w:cs="Arial"/>
          <w:sz w:val="24"/>
          <w:szCs w:val="24"/>
        </w:rPr>
        <w:t xml:space="preserve"> la ampliación de la demanda, apercibida</w:t>
      </w:r>
      <w:r w:rsidR="00104772">
        <w:rPr>
          <w:rFonts w:ascii="Arial" w:hAnsi="Arial" w:cs="Arial"/>
          <w:sz w:val="24"/>
          <w:szCs w:val="24"/>
        </w:rPr>
        <w:t>s</w:t>
      </w:r>
      <w:r w:rsidR="00C26708">
        <w:rPr>
          <w:rFonts w:ascii="Arial" w:hAnsi="Arial" w:cs="Arial"/>
          <w:sz w:val="24"/>
          <w:szCs w:val="24"/>
        </w:rPr>
        <w:t xml:space="preserve"> que de no hacerlo, se declararía la preclusión de su derecho. - - - - - --  -- </w:t>
      </w:r>
    </w:p>
    <w:p w:rsidR="00C26708" w:rsidRDefault="00C26708" w:rsidP="00AE010A">
      <w:pPr>
        <w:spacing w:line="360" w:lineRule="auto"/>
        <w:ind w:right="-518" w:firstLine="567"/>
        <w:jc w:val="both"/>
        <w:rPr>
          <w:rFonts w:ascii="Arial" w:hAnsi="Arial" w:cs="Arial"/>
          <w:sz w:val="24"/>
          <w:szCs w:val="24"/>
        </w:rPr>
      </w:pPr>
    </w:p>
    <w:p w:rsidR="00EE511C" w:rsidRDefault="00104772" w:rsidP="00AE010A">
      <w:pPr>
        <w:spacing w:line="360" w:lineRule="auto"/>
        <w:ind w:right="-518" w:firstLine="567"/>
        <w:jc w:val="both"/>
        <w:rPr>
          <w:rFonts w:ascii="Arial" w:hAnsi="Arial" w:cs="Arial"/>
          <w:sz w:val="24"/>
          <w:szCs w:val="24"/>
        </w:rPr>
      </w:pPr>
      <w:r>
        <w:rPr>
          <w:rFonts w:ascii="Arial" w:hAnsi="Arial" w:cs="Arial"/>
          <w:b/>
          <w:sz w:val="24"/>
          <w:szCs w:val="24"/>
        </w:rPr>
        <w:lastRenderedPageBreak/>
        <w:t>CUARTO</w:t>
      </w:r>
      <w:r w:rsidR="001A7545">
        <w:rPr>
          <w:rFonts w:ascii="Arial" w:hAnsi="Arial" w:cs="Arial"/>
          <w:b/>
          <w:sz w:val="24"/>
          <w:szCs w:val="24"/>
        </w:rPr>
        <w:t xml:space="preserve">. </w:t>
      </w:r>
      <w:r w:rsidR="00162F50">
        <w:rPr>
          <w:rFonts w:ascii="Arial" w:hAnsi="Arial" w:cs="Arial"/>
          <w:sz w:val="24"/>
          <w:szCs w:val="24"/>
        </w:rPr>
        <w:t xml:space="preserve">Por auto de </w:t>
      </w:r>
      <w:r>
        <w:rPr>
          <w:rFonts w:ascii="Arial" w:hAnsi="Arial" w:cs="Arial"/>
          <w:sz w:val="24"/>
          <w:szCs w:val="24"/>
        </w:rPr>
        <w:t>once de diciembre de dos mil dieciocho</w:t>
      </w:r>
      <w:r w:rsidR="00162F50">
        <w:rPr>
          <w:rFonts w:ascii="Arial" w:hAnsi="Arial" w:cs="Arial"/>
          <w:sz w:val="24"/>
          <w:szCs w:val="24"/>
        </w:rPr>
        <w:t>, se tuvo a la autoridad demandada,</w:t>
      </w:r>
      <w:r w:rsidR="000C3EC6">
        <w:rPr>
          <w:rFonts w:ascii="Arial" w:hAnsi="Arial" w:cs="Arial"/>
          <w:sz w:val="24"/>
          <w:szCs w:val="24"/>
        </w:rPr>
        <w:t xml:space="preserve"> </w:t>
      </w:r>
      <w:r w:rsidR="00162F50">
        <w:rPr>
          <w:rFonts w:ascii="Arial" w:hAnsi="Arial" w:cs="Arial"/>
          <w:sz w:val="24"/>
          <w:szCs w:val="24"/>
        </w:rPr>
        <w:t xml:space="preserve"> </w:t>
      </w:r>
      <w:r w:rsidR="00EE511C">
        <w:rPr>
          <w:rFonts w:ascii="Arial" w:hAnsi="Arial" w:cs="Arial"/>
          <w:sz w:val="24"/>
          <w:szCs w:val="24"/>
        </w:rPr>
        <w:t>contestando la ampliación de la demanda de actor, y con el citado escrito, se ordenó correr traslado a la actora.</w:t>
      </w:r>
    </w:p>
    <w:p w:rsidR="00EE511C" w:rsidRDefault="00EE511C" w:rsidP="00AE010A">
      <w:pPr>
        <w:spacing w:line="360" w:lineRule="auto"/>
        <w:ind w:right="-518" w:firstLine="567"/>
        <w:jc w:val="both"/>
        <w:rPr>
          <w:rFonts w:ascii="Arial" w:hAnsi="Arial" w:cs="Arial"/>
          <w:sz w:val="24"/>
          <w:szCs w:val="24"/>
        </w:rPr>
      </w:pPr>
      <w:r>
        <w:rPr>
          <w:rFonts w:ascii="Arial" w:hAnsi="Arial" w:cs="Arial"/>
          <w:sz w:val="24"/>
          <w:szCs w:val="24"/>
        </w:rPr>
        <w:t xml:space="preserve">Por último, se señaló fecha y hora para  la audiencia final. - - - - - - - - - - - - - - - </w:t>
      </w:r>
    </w:p>
    <w:p w:rsidR="00EE511C" w:rsidRDefault="00EE511C" w:rsidP="00AE010A">
      <w:pPr>
        <w:spacing w:line="360" w:lineRule="auto"/>
        <w:ind w:right="-518" w:firstLine="567"/>
        <w:jc w:val="both"/>
        <w:rPr>
          <w:rFonts w:ascii="Arial" w:hAnsi="Arial" w:cs="Arial"/>
          <w:sz w:val="24"/>
          <w:szCs w:val="24"/>
        </w:rPr>
      </w:pPr>
    </w:p>
    <w:p w:rsidR="004045BC" w:rsidRPr="006755D4" w:rsidRDefault="003F1D5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QUIN</w:t>
      </w:r>
      <w:r w:rsidR="00EE511C">
        <w:rPr>
          <w:rFonts w:ascii="Arial" w:hAnsi="Arial" w:cs="Arial"/>
          <w:b/>
          <w:sz w:val="24"/>
          <w:szCs w:val="24"/>
          <w:lang w:val="es-MX"/>
        </w:rPr>
        <w:t xml:space="preserve">TO.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EE511C">
        <w:rPr>
          <w:rFonts w:ascii="Arial" w:hAnsi="Arial" w:cs="Arial"/>
          <w:sz w:val="24"/>
          <w:szCs w:val="24"/>
          <w:lang w:val="es-MX"/>
        </w:rPr>
        <w:t xml:space="preserve">se celebró el </w:t>
      </w:r>
      <w:r w:rsidR="00236C1C">
        <w:rPr>
          <w:rFonts w:ascii="Arial" w:hAnsi="Arial" w:cs="Arial"/>
          <w:sz w:val="24"/>
          <w:szCs w:val="24"/>
          <w:lang w:val="es-MX"/>
        </w:rPr>
        <w:t>dieciocho de enero de dos mil diecinueve</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3F1D5A">
        <w:rPr>
          <w:rFonts w:ascii="Arial" w:hAnsi="Arial" w:cs="Arial"/>
          <w:bCs/>
          <w:sz w:val="24"/>
          <w:szCs w:val="24"/>
          <w:lang w:val="es-ES"/>
        </w:rPr>
        <w:t>desahogándose</w:t>
      </w:r>
      <w:r w:rsidR="00FA27E2" w:rsidRPr="003F1D5A">
        <w:rPr>
          <w:rFonts w:ascii="Arial" w:hAnsi="Arial" w:cs="Arial"/>
          <w:bCs/>
          <w:sz w:val="24"/>
          <w:szCs w:val="24"/>
          <w:lang w:val="es-ES"/>
        </w:rPr>
        <w:t xml:space="preserve"> </w:t>
      </w:r>
      <w:r w:rsidR="002159A2" w:rsidRPr="003F1D5A">
        <w:rPr>
          <w:rFonts w:ascii="Arial" w:hAnsi="Arial" w:cs="Arial"/>
          <w:bCs/>
          <w:sz w:val="24"/>
          <w:szCs w:val="24"/>
          <w:lang w:val="es-ES"/>
        </w:rPr>
        <w:t>las pruebas ofre</w:t>
      </w:r>
      <w:r w:rsidR="00B8086C" w:rsidRPr="003F1D5A">
        <w:rPr>
          <w:rFonts w:ascii="Arial" w:hAnsi="Arial" w:cs="Arial"/>
          <w:bCs/>
          <w:sz w:val="24"/>
          <w:szCs w:val="24"/>
          <w:lang w:val="es-ES"/>
        </w:rPr>
        <w:t>cidas y admitidas en el juicio</w:t>
      </w:r>
      <w:r w:rsidR="0054051A" w:rsidRPr="003F1D5A">
        <w:rPr>
          <w:rFonts w:ascii="Arial" w:hAnsi="Arial" w:cs="Arial"/>
          <w:bCs/>
          <w:sz w:val="24"/>
          <w:szCs w:val="24"/>
          <w:lang w:val="es-ES"/>
        </w:rPr>
        <w:t xml:space="preserve">; </w:t>
      </w:r>
      <w:r w:rsidR="0066220A" w:rsidRPr="003F1D5A">
        <w:rPr>
          <w:rFonts w:ascii="Arial" w:hAnsi="Arial" w:cs="Arial"/>
          <w:bCs/>
          <w:sz w:val="24"/>
          <w:szCs w:val="24"/>
          <w:lang w:val="es-ES"/>
        </w:rPr>
        <w:t>se abrió el periodo de alegatos y se dio cuenta</w:t>
      </w:r>
      <w:r w:rsidR="00BA7F97" w:rsidRPr="003F1D5A">
        <w:rPr>
          <w:rFonts w:ascii="Arial" w:hAnsi="Arial" w:cs="Arial"/>
          <w:bCs/>
          <w:sz w:val="24"/>
          <w:szCs w:val="24"/>
          <w:lang w:val="es-ES"/>
        </w:rPr>
        <w:t xml:space="preserve"> que ninguna de las partes exhibi</w:t>
      </w:r>
      <w:r w:rsidR="00EE511C" w:rsidRPr="003F1D5A">
        <w:rPr>
          <w:rFonts w:ascii="Arial" w:hAnsi="Arial" w:cs="Arial"/>
          <w:bCs/>
          <w:sz w:val="24"/>
          <w:szCs w:val="24"/>
          <w:lang w:val="es-ES"/>
        </w:rPr>
        <w:t>ó</w:t>
      </w:r>
      <w:r w:rsidR="00BA7F97" w:rsidRPr="003F1D5A">
        <w:rPr>
          <w:rFonts w:ascii="Arial" w:hAnsi="Arial" w:cs="Arial"/>
          <w:bCs/>
          <w:sz w:val="24"/>
          <w:szCs w:val="24"/>
          <w:lang w:val="es-ES"/>
        </w:rPr>
        <w:t xml:space="preserve"> escrito al respecto</w:t>
      </w:r>
      <w:r w:rsidR="003970CD" w:rsidRPr="003F1D5A">
        <w:rPr>
          <w:rFonts w:ascii="Arial" w:hAnsi="Arial" w:cs="Arial"/>
          <w:bCs/>
          <w:sz w:val="24"/>
          <w:szCs w:val="24"/>
          <w:lang w:val="es-ES"/>
        </w:rPr>
        <w:t xml:space="preserve"> </w:t>
      </w:r>
      <w:r w:rsidR="007C416E" w:rsidRPr="003F1D5A">
        <w:rPr>
          <w:rFonts w:ascii="Arial" w:hAnsi="Arial" w:cs="Arial"/>
          <w:bCs/>
          <w:sz w:val="24"/>
          <w:szCs w:val="24"/>
          <w:lang w:val="es-ES"/>
        </w:rPr>
        <w:t>y se citó para oír sentencia</w:t>
      </w:r>
      <w:r w:rsidR="004045BC" w:rsidRPr="006755D4">
        <w:rPr>
          <w:rFonts w:ascii="Arial" w:hAnsi="Arial" w:cs="Arial"/>
          <w:bCs/>
          <w:sz w:val="24"/>
          <w:szCs w:val="24"/>
          <w:lang w:val="es-ES"/>
        </w:rPr>
        <w:t xml:space="preserve">, </w:t>
      </w:r>
      <w:r w:rsidR="007C416E">
        <w:rPr>
          <w:rFonts w:ascii="Arial" w:hAnsi="Arial" w:cs="Arial"/>
          <w:bCs/>
          <w:sz w:val="24"/>
          <w:szCs w:val="24"/>
          <w:lang w:val="es-ES"/>
        </w:rPr>
        <w:t xml:space="preserve">misma </w:t>
      </w:r>
      <w:r w:rsidR="004045BC" w:rsidRPr="006755D4">
        <w:rPr>
          <w:rFonts w:ascii="Arial" w:hAnsi="Arial" w:cs="Arial"/>
          <w:bCs/>
          <w:sz w:val="24"/>
          <w:szCs w:val="24"/>
          <w:lang w:val="es-ES"/>
        </w:rPr>
        <w:t xml:space="preserve">que ahora se pronuncia, y: - - - - - - - </w:t>
      </w:r>
      <w:r w:rsidR="009D30EC" w:rsidRPr="006755D4">
        <w:rPr>
          <w:rFonts w:ascii="Arial" w:hAnsi="Arial" w:cs="Arial"/>
          <w:bCs/>
          <w:sz w:val="24"/>
          <w:szCs w:val="24"/>
          <w:lang w:val="es-ES"/>
        </w:rPr>
        <w:t xml:space="preserve">-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CD763E"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3F1D5A" w:rsidRPr="00CD763E">
        <w:rPr>
          <w:rFonts w:ascii="Arial" w:hAnsi="Arial" w:cs="Arial"/>
          <w:color w:val="000000"/>
          <w:sz w:val="24"/>
          <w:szCs w:val="24"/>
        </w:rPr>
        <w:t>Esta Tercera Sala Unitaria de Primera Instancia del Tribunal de Justicia Administrativa del Estado, es competente para conocer y resolver del pres</w:t>
      </w:r>
      <w:r w:rsidR="003F1D5A">
        <w:rPr>
          <w:rFonts w:ascii="Arial" w:hAnsi="Arial" w:cs="Arial"/>
          <w:color w:val="000000"/>
          <w:sz w:val="24"/>
          <w:szCs w:val="24"/>
        </w:rPr>
        <w:t>ente juicio, con fundamento en e</w:t>
      </w:r>
      <w:r w:rsidR="003F1D5A" w:rsidRPr="00CD763E">
        <w:rPr>
          <w:rFonts w:ascii="Arial" w:hAnsi="Arial" w:cs="Arial"/>
          <w:color w:val="000000"/>
          <w:sz w:val="24"/>
          <w:szCs w:val="24"/>
        </w:rPr>
        <w:t>l</w:t>
      </w:r>
      <w:r w:rsidR="003F1D5A">
        <w:rPr>
          <w:rFonts w:ascii="Arial" w:hAnsi="Arial" w:cs="Arial"/>
          <w:color w:val="000000"/>
          <w:sz w:val="24"/>
          <w:szCs w:val="24"/>
        </w:rPr>
        <w:t xml:space="preserve"> artículo 116, fracción V, de la Constitución Política de los Estados Unidos Mexicanos; </w:t>
      </w:r>
      <w:r w:rsidR="003F1D5A" w:rsidRPr="00CD763E">
        <w:rPr>
          <w:rFonts w:ascii="Arial" w:hAnsi="Arial" w:cs="Arial"/>
          <w:color w:val="000000"/>
          <w:sz w:val="24"/>
          <w:szCs w:val="24"/>
        </w:rPr>
        <w:t>114 Quá</w:t>
      </w:r>
      <w:r w:rsidR="003F1D5A">
        <w:rPr>
          <w:rFonts w:ascii="Arial" w:hAnsi="Arial" w:cs="Arial"/>
          <w:color w:val="000000"/>
          <w:sz w:val="24"/>
          <w:szCs w:val="24"/>
        </w:rPr>
        <w:t>r</w:t>
      </w:r>
      <w:r w:rsidR="003F1D5A" w:rsidRPr="00CD763E">
        <w:rPr>
          <w:rFonts w:ascii="Arial" w:hAnsi="Arial" w:cs="Arial"/>
          <w:color w:val="000000"/>
          <w:sz w:val="24"/>
          <w:szCs w:val="24"/>
        </w:rPr>
        <w:t xml:space="preserve">ter, de la Constitución Política del Estado Libre y Soberano de Oaxaca; </w:t>
      </w:r>
      <w:r w:rsidR="003F1D5A" w:rsidRPr="00CD763E">
        <w:rPr>
          <w:rFonts w:ascii="Arial" w:hAnsi="Arial" w:cs="Arial"/>
          <w:bCs/>
          <w:color w:val="000000"/>
          <w:sz w:val="24"/>
          <w:szCs w:val="24"/>
          <w:lang w:val="es-ES"/>
        </w:rPr>
        <w:t>120</w:t>
      </w:r>
      <w:r w:rsidR="003F1D5A">
        <w:rPr>
          <w:rFonts w:ascii="Arial" w:hAnsi="Arial" w:cs="Arial"/>
          <w:bCs/>
          <w:color w:val="000000"/>
          <w:sz w:val="24"/>
          <w:szCs w:val="24"/>
          <w:lang w:val="es-ES"/>
        </w:rPr>
        <w:t xml:space="preserve"> fracción IV</w:t>
      </w:r>
      <w:r w:rsidR="003F1D5A" w:rsidRPr="00CD763E">
        <w:rPr>
          <w:rFonts w:ascii="Arial" w:hAnsi="Arial" w:cs="Arial"/>
          <w:bCs/>
          <w:color w:val="000000"/>
          <w:sz w:val="24"/>
          <w:szCs w:val="24"/>
          <w:lang w:val="es-ES"/>
        </w:rPr>
        <w:t>, 129,  133</w:t>
      </w:r>
      <w:r w:rsidR="003F1D5A">
        <w:rPr>
          <w:rFonts w:ascii="Arial" w:hAnsi="Arial" w:cs="Arial"/>
          <w:bCs/>
          <w:color w:val="000000"/>
          <w:sz w:val="24"/>
          <w:szCs w:val="24"/>
          <w:lang w:val="es-ES"/>
        </w:rPr>
        <w:t>, fracción I</w:t>
      </w:r>
      <w:r w:rsidR="003F1D5A" w:rsidRPr="00CD763E">
        <w:rPr>
          <w:rFonts w:ascii="Arial" w:hAnsi="Arial" w:cs="Arial"/>
          <w:bCs/>
          <w:color w:val="000000"/>
          <w:sz w:val="24"/>
          <w:szCs w:val="24"/>
          <w:lang w:val="es-ES"/>
        </w:rPr>
        <w:t xml:space="preserve">, y 146 de la Ley de Procedimiento y Justicia Administrativa para el Estado de Oaxaca, por tratarse </w:t>
      </w:r>
      <w:r w:rsidR="003F1D5A" w:rsidRPr="00CD763E">
        <w:rPr>
          <w:rFonts w:ascii="Arial" w:hAnsi="Arial" w:cs="Arial"/>
          <w:color w:val="000000"/>
          <w:sz w:val="24"/>
          <w:szCs w:val="24"/>
        </w:rPr>
        <w:t>de un acto atribuido a una autoridad</w:t>
      </w:r>
      <w:r w:rsidR="003F1D5A" w:rsidRPr="00CD763E">
        <w:rPr>
          <w:rFonts w:ascii="Arial" w:hAnsi="Arial" w:cs="Arial"/>
          <w:sz w:val="24"/>
          <w:szCs w:val="24"/>
        </w:rPr>
        <w:t xml:space="preserve"> </w:t>
      </w:r>
      <w:r w:rsidR="003F1D5A">
        <w:rPr>
          <w:rFonts w:ascii="Arial" w:hAnsi="Arial" w:cs="Arial"/>
          <w:sz w:val="24"/>
          <w:szCs w:val="24"/>
        </w:rPr>
        <w:t>administrativa</w:t>
      </w:r>
      <w:r w:rsidR="003F1D5A" w:rsidRPr="00CD763E">
        <w:rPr>
          <w:rFonts w:ascii="Arial" w:hAnsi="Arial" w:cs="Arial"/>
          <w:sz w:val="24"/>
          <w:szCs w:val="24"/>
        </w:rPr>
        <w:t xml:space="preserve"> de carácter </w:t>
      </w:r>
      <w:r w:rsidR="003F1D5A">
        <w:rPr>
          <w:rFonts w:ascii="Arial" w:hAnsi="Arial" w:cs="Arial"/>
          <w:sz w:val="24"/>
          <w:szCs w:val="24"/>
        </w:rPr>
        <w:t>municipal</w:t>
      </w:r>
      <w:r w:rsidR="003F1D5A" w:rsidRPr="00CD763E">
        <w:rPr>
          <w:rFonts w:ascii="Arial" w:hAnsi="Arial" w:cs="Arial"/>
          <w:sz w:val="24"/>
          <w:szCs w:val="24"/>
        </w:rPr>
        <w:t xml:space="preserve">, ya que de conformidad con el último de los preceptos citados, este Tribunal tiene jurisdicción en todo el territorio del Estado. </w:t>
      </w:r>
      <w:r w:rsidR="003F1D5A">
        <w:rPr>
          <w:rFonts w:ascii="Arial" w:hAnsi="Arial" w:cs="Arial"/>
          <w:sz w:val="24"/>
          <w:szCs w:val="24"/>
        </w:rPr>
        <w:t>- - - - - - - - - - - - - - - - - - - - - - - - - - - - -</w:t>
      </w:r>
    </w:p>
    <w:p w:rsidR="002A3764" w:rsidRPr="00CD763E" w:rsidRDefault="002A3764" w:rsidP="002A3764">
      <w:pPr>
        <w:spacing w:line="360" w:lineRule="auto"/>
        <w:ind w:firstLine="708"/>
        <w:jc w:val="both"/>
        <w:rPr>
          <w:rFonts w:ascii="Arial" w:hAnsi="Arial" w:cs="Arial"/>
          <w:sz w:val="24"/>
          <w:szCs w:val="24"/>
        </w:rPr>
      </w:pPr>
    </w:p>
    <w:p w:rsidR="002B7F87" w:rsidRDefault="002A3764" w:rsidP="00323C32">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00C108C5" w:rsidRPr="00CD763E">
        <w:rPr>
          <w:rFonts w:ascii="Arial" w:hAnsi="Arial" w:cs="Arial"/>
          <w:sz w:val="24"/>
          <w:szCs w:val="24"/>
        </w:rPr>
        <w:t>La personalidad de las partes, quedó acreditada en términos del artículo 1</w:t>
      </w:r>
      <w:r w:rsidR="00A97B12" w:rsidRPr="00CD763E">
        <w:rPr>
          <w:rFonts w:ascii="Arial" w:hAnsi="Arial" w:cs="Arial"/>
          <w:sz w:val="24"/>
          <w:szCs w:val="24"/>
        </w:rPr>
        <w:t>48</w:t>
      </w:r>
      <w:r w:rsidR="00C108C5" w:rsidRPr="00CD763E">
        <w:rPr>
          <w:rFonts w:ascii="Arial" w:hAnsi="Arial" w:cs="Arial"/>
          <w:sz w:val="24"/>
          <w:szCs w:val="24"/>
        </w:rPr>
        <w:t xml:space="preserve"> y </w:t>
      </w:r>
      <w:r w:rsidR="00A97B12" w:rsidRPr="00CD763E">
        <w:rPr>
          <w:rFonts w:ascii="Arial" w:hAnsi="Arial" w:cs="Arial"/>
          <w:sz w:val="24"/>
          <w:szCs w:val="24"/>
        </w:rPr>
        <w:t>151</w:t>
      </w:r>
      <w:r w:rsidR="00C108C5" w:rsidRPr="00CD763E">
        <w:rPr>
          <w:rFonts w:ascii="Arial" w:hAnsi="Arial" w:cs="Arial"/>
          <w:sz w:val="24"/>
          <w:szCs w:val="24"/>
        </w:rPr>
        <w:t xml:space="preserve"> de la Ley de</w:t>
      </w:r>
      <w:r w:rsidR="00A97B12" w:rsidRPr="00CD763E">
        <w:rPr>
          <w:rFonts w:ascii="Arial" w:hAnsi="Arial" w:cs="Arial"/>
          <w:sz w:val="24"/>
          <w:szCs w:val="24"/>
        </w:rPr>
        <w:t xml:space="preserve"> Procedimiento de </w:t>
      </w:r>
      <w:r w:rsidR="00C108C5" w:rsidRPr="00CD763E">
        <w:rPr>
          <w:rFonts w:ascii="Arial" w:hAnsi="Arial" w:cs="Arial"/>
          <w:sz w:val="24"/>
          <w:szCs w:val="24"/>
        </w:rPr>
        <w:t xml:space="preserve"> Justicia Administrativa para el Estado, </w:t>
      </w:r>
      <w:r w:rsidR="00C108C5" w:rsidRPr="00CD763E">
        <w:rPr>
          <w:rFonts w:ascii="Arial" w:hAnsi="Arial" w:cs="Arial"/>
          <w:bCs/>
          <w:color w:val="000000"/>
          <w:sz w:val="24"/>
          <w:szCs w:val="24"/>
        </w:rPr>
        <w:t xml:space="preserve">ya que </w:t>
      </w:r>
      <w:r w:rsidR="003F1D5A">
        <w:rPr>
          <w:rFonts w:ascii="Arial" w:hAnsi="Arial" w:cs="Arial"/>
          <w:bCs/>
          <w:color w:val="000000"/>
          <w:sz w:val="24"/>
          <w:szCs w:val="24"/>
        </w:rPr>
        <w:t>el</w:t>
      </w:r>
      <w:r w:rsidR="00C108C5" w:rsidRPr="00CD763E">
        <w:rPr>
          <w:rFonts w:ascii="Arial" w:hAnsi="Arial" w:cs="Arial"/>
          <w:bCs/>
          <w:color w:val="000000"/>
          <w:sz w:val="24"/>
          <w:szCs w:val="24"/>
        </w:rPr>
        <w:t xml:space="preserve"> actor</w:t>
      </w:r>
      <w:r w:rsidR="003F1D5A">
        <w:rPr>
          <w:rFonts w:ascii="Arial" w:hAnsi="Arial" w:cs="Arial"/>
          <w:bCs/>
          <w:color w:val="000000"/>
          <w:sz w:val="24"/>
          <w:szCs w:val="24"/>
        </w:rPr>
        <w:t xml:space="preserve"> </w:t>
      </w:r>
      <w:r w:rsidR="00063F20">
        <w:rPr>
          <w:rFonts w:ascii="Arial" w:hAnsi="Arial" w:cs="Arial"/>
          <w:b/>
          <w:sz w:val="24"/>
          <w:szCs w:val="24"/>
          <w:lang w:val="es-MX"/>
        </w:rPr>
        <w:t>********</w:t>
      </w:r>
      <w:r w:rsidR="00323C32">
        <w:rPr>
          <w:rFonts w:ascii="Arial" w:hAnsi="Arial" w:cs="Arial"/>
          <w:bCs/>
          <w:color w:val="000000"/>
          <w:sz w:val="24"/>
          <w:szCs w:val="24"/>
        </w:rPr>
        <w:t xml:space="preserve"> promueve por su propio derecho </w:t>
      </w:r>
      <w:r w:rsidR="00136097">
        <w:rPr>
          <w:rFonts w:ascii="Arial" w:hAnsi="Arial" w:cs="Arial"/>
          <w:bCs/>
          <w:color w:val="000000"/>
          <w:sz w:val="24"/>
          <w:szCs w:val="24"/>
        </w:rPr>
        <w:t>y l</w:t>
      </w:r>
      <w:r w:rsidR="003972F6">
        <w:rPr>
          <w:rFonts w:ascii="Arial" w:hAnsi="Arial" w:cs="Arial"/>
          <w:bCs/>
          <w:color w:val="000000"/>
          <w:sz w:val="24"/>
          <w:szCs w:val="24"/>
        </w:rPr>
        <w:t xml:space="preserve">a </w:t>
      </w:r>
      <w:r w:rsidR="006A219F">
        <w:rPr>
          <w:rFonts w:ascii="Arial" w:hAnsi="Arial" w:cs="Arial"/>
          <w:bCs/>
          <w:color w:val="000000"/>
          <w:sz w:val="24"/>
          <w:szCs w:val="24"/>
        </w:rPr>
        <w:t>D</w:t>
      </w:r>
      <w:r w:rsidR="00F67F5B">
        <w:rPr>
          <w:rFonts w:ascii="Arial" w:hAnsi="Arial" w:cs="Arial"/>
          <w:bCs/>
          <w:color w:val="000000"/>
          <w:sz w:val="24"/>
          <w:szCs w:val="24"/>
        </w:rPr>
        <w:t>irector</w:t>
      </w:r>
      <w:r w:rsidR="00BA7F97">
        <w:rPr>
          <w:rFonts w:ascii="Arial" w:hAnsi="Arial" w:cs="Arial"/>
          <w:bCs/>
          <w:color w:val="000000"/>
          <w:sz w:val="24"/>
          <w:szCs w:val="24"/>
        </w:rPr>
        <w:t>a de lo Contencioso de la Procuraduría Fiscal de la Secretaría de Finanzas del Poder Ejecutivo del Estado de Oaxaca,</w:t>
      </w:r>
      <w:r w:rsidR="00BC5E4F">
        <w:rPr>
          <w:rFonts w:ascii="Arial" w:hAnsi="Arial" w:cs="Arial"/>
          <w:bCs/>
          <w:color w:val="000000"/>
          <w:sz w:val="24"/>
          <w:szCs w:val="24"/>
        </w:rPr>
        <w:t xml:space="preserve"> en representación de la autoridad demandada</w:t>
      </w:r>
      <w:r w:rsidR="003972F6">
        <w:rPr>
          <w:rFonts w:ascii="Arial" w:hAnsi="Arial" w:cs="Arial"/>
          <w:bCs/>
          <w:color w:val="000000"/>
          <w:sz w:val="24"/>
          <w:szCs w:val="24"/>
        </w:rPr>
        <w:t>,</w:t>
      </w:r>
      <w:r w:rsidR="00BA7F97">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D014BE">
        <w:rPr>
          <w:rFonts w:ascii="Arial" w:hAnsi="Arial" w:cs="Arial"/>
          <w:sz w:val="24"/>
          <w:szCs w:val="24"/>
        </w:rPr>
        <w:t xml:space="preserve"> </w:t>
      </w:r>
      <w:r w:rsidR="004E0C3B">
        <w:rPr>
          <w:rFonts w:ascii="Arial" w:hAnsi="Arial" w:cs="Arial"/>
          <w:sz w:val="24"/>
          <w:szCs w:val="24"/>
        </w:rPr>
        <w:t>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w:t>
      </w:r>
      <w:r w:rsidR="00D014BE">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BC5E4F">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w:t>
      </w:r>
      <w:r w:rsidR="002C7FE0">
        <w:rPr>
          <w:rFonts w:ascii="Arial" w:hAnsi="Arial" w:cs="Arial"/>
          <w:sz w:val="24"/>
          <w:szCs w:val="24"/>
        </w:rPr>
        <w:t xml:space="preserve"> 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2C7FE0">
        <w:rPr>
          <w:rFonts w:ascii="Arial" w:hAnsi="Arial" w:cs="Arial"/>
          <w:sz w:val="24"/>
          <w:szCs w:val="24"/>
        </w:rPr>
        <w:t>- - - - -</w:t>
      </w:r>
      <w:r w:rsidR="00CD763E">
        <w:rPr>
          <w:rFonts w:ascii="Arial" w:hAnsi="Arial" w:cs="Arial"/>
          <w:sz w:val="24"/>
          <w:szCs w:val="24"/>
        </w:rPr>
        <w:t xml:space="preserve"> - - - - - - - - - - - - - - - - - - - - - - - - - - - - - - - - - - - - - - - </w:t>
      </w:r>
      <w:r w:rsidR="00000A25">
        <w:rPr>
          <w:rFonts w:ascii="Arial" w:hAnsi="Arial" w:cs="Arial"/>
          <w:sz w:val="24"/>
          <w:szCs w:val="24"/>
        </w:rPr>
        <w:t xml:space="preserve">- - - - - - - </w:t>
      </w:r>
    </w:p>
    <w:p w:rsidR="00D014BE" w:rsidRDefault="00D014BE" w:rsidP="00D014BE">
      <w:pPr>
        <w:spacing w:line="360" w:lineRule="auto"/>
        <w:ind w:right="-518"/>
        <w:jc w:val="both"/>
        <w:rPr>
          <w:rFonts w:ascii="Arial" w:hAnsi="Arial" w:cs="Arial"/>
          <w:sz w:val="24"/>
          <w:szCs w:val="24"/>
        </w:rPr>
      </w:pPr>
      <w:r>
        <w:rPr>
          <w:rFonts w:ascii="Arial" w:hAnsi="Arial" w:cs="Arial"/>
          <w:sz w:val="24"/>
          <w:szCs w:val="24"/>
        </w:rPr>
        <w:t xml:space="preserve"> </w:t>
      </w:r>
    </w:p>
    <w:p w:rsidR="002E0F3A" w:rsidRDefault="00C108C5" w:rsidP="00D7799B">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063F20">
        <w:rPr>
          <w:rFonts w:cs="Arial"/>
          <w:b w:val="0"/>
          <w:sz w:val="24"/>
          <w:szCs w:val="24"/>
          <w:lang w:val="es-MX"/>
        </w:rPr>
        <w:t>********</w:t>
      </w:r>
      <w:r w:rsidR="00323C32">
        <w:rPr>
          <w:rFonts w:cs="Arial"/>
          <w:b w:val="0"/>
          <w:sz w:val="24"/>
          <w:szCs w:val="24"/>
        </w:rPr>
        <w:t>,</w:t>
      </w:r>
      <w:r w:rsidR="00CD763E">
        <w:rPr>
          <w:rFonts w:cs="Arial"/>
          <w:sz w:val="24"/>
          <w:szCs w:val="24"/>
        </w:rPr>
        <w:t xml:space="preserve"> </w:t>
      </w:r>
      <w:r w:rsidR="00F66C0C" w:rsidRPr="00D7799B">
        <w:rPr>
          <w:rFonts w:cs="Arial"/>
          <w:b w:val="0"/>
          <w:sz w:val="24"/>
          <w:szCs w:val="24"/>
        </w:rPr>
        <w:t xml:space="preserve">demandó la nulidad del documento en donde consta la multa por infracción establecida en el Código Fiscal para el Estado de Oaxaca, con número de control </w:t>
      </w:r>
      <w:r w:rsidR="00063F20">
        <w:rPr>
          <w:rFonts w:cs="Arial"/>
          <w:b w:val="0"/>
          <w:sz w:val="24"/>
          <w:szCs w:val="24"/>
          <w:lang w:val="es-MX"/>
        </w:rPr>
        <w:t>********</w:t>
      </w:r>
      <w:r w:rsidR="00780705">
        <w:rPr>
          <w:rFonts w:cs="Arial"/>
          <w:b w:val="0"/>
          <w:sz w:val="24"/>
          <w:szCs w:val="24"/>
        </w:rPr>
        <w:t xml:space="preserve"> </w:t>
      </w:r>
      <w:r w:rsidR="00F66C0C" w:rsidRPr="00D7799B">
        <w:rPr>
          <w:rFonts w:cs="Arial"/>
          <w:b w:val="0"/>
          <w:sz w:val="24"/>
          <w:szCs w:val="24"/>
        </w:rPr>
        <w:t>de ocho de agosto de dos mil diecisiete, emitido por la Directora de Ingresos y Recaudación de la Secretaría de Finanzas del Poder Ejecutivo de</w:t>
      </w:r>
      <w:r w:rsidR="002E0F3A">
        <w:rPr>
          <w:rFonts w:cs="Arial"/>
          <w:b w:val="0"/>
          <w:sz w:val="24"/>
          <w:szCs w:val="24"/>
        </w:rPr>
        <w:t xml:space="preserve">l Estado de Oaxaca, toda vez que la misma no se encuentra suficientemente fundada y motivada ya que no señaló las causas particulares o razones por las cuales estimó que el actor se encontraba obligado a inscribirse al </w:t>
      </w:r>
      <w:r w:rsidR="002E0F3A">
        <w:rPr>
          <w:rFonts w:cs="Arial"/>
          <w:b w:val="0"/>
          <w:sz w:val="24"/>
          <w:szCs w:val="24"/>
        </w:rPr>
        <w:lastRenderedPageBreak/>
        <w:t>Registro Estatal de contribuyentes razón por la cual resulta procedente declarar su nulidad lisa y llana.</w:t>
      </w:r>
    </w:p>
    <w:p w:rsidR="002E0F3A" w:rsidRDefault="002E0F3A" w:rsidP="00D7799B">
      <w:pPr>
        <w:pStyle w:val="corte3centro"/>
        <w:ind w:right="-518" w:firstLine="567"/>
        <w:jc w:val="both"/>
        <w:rPr>
          <w:rFonts w:cs="Arial"/>
          <w:b w:val="0"/>
          <w:sz w:val="24"/>
          <w:szCs w:val="24"/>
        </w:rPr>
      </w:pPr>
    </w:p>
    <w:p w:rsidR="00F66C0C" w:rsidRDefault="002E0F3A" w:rsidP="007B7779">
      <w:pPr>
        <w:pStyle w:val="corte3centro"/>
        <w:ind w:right="-518" w:firstLine="567"/>
        <w:jc w:val="both"/>
        <w:rPr>
          <w:rFonts w:cs="Arial"/>
          <w:sz w:val="24"/>
          <w:szCs w:val="24"/>
        </w:rPr>
      </w:pPr>
      <w:r>
        <w:rPr>
          <w:rFonts w:cs="Arial"/>
          <w:b w:val="0"/>
          <w:bCs/>
          <w:sz w:val="24"/>
          <w:szCs w:val="24"/>
          <w:lang w:val="es-ES"/>
        </w:rPr>
        <w:t xml:space="preserve"> </w:t>
      </w:r>
      <w:r w:rsidR="007B7779">
        <w:rPr>
          <w:rFonts w:cs="Arial"/>
          <w:b w:val="0"/>
          <w:bCs/>
          <w:sz w:val="24"/>
          <w:szCs w:val="24"/>
          <w:lang w:val="es-ES"/>
        </w:rPr>
        <w:t xml:space="preserve">Por su parte, la </w:t>
      </w:r>
      <w:r w:rsidR="006A219F">
        <w:rPr>
          <w:rFonts w:cs="Arial"/>
          <w:b w:val="0"/>
          <w:bCs/>
          <w:sz w:val="24"/>
          <w:szCs w:val="24"/>
          <w:lang w:val="es-ES"/>
        </w:rPr>
        <w:t>D</w:t>
      </w:r>
      <w:r w:rsidR="007B7779">
        <w:rPr>
          <w:rFonts w:cs="Arial"/>
          <w:b w:val="0"/>
          <w:bCs/>
          <w:sz w:val="24"/>
          <w:szCs w:val="24"/>
          <w:lang w:val="es-ES"/>
        </w:rPr>
        <w:t xml:space="preserve">irectora de lo Contencioso de la Secretaría de Finanzas del Poder Ejecutivo del Estado, en representación jurídica de la </w:t>
      </w:r>
      <w:r w:rsidR="004415F9">
        <w:rPr>
          <w:rFonts w:cs="Arial"/>
          <w:b w:val="0"/>
          <w:bCs/>
          <w:sz w:val="24"/>
          <w:szCs w:val="24"/>
          <w:lang w:val="es-ES"/>
        </w:rPr>
        <w:t>D</w:t>
      </w:r>
      <w:r w:rsidR="007B7779">
        <w:rPr>
          <w:rFonts w:cs="Arial"/>
          <w:b w:val="0"/>
          <w:bCs/>
          <w:sz w:val="24"/>
          <w:szCs w:val="24"/>
          <w:lang w:val="es-ES"/>
        </w:rPr>
        <w:t xml:space="preserve">irectora de Ingresos y Recaudación de la citada secretaría, en su contestación de demanda, manifestó que </w:t>
      </w:r>
      <w:r w:rsidR="00C0542D">
        <w:rPr>
          <w:rFonts w:cs="Arial"/>
          <w:b w:val="0"/>
          <w:bCs/>
          <w:sz w:val="24"/>
          <w:szCs w:val="24"/>
          <w:lang w:val="es-ES"/>
        </w:rPr>
        <w:t>cumple con lo establecido en el artículo 16 de la Constitución Federal</w:t>
      </w:r>
      <w:r w:rsidR="002B33B9">
        <w:rPr>
          <w:rFonts w:cs="Arial"/>
          <w:b w:val="0"/>
          <w:bCs/>
          <w:sz w:val="24"/>
          <w:szCs w:val="24"/>
          <w:lang w:val="es-ES"/>
        </w:rPr>
        <w:t>,</w:t>
      </w:r>
      <w:r w:rsidR="00C0542D">
        <w:rPr>
          <w:rFonts w:cs="Arial"/>
          <w:b w:val="0"/>
          <w:bCs/>
          <w:sz w:val="24"/>
          <w:szCs w:val="24"/>
          <w:lang w:val="es-ES"/>
        </w:rPr>
        <w:t xml:space="preserve"> ya que el acto que emitió esta adecuada y suficientemente fundado y motivado, pues expresa con precisión el precepto legal aplicable al caso y señala las circunstancias que le dieron motivo a su hacer, existiendo adecuación entre los motivos aducidos y las normas aplicables, es decir, que se configura la hipótesis normativa y de ahí la emisión del acto.</w:t>
      </w:r>
      <w:r w:rsidR="00C0542D">
        <w:rPr>
          <w:rFonts w:cs="Arial"/>
          <w:sz w:val="24"/>
          <w:szCs w:val="24"/>
        </w:rPr>
        <w:t xml:space="preserve"> </w:t>
      </w:r>
    </w:p>
    <w:p w:rsidR="00F66C0C" w:rsidRPr="009C66B4" w:rsidRDefault="007B7779" w:rsidP="00F15407">
      <w:pPr>
        <w:pStyle w:val="corte3centro"/>
        <w:ind w:right="-518" w:firstLine="567"/>
        <w:jc w:val="both"/>
        <w:rPr>
          <w:rFonts w:cs="Arial"/>
          <w:b w:val="0"/>
          <w:sz w:val="24"/>
          <w:szCs w:val="24"/>
        </w:rPr>
      </w:pPr>
      <w:r>
        <w:rPr>
          <w:rFonts w:cs="Arial"/>
          <w:b w:val="0"/>
          <w:sz w:val="24"/>
          <w:szCs w:val="24"/>
        </w:rPr>
        <w:t xml:space="preserve"> </w:t>
      </w:r>
      <w:r w:rsidR="007C30DC">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a multa por infracción establecida en el Código Fiscal para el Estado de</w:t>
      </w:r>
      <w:r w:rsidR="00CC3285">
        <w:rPr>
          <w:rFonts w:cs="Arial"/>
          <w:b w:val="0"/>
          <w:sz w:val="24"/>
          <w:szCs w:val="24"/>
        </w:rPr>
        <w:t xml:space="preserve"> Oaxaca, con número de control </w:t>
      </w:r>
      <w:r w:rsidR="00063F20">
        <w:rPr>
          <w:rFonts w:cs="Arial"/>
          <w:b w:val="0"/>
          <w:sz w:val="24"/>
          <w:szCs w:val="24"/>
          <w:lang w:val="es-MX"/>
        </w:rPr>
        <w:t>********</w:t>
      </w:r>
      <w:r w:rsidR="00C0386C">
        <w:rPr>
          <w:rFonts w:cs="Arial"/>
          <w:b w:val="0"/>
          <w:sz w:val="24"/>
          <w:szCs w:val="24"/>
        </w:rPr>
        <w:t xml:space="preserve"> </w:t>
      </w:r>
      <w:r w:rsidR="00BA0970">
        <w:rPr>
          <w:rFonts w:cs="Arial"/>
          <w:b w:val="0"/>
          <w:sz w:val="24"/>
          <w:szCs w:val="24"/>
        </w:rPr>
        <w:t>de ocho de agosto de dos mil diecisiete</w:t>
      </w:r>
      <w:r w:rsidR="00C0542D">
        <w:rPr>
          <w:rFonts w:cs="Arial"/>
          <w:b w:val="0"/>
          <w:sz w:val="24"/>
          <w:szCs w:val="24"/>
        </w:rPr>
        <w:t>,</w:t>
      </w:r>
      <w:r w:rsidR="00BA0970">
        <w:rPr>
          <w:rFonts w:cs="Arial"/>
          <w:b w:val="0"/>
          <w:sz w:val="24"/>
          <w:szCs w:val="24"/>
        </w:rPr>
        <w:t xml:space="preserve"> </w:t>
      </w:r>
      <w:r w:rsidR="00F66C0C">
        <w:rPr>
          <w:rFonts w:cs="Arial"/>
          <w:b w:val="0"/>
          <w:sz w:val="24"/>
          <w:szCs w:val="24"/>
        </w:rPr>
        <w:t>(</w:t>
      </w:r>
      <w:r w:rsidR="00BA0970">
        <w:rPr>
          <w:rFonts w:cs="Arial"/>
          <w:b w:val="0"/>
          <w:sz w:val="24"/>
          <w:szCs w:val="24"/>
        </w:rPr>
        <w:t xml:space="preserve">foja </w:t>
      </w:r>
      <w:r w:rsidR="00B502A2">
        <w:rPr>
          <w:rFonts w:cs="Arial"/>
          <w:b w:val="0"/>
          <w:sz w:val="24"/>
          <w:szCs w:val="24"/>
        </w:rPr>
        <w:t>19</w:t>
      </w:r>
      <w:r w:rsidR="00C0542D">
        <w:rPr>
          <w:rFonts w:cs="Arial"/>
          <w:b w:val="0"/>
          <w:sz w:val="24"/>
          <w:szCs w:val="24"/>
        </w:rPr>
        <w:t>)</w:t>
      </w:r>
      <w:r w:rsidR="00F66C0C" w:rsidRPr="009C66B4">
        <w:rPr>
          <w:rFonts w:cs="Arial"/>
          <w:b w:val="0"/>
          <w:sz w:val="24"/>
          <w:szCs w:val="24"/>
        </w:rPr>
        <w:t xml:space="preserve"> </w:t>
      </w:r>
      <w:r w:rsidR="00F66C0C">
        <w:rPr>
          <w:rFonts w:cs="Arial"/>
          <w:b w:val="0"/>
          <w:sz w:val="24"/>
          <w:szCs w:val="24"/>
        </w:rPr>
        <w:t>documental, a la que se le confiere pleno valor probatorio, en términos</w:t>
      </w:r>
      <w:r w:rsidR="00C0542D">
        <w:rPr>
          <w:rFonts w:cs="Arial"/>
          <w:b w:val="0"/>
          <w:sz w:val="24"/>
          <w:szCs w:val="24"/>
        </w:rPr>
        <w:t xml:space="preserve"> de la fracción I del artículo 203 de la l</w:t>
      </w:r>
      <w:r w:rsidR="00F66C0C">
        <w:rPr>
          <w:rFonts w:cs="Arial"/>
          <w:b w:val="0"/>
          <w:sz w:val="24"/>
          <w:szCs w:val="24"/>
        </w:rPr>
        <w:t xml:space="preserve">ey de la </w:t>
      </w:r>
      <w:r w:rsidR="00C0542D">
        <w:rPr>
          <w:rFonts w:cs="Arial"/>
          <w:b w:val="0"/>
          <w:sz w:val="24"/>
          <w:szCs w:val="24"/>
        </w:rPr>
        <w:t>m</w:t>
      </w:r>
      <w:r w:rsidR="00F66C0C">
        <w:rPr>
          <w:rFonts w:cs="Arial"/>
          <w:b w:val="0"/>
          <w:sz w:val="24"/>
          <w:szCs w:val="24"/>
        </w:rPr>
        <w:t xml:space="preserve">ateria, por haber sido confeccionado por servidor público en ejercicio de sus funciones, </w:t>
      </w:r>
      <w:r w:rsidR="00F66C0C" w:rsidRPr="009C66B4">
        <w:rPr>
          <w:rFonts w:cs="Arial"/>
          <w:b w:val="0"/>
          <w:sz w:val="24"/>
          <w:szCs w:val="24"/>
        </w:rPr>
        <w:t>se advierte que la autoridad demandada en la parte que interesa textualmente señala:</w:t>
      </w:r>
    </w:p>
    <w:p w:rsidR="00F66C0C" w:rsidRPr="009C66B4" w:rsidRDefault="009C4F43" w:rsidP="00F15407">
      <w:pPr>
        <w:pStyle w:val="corte3centro"/>
        <w:ind w:right="-518" w:firstLine="567"/>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5725EF0A" wp14:editId="65502F3E">
                <wp:simplePos x="0" y="0"/>
                <wp:positionH relativeFrom="column">
                  <wp:posOffset>-1068705</wp:posOffset>
                </wp:positionH>
                <wp:positionV relativeFrom="paragraph">
                  <wp:posOffset>540385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9C4F43" w:rsidRDefault="009C4F43" w:rsidP="009C4F4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4.15pt;margin-top:42.5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">
                <v:textbox>
                  <w:txbxContent>
                    <w:p w:rsidR="009C4F43" w:rsidRDefault="009C4F43" w:rsidP="009C4F4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F66C0C" w:rsidRPr="005B118C" w:rsidRDefault="00F66C0C" w:rsidP="004233F5">
      <w:pPr>
        <w:pStyle w:val="corte3centro"/>
        <w:spacing w:line="276" w:lineRule="auto"/>
        <w:ind w:left="567" w:right="-518"/>
        <w:jc w:val="both"/>
        <w:rPr>
          <w:rFonts w:cs="Arial"/>
          <w:b w:val="0"/>
          <w:i/>
          <w:sz w:val="24"/>
          <w:szCs w:val="24"/>
        </w:rPr>
      </w:pPr>
      <w:r w:rsidRPr="005B118C">
        <w:rPr>
          <w:rFonts w:cs="Arial"/>
          <w:b w:val="0"/>
          <w:i/>
          <w:sz w:val="24"/>
          <w:szCs w:val="24"/>
        </w:rPr>
        <w:t>“</w:t>
      </w:r>
      <w:r w:rsidR="00F15407" w:rsidRPr="005B118C">
        <w:rPr>
          <w:rFonts w:cs="Arial"/>
          <w:b w:val="0"/>
          <w:i/>
          <w:sz w:val="24"/>
          <w:szCs w:val="24"/>
        </w:rPr>
        <w:t xml:space="preserve">Considerando que la Dirección de Ingresos y Recaudación de la Secretaría de Finanzas </w:t>
      </w:r>
      <w:r w:rsidR="00F15407" w:rsidRPr="00562A61">
        <w:rPr>
          <w:rFonts w:cs="Arial"/>
          <w:b w:val="0"/>
          <w:i/>
          <w:sz w:val="24"/>
          <w:szCs w:val="24"/>
          <w:u w:val="single"/>
        </w:rPr>
        <w:t>lo ha identificado como sujeto obligado al pago del Impuesto sobre Erogaciones por Remuneraciones al Trabajo Personal</w:t>
      </w:r>
      <w:r w:rsidR="00F15407" w:rsidRPr="005B118C">
        <w:rPr>
          <w:rFonts w:cs="Arial"/>
          <w:b w:val="0"/>
          <w:i/>
          <w:sz w:val="24"/>
          <w:szCs w:val="24"/>
        </w:rPr>
        <w:t>,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562A61">
        <w:rPr>
          <w:rFonts w:cs="Arial"/>
          <w:b w:val="0"/>
          <w:i/>
          <w:sz w:val="24"/>
          <w:szCs w:val="24"/>
        </w:rPr>
        <w:t xml:space="preserve"> Énfasis añadido.</w:t>
      </w:r>
    </w:p>
    <w:p w:rsidR="005B118C" w:rsidRDefault="005B118C" w:rsidP="00F15407">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5B118C" w:rsidRPr="005B118C" w:rsidTr="005B118C">
        <w:tc>
          <w:tcPr>
            <w:tcW w:w="1251" w:type="pct"/>
          </w:tcPr>
          <w:p w:rsidR="005B118C" w:rsidRPr="005B118C" w:rsidRDefault="005B118C" w:rsidP="005B118C">
            <w:pPr>
              <w:pStyle w:val="corte3centro"/>
              <w:ind w:right="-518"/>
              <w:jc w:val="left"/>
              <w:rPr>
                <w:rFonts w:cs="Arial"/>
                <w:sz w:val="16"/>
                <w:szCs w:val="16"/>
              </w:rPr>
            </w:pPr>
            <w:r w:rsidRPr="005B118C">
              <w:rPr>
                <w:rFonts w:cs="Arial"/>
                <w:sz w:val="16"/>
                <w:szCs w:val="16"/>
              </w:rPr>
              <w:t>OBLIGACIÓN OMITIDA</w:t>
            </w:r>
          </w:p>
        </w:tc>
        <w:tc>
          <w:tcPr>
            <w:tcW w:w="1128" w:type="pct"/>
          </w:tcPr>
          <w:p w:rsidR="005B118C" w:rsidRPr="005B118C" w:rsidRDefault="005B118C" w:rsidP="005B118C">
            <w:pPr>
              <w:pStyle w:val="corte3centro"/>
              <w:ind w:right="-518"/>
              <w:jc w:val="left"/>
              <w:rPr>
                <w:rFonts w:cs="Arial"/>
                <w:sz w:val="16"/>
                <w:szCs w:val="16"/>
              </w:rPr>
            </w:pPr>
            <w:r w:rsidRPr="005B118C">
              <w:rPr>
                <w:rFonts w:cs="Arial"/>
                <w:sz w:val="16"/>
                <w:szCs w:val="16"/>
              </w:rPr>
              <w:t>INFRACCIÓN</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SANCIÓN</w:t>
            </w:r>
          </w:p>
        </w:tc>
        <w:tc>
          <w:tcPr>
            <w:tcW w:w="599" w:type="pct"/>
          </w:tcPr>
          <w:p w:rsidR="005B118C" w:rsidRPr="005B118C" w:rsidRDefault="005B118C" w:rsidP="005B118C">
            <w:pPr>
              <w:pStyle w:val="corte3centro"/>
              <w:ind w:right="-518"/>
              <w:jc w:val="left"/>
              <w:rPr>
                <w:rFonts w:cs="Arial"/>
                <w:sz w:val="16"/>
                <w:szCs w:val="16"/>
              </w:rPr>
            </w:pPr>
            <w:proofErr w:type="spellStart"/>
            <w:r w:rsidRPr="005B118C">
              <w:rPr>
                <w:rFonts w:cs="Arial"/>
                <w:sz w:val="16"/>
                <w:szCs w:val="16"/>
              </w:rPr>
              <w:t>UMA</w:t>
            </w:r>
            <w:proofErr w:type="spellEnd"/>
            <w:r w:rsidRPr="005B118C">
              <w:rPr>
                <w:rFonts w:cs="Arial"/>
                <w:sz w:val="16"/>
                <w:szCs w:val="16"/>
              </w:rPr>
              <w:t xml:space="preserve"> VIGENTE</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MULTA A PAGAR</w:t>
            </w:r>
          </w:p>
        </w:tc>
      </w:tr>
      <w:tr w:rsidR="005B118C" w:rsidRPr="005B118C" w:rsidTr="005B118C">
        <w:tc>
          <w:tcPr>
            <w:tcW w:w="1251" w:type="pct"/>
          </w:tcPr>
          <w:p w:rsidR="005B118C" w:rsidRPr="005B118C" w:rsidRDefault="005B118C" w:rsidP="005B118C">
            <w:pPr>
              <w:pStyle w:val="corte3centro"/>
              <w:ind w:right="-518"/>
              <w:jc w:val="left"/>
              <w:rPr>
                <w:rFonts w:cs="Arial"/>
                <w:sz w:val="15"/>
                <w:szCs w:val="15"/>
              </w:rPr>
            </w:pPr>
            <w:r w:rsidRPr="005B118C">
              <w:rPr>
                <w:rFonts w:cs="Arial"/>
                <w:sz w:val="15"/>
                <w:szCs w:val="15"/>
              </w:rPr>
              <w:t xml:space="preserve">INSCRIPCIÓN AL REGISTRO ESTATAL DE </w:t>
            </w:r>
          </w:p>
          <w:p w:rsidR="005B118C" w:rsidRPr="005B118C" w:rsidRDefault="005B118C" w:rsidP="005B118C">
            <w:pPr>
              <w:pStyle w:val="corte3centro"/>
              <w:ind w:right="-518"/>
              <w:jc w:val="left"/>
              <w:rPr>
                <w:rFonts w:cs="Arial"/>
                <w:sz w:val="15"/>
                <w:szCs w:val="15"/>
              </w:rPr>
            </w:pPr>
            <w:r w:rsidRPr="005B118C">
              <w:rPr>
                <w:rFonts w:cs="Arial"/>
                <w:sz w:val="15"/>
                <w:szCs w:val="15"/>
              </w:rPr>
              <w:t>CONTRIBUYENTE CUANDO</w:t>
            </w:r>
          </w:p>
          <w:p w:rsidR="005B118C" w:rsidRPr="005B118C" w:rsidRDefault="005B118C" w:rsidP="005B118C">
            <w:pPr>
              <w:pStyle w:val="corte3centro"/>
              <w:ind w:right="-518"/>
              <w:jc w:val="left"/>
              <w:rPr>
                <w:rFonts w:cs="Arial"/>
                <w:sz w:val="16"/>
                <w:szCs w:val="16"/>
              </w:rPr>
            </w:pPr>
            <w:r w:rsidRPr="005B118C">
              <w:rPr>
                <w:rFonts w:cs="Arial"/>
                <w:sz w:val="15"/>
                <w:szCs w:val="15"/>
              </w:rPr>
              <w:t xml:space="preserve"> SE ESTÁ OBLIGADO A ELLO</w:t>
            </w:r>
            <w:r w:rsidRPr="005B118C">
              <w:rPr>
                <w:rFonts w:cs="Arial"/>
                <w:sz w:val="16"/>
                <w:szCs w:val="16"/>
              </w:rPr>
              <w:t>.</w:t>
            </w:r>
          </w:p>
        </w:tc>
        <w:tc>
          <w:tcPr>
            <w:tcW w:w="1128" w:type="pct"/>
          </w:tcPr>
          <w:p w:rsidR="005B118C" w:rsidRDefault="005B118C" w:rsidP="005B118C">
            <w:pPr>
              <w:pStyle w:val="corte3centro"/>
              <w:ind w:right="-518"/>
              <w:jc w:val="left"/>
              <w:rPr>
                <w:rFonts w:cs="Arial"/>
                <w:sz w:val="16"/>
                <w:szCs w:val="16"/>
              </w:rPr>
            </w:pPr>
            <w:r w:rsidRPr="005B118C">
              <w:rPr>
                <w:rFonts w:cs="Arial"/>
                <w:sz w:val="16"/>
                <w:szCs w:val="16"/>
              </w:rPr>
              <w:t>Artículo 268 fracción I del</w:t>
            </w:r>
          </w:p>
          <w:p w:rsidR="005B118C" w:rsidRDefault="005B118C" w:rsidP="005B118C">
            <w:pPr>
              <w:pStyle w:val="corte3centro"/>
              <w:ind w:right="-518"/>
              <w:jc w:val="left"/>
              <w:rPr>
                <w:rFonts w:cs="Arial"/>
                <w:sz w:val="16"/>
                <w:szCs w:val="16"/>
              </w:rPr>
            </w:pPr>
            <w:r w:rsidRPr="005B118C">
              <w:rPr>
                <w:rFonts w:cs="Arial"/>
                <w:sz w:val="16"/>
                <w:szCs w:val="16"/>
              </w:rPr>
              <w:t xml:space="preserve"> Código Fiscal para el </w:t>
            </w:r>
          </w:p>
          <w:p w:rsidR="005B118C" w:rsidRPr="005B118C" w:rsidRDefault="005B118C" w:rsidP="005B118C">
            <w:pPr>
              <w:pStyle w:val="corte3centro"/>
              <w:ind w:right="-518"/>
              <w:jc w:val="left"/>
              <w:rPr>
                <w:rFonts w:cs="Arial"/>
                <w:sz w:val="16"/>
                <w:szCs w:val="16"/>
              </w:rPr>
            </w:pPr>
            <w:r w:rsidRPr="005B118C">
              <w:rPr>
                <w:rFonts w:cs="Arial"/>
                <w:sz w:val="16"/>
                <w:szCs w:val="16"/>
              </w:rPr>
              <w:t>estado de Oaxaca vigente</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 xml:space="preserve">50 </w:t>
            </w:r>
            <w:proofErr w:type="spellStart"/>
            <w:r w:rsidRPr="005B118C">
              <w:rPr>
                <w:rFonts w:cs="Arial"/>
                <w:sz w:val="16"/>
                <w:szCs w:val="16"/>
              </w:rPr>
              <w:t>UMA</w:t>
            </w:r>
            <w:proofErr w:type="spellEnd"/>
          </w:p>
          <w:p w:rsidR="005B118C" w:rsidRDefault="005B118C" w:rsidP="005B118C">
            <w:pPr>
              <w:pStyle w:val="corte3centro"/>
              <w:ind w:right="-518"/>
              <w:jc w:val="left"/>
              <w:rPr>
                <w:rFonts w:cs="Arial"/>
                <w:sz w:val="16"/>
                <w:szCs w:val="16"/>
              </w:rPr>
            </w:pPr>
            <w:r w:rsidRPr="005B118C">
              <w:rPr>
                <w:rFonts w:cs="Arial"/>
                <w:sz w:val="16"/>
                <w:szCs w:val="16"/>
              </w:rPr>
              <w:t xml:space="preserve">Artículo 268 fracción I del </w:t>
            </w:r>
          </w:p>
          <w:p w:rsidR="005B118C" w:rsidRDefault="005B118C" w:rsidP="005B118C">
            <w:pPr>
              <w:pStyle w:val="corte3centro"/>
              <w:ind w:right="-518"/>
              <w:jc w:val="left"/>
              <w:rPr>
                <w:rFonts w:cs="Arial"/>
                <w:sz w:val="16"/>
                <w:szCs w:val="16"/>
              </w:rPr>
            </w:pPr>
            <w:r w:rsidRPr="005B118C">
              <w:rPr>
                <w:rFonts w:cs="Arial"/>
                <w:sz w:val="16"/>
                <w:szCs w:val="16"/>
              </w:rPr>
              <w:t xml:space="preserve">Código Fiscal para el </w:t>
            </w:r>
            <w:r>
              <w:rPr>
                <w:rFonts w:cs="Arial"/>
                <w:sz w:val="16"/>
                <w:szCs w:val="16"/>
              </w:rPr>
              <w:t>e</w:t>
            </w:r>
            <w:r w:rsidRPr="005B118C">
              <w:rPr>
                <w:rFonts w:cs="Arial"/>
                <w:sz w:val="16"/>
                <w:szCs w:val="16"/>
              </w:rPr>
              <w:t>stado</w:t>
            </w:r>
          </w:p>
          <w:p w:rsidR="005B118C" w:rsidRPr="005B118C" w:rsidRDefault="005B118C" w:rsidP="005B118C">
            <w:pPr>
              <w:pStyle w:val="corte3centro"/>
              <w:ind w:right="-518"/>
              <w:jc w:val="left"/>
              <w:rPr>
                <w:rFonts w:cs="Arial"/>
                <w:sz w:val="16"/>
                <w:szCs w:val="16"/>
              </w:rPr>
            </w:pPr>
            <w:r w:rsidRPr="005B118C">
              <w:rPr>
                <w:rFonts w:cs="Arial"/>
                <w:sz w:val="16"/>
                <w:szCs w:val="16"/>
              </w:rPr>
              <w:t>de Oaxaca vigente</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$75.49</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$3,775.00</w:t>
            </w:r>
          </w:p>
        </w:tc>
      </w:tr>
    </w:tbl>
    <w:p w:rsidR="005B118C" w:rsidRDefault="005B118C"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sz w:val="24"/>
          <w:szCs w:val="24"/>
        </w:rPr>
      </w:pPr>
      <w:r>
        <w:rPr>
          <w:rFonts w:cs="Arial"/>
          <w:b w:val="0"/>
          <w:sz w:val="24"/>
          <w:szCs w:val="24"/>
        </w:rPr>
        <w:t>Es importante transcribir el artículo 268 fracción I del Código Fiscal para el Estado de Oaxaca, que a la letra dice:</w:t>
      </w:r>
    </w:p>
    <w:p w:rsidR="00915547" w:rsidRDefault="00915547" w:rsidP="00F15407">
      <w:pPr>
        <w:pStyle w:val="corte3centro"/>
        <w:ind w:right="-518" w:firstLine="567"/>
        <w:jc w:val="both"/>
        <w:rPr>
          <w:rFonts w:cs="Arial"/>
          <w:sz w:val="24"/>
          <w:szCs w:val="24"/>
        </w:rPr>
      </w:pPr>
    </w:p>
    <w:p w:rsidR="00915547" w:rsidRDefault="00915547" w:rsidP="00915547">
      <w:pPr>
        <w:pStyle w:val="corte3centro"/>
        <w:ind w:left="567" w:right="-518"/>
        <w:jc w:val="both"/>
        <w:rPr>
          <w:rFonts w:cs="Arial"/>
          <w:b w:val="0"/>
          <w:i/>
          <w:sz w:val="24"/>
          <w:szCs w:val="24"/>
        </w:rPr>
      </w:pPr>
      <w:r w:rsidRPr="00915547">
        <w:rPr>
          <w:rFonts w:cs="Arial"/>
          <w:i/>
          <w:sz w:val="24"/>
          <w:szCs w:val="24"/>
        </w:rPr>
        <w:t xml:space="preserve">ARTÍCULO 268. </w:t>
      </w:r>
      <w:r w:rsidRPr="00915547">
        <w:rPr>
          <w:rFonts w:cs="Arial"/>
          <w:b w:val="0"/>
          <w:i/>
          <w:sz w:val="24"/>
          <w:szCs w:val="24"/>
        </w:rPr>
        <w:t>Son infracciones relacionadas con el registro estatal de contribuyente las siguientes:</w:t>
      </w:r>
    </w:p>
    <w:p w:rsidR="00915547" w:rsidRDefault="00915547" w:rsidP="00915547">
      <w:pPr>
        <w:pStyle w:val="corte3centro"/>
        <w:ind w:left="567" w:right="-518"/>
        <w:jc w:val="both"/>
        <w:rPr>
          <w:rFonts w:cs="Arial"/>
          <w:b w:val="0"/>
          <w:sz w:val="24"/>
          <w:szCs w:val="24"/>
        </w:rPr>
      </w:pPr>
      <w:r>
        <w:rPr>
          <w:rFonts w:cs="Arial"/>
          <w:i/>
          <w:sz w:val="24"/>
          <w:szCs w:val="24"/>
        </w:rPr>
        <w:lastRenderedPageBreak/>
        <w:t xml:space="preserve">I. </w:t>
      </w:r>
      <w:r w:rsidRPr="00915547">
        <w:rPr>
          <w:rFonts w:cs="Arial"/>
          <w:b w:val="0"/>
          <w:i/>
          <w:sz w:val="24"/>
          <w:szCs w:val="24"/>
        </w:rPr>
        <w:t>No solicitar la inscripción cuando se está obligado a ello o hacerlo extemporáneamente; se impondrá una multa de cincuenta a cien veces el valor de la Unidad de Medida y Actualización vigente</w:t>
      </w:r>
      <w:r>
        <w:rPr>
          <w:rFonts w:cs="Arial"/>
          <w:b w:val="0"/>
          <w:sz w:val="24"/>
          <w:szCs w:val="24"/>
        </w:rPr>
        <w:t>.</w:t>
      </w:r>
    </w:p>
    <w:p w:rsidR="00915547" w:rsidRPr="00D24A00" w:rsidRDefault="00915547" w:rsidP="00F15407">
      <w:pPr>
        <w:pStyle w:val="corte3centro"/>
        <w:ind w:right="-518" w:firstLine="567"/>
        <w:jc w:val="both"/>
        <w:rPr>
          <w:rFonts w:cs="Arial"/>
          <w:b w:val="0"/>
          <w:sz w:val="24"/>
          <w:szCs w:val="24"/>
        </w:rPr>
      </w:pPr>
    </w:p>
    <w:p w:rsidR="00F84D9E" w:rsidRPr="00D24A00" w:rsidRDefault="00AE076A" w:rsidP="00D24A00">
      <w:pPr>
        <w:spacing w:line="360" w:lineRule="auto"/>
        <w:ind w:right="-518" w:firstLine="567"/>
        <w:jc w:val="both"/>
        <w:rPr>
          <w:rFonts w:ascii="Arial" w:hAnsi="Arial" w:cs="Arial"/>
          <w:sz w:val="24"/>
          <w:szCs w:val="24"/>
        </w:rPr>
      </w:pPr>
      <w:r w:rsidRPr="00D24A00">
        <w:rPr>
          <w:rFonts w:ascii="Arial" w:hAnsi="Arial" w:cs="Arial"/>
          <w:sz w:val="24"/>
          <w:szCs w:val="24"/>
        </w:rPr>
        <w:t>De lo anterior se advierte, en primer lugar que l</w:t>
      </w:r>
      <w:r w:rsidR="00237F27" w:rsidRPr="00D24A00">
        <w:rPr>
          <w:rFonts w:ascii="Arial" w:hAnsi="Arial" w:cs="Arial"/>
          <w:sz w:val="24"/>
          <w:szCs w:val="24"/>
        </w:rPr>
        <w:t>a autoridad demandada al emitir</w:t>
      </w:r>
      <w:r w:rsidRPr="00D24A00">
        <w:rPr>
          <w:rFonts w:ascii="Arial" w:hAnsi="Arial" w:cs="Arial"/>
          <w:sz w:val="24"/>
          <w:szCs w:val="24"/>
        </w:rPr>
        <w:t xml:space="preserve"> </w:t>
      </w:r>
      <w:r w:rsidR="00237F27" w:rsidRPr="00D24A00">
        <w:rPr>
          <w:rFonts w:ascii="Arial" w:hAnsi="Arial" w:cs="Arial"/>
          <w:sz w:val="24"/>
          <w:szCs w:val="24"/>
        </w:rPr>
        <w:t xml:space="preserve">la multa por infracción establecida en el Código Fiscal para el Estado de Oaxaca, con número de </w:t>
      </w:r>
      <w:r w:rsidR="00237F27" w:rsidRPr="001A76CE">
        <w:rPr>
          <w:rFonts w:ascii="Arial" w:hAnsi="Arial" w:cs="Arial"/>
          <w:sz w:val="24"/>
          <w:szCs w:val="24"/>
        </w:rPr>
        <w:t xml:space="preserve">control </w:t>
      </w:r>
      <w:r w:rsidR="00063F20">
        <w:rPr>
          <w:rFonts w:ascii="Arial" w:hAnsi="Arial" w:cs="Arial"/>
          <w:b/>
          <w:sz w:val="24"/>
          <w:szCs w:val="24"/>
          <w:lang w:val="es-MX"/>
        </w:rPr>
        <w:t>********</w:t>
      </w:r>
      <w:r w:rsidR="00C0386C">
        <w:rPr>
          <w:rFonts w:ascii="Arial" w:hAnsi="Arial" w:cs="Arial"/>
          <w:b/>
          <w:sz w:val="24"/>
          <w:szCs w:val="24"/>
        </w:rPr>
        <w:t xml:space="preserve"> </w:t>
      </w:r>
      <w:r w:rsidR="00237F27" w:rsidRPr="001A76CE">
        <w:rPr>
          <w:rFonts w:ascii="Arial" w:hAnsi="Arial" w:cs="Arial"/>
          <w:sz w:val="24"/>
          <w:szCs w:val="24"/>
        </w:rPr>
        <w:t>de</w:t>
      </w:r>
      <w:r w:rsidR="00237F27" w:rsidRPr="00D24A00">
        <w:rPr>
          <w:rFonts w:ascii="Arial" w:hAnsi="Arial" w:cs="Arial"/>
          <w:sz w:val="24"/>
          <w:szCs w:val="24"/>
        </w:rPr>
        <w:t xml:space="preserve"> ocho de agosto de dos mil diecisiete, </w:t>
      </w:r>
      <w:r w:rsidRPr="00D24A00">
        <w:rPr>
          <w:rFonts w:ascii="Arial" w:hAnsi="Arial" w:cs="Arial"/>
          <w:sz w:val="24"/>
          <w:szCs w:val="24"/>
        </w:rPr>
        <w:t>no señala en qué consiste el impuesto sobre Erogaciones por Remuneración al Trabajo Personal</w:t>
      </w:r>
      <w:r w:rsidR="00E365E1" w:rsidRPr="00D24A00">
        <w:rPr>
          <w:rFonts w:ascii="Arial" w:hAnsi="Arial" w:cs="Arial"/>
          <w:sz w:val="24"/>
          <w:szCs w:val="24"/>
        </w:rPr>
        <w:t>;</w:t>
      </w:r>
      <w:r w:rsidRPr="00D24A00">
        <w:rPr>
          <w:rFonts w:ascii="Arial" w:hAnsi="Arial" w:cs="Arial"/>
          <w:sz w:val="24"/>
          <w:szCs w:val="24"/>
        </w:rPr>
        <w:t xml:space="preserve"> </w:t>
      </w:r>
      <w:r w:rsidR="00E365E1" w:rsidRPr="00D24A00">
        <w:rPr>
          <w:rFonts w:ascii="Arial" w:hAnsi="Arial" w:cs="Arial"/>
          <w:sz w:val="24"/>
          <w:szCs w:val="24"/>
        </w:rPr>
        <w:t>t</w:t>
      </w:r>
      <w:r w:rsidRPr="00D24A00">
        <w:rPr>
          <w:rFonts w:ascii="Arial" w:hAnsi="Arial" w:cs="Arial"/>
          <w:sz w:val="24"/>
          <w:szCs w:val="24"/>
        </w:rPr>
        <w:t xml:space="preserve">ampoco </w:t>
      </w:r>
      <w:r w:rsidR="00E365E1" w:rsidRPr="00D24A00">
        <w:rPr>
          <w:rFonts w:ascii="Arial" w:hAnsi="Arial" w:cs="Arial"/>
          <w:sz w:val="24"/>
          <w:szCs w:val="24"/>
        </w:rPr>
        <w:t>señala las actividades que realiza el actor, para que encuadre en la hipótesis de sujeto obligado al pago del citado impuesto.</w:t>
      </w:r>
      <w:r w:rsidRPr="00D24A00">
        <w:rPr>
          <w:rFonts w:ascii="Arial" w:hAnsi="Arial" w:cs="Arial"/>
          <w:sz w:val="24"/>
          <w:szCs w:val="24"/>
        </w:rPr>
        <w:t xml:space="preserve"> </w:t>
      </w:r>
      <w:r w:rsidR="00E1058C" w:rsidRPr="00AA4DD0">
        <w:rPr>
          <w:rFonts w:ascii="Arial" w:hAnsi="Arial" w:cs="Arial"/>
          <w:sz w:val="24"/>
          <w:szCs w:val="24"/>
        </w:rPr>
        <w:t xml:space="preserve">Lo </w:t>
      </w:r>
      <w:r w:rsidR="00E1058C" w:rsidRPr="00D24A00">
        <w:rPr>
          <w:rFonts w:ascii="Arial" w:hAnsi="Arial" w:cs="Arial"/>
          <w:sz w:val="24"/>
          <w:szCs w:val="24"/>
        </w:rPr>
        <w:t>anterior</w:t>
      </w:r>
      <w:r w:rsidRPr="00D24A00">
        <w:rPr>
          <w:rFonts w:ascii="Arial" w:hAnsi="Arial" w:cs="Arial"/>
          <w:sz w:val="24"/>
          <w:szCs w:val="24"/>
        </w:rPr>
        <w:t>, resulta esencial para cumplir con la debida fundamentación y motivación a que se encuentra obligada la autoridad demandada a</w:t>
      </w:r>
      <w:r w:rsidR="00F84D9E" w:rsidRPr="00D24A00">
        <w:rPr>
          <w:rFonts w:ascii="Arial" w:hAnsi="Arial" w:cs="Arial"/>
          <w:sz w:val="24"/>
          <w:szCs w:val="24"/>
        </w:rPr>
        <w:t>l</w:t>
      </w:r>
      <w:r w:rsidRPr="00D24A00">
        <w:rPr>
          <w:rFonts w:ascii="Arial" w:hAnsi="Arial" w:cs="Arial"/>
          <w:sz w:val="24"/>
          <w:szCs w:val="24"/>
        </w:rPr>
        <w:t xml:space="preserve"> emitir </w:t>
      </w:r>
      <w:r w:rsidR="00F84D9E" w:rsidRPr="00D24A00">
        <w:rPr>
          <w:rFonts w:ascii="Arial" w:hAnsi="Arial" w:cs="Arial"/>
          <w:sz w:val="24"/>
          <w:szCs w:val="24"/>
        </w:rPr>
        <w:t>todo acto administrativo</w:t>
      </w:r>
      <w:r w:rsidRPr="00D24A00">
        <w:rPr>
          <w:rFonts w:ascii="Arial" w:hAnsi="Arial" w:cs="Arial"/>
          <w:sz w:val="24"/>
          <w:szCs w:val="24"/>
        </w:rPr>
        <w:t>, ya que con la sola manifestación de que l</w:t>
      </w:r>
      <w:r w:rsidR="003058E2" w:rsidRPr="00D24A00">
        <w:rPr>
          <w:rFonts w:ascii="Arial" w:hAnsi="Arial" w:cs="Arial"/>
          <w:sz w:val="24"/>
          <w:szCs w:val="24"/>
        </w:rPr>
        <w:t>a</w:t>
      </w:r>
      <w:r w:rsidRPr="00D24A00">
        <w:rPr>
          <w:rFonts w:ascii="Arial" w:hAnsi="Arial" w:cs="Arial"/>
          <w:sz w:val="24"/>
          <w:szCs w:val="24"/>
        </w:rPr>
        <w:t xml:space="preserve"> actor</w:t>
      </w:r>
      <w:r w:rsidR="003058E2" w:rsidRPr="00D24A00">
        <w:rPr>
          <w:rFonts w:ascii="Arial" w:hAnsi="Arial" w:cs="Arial"/>
          <w:sz w:val="24"/>
          <w:szCs w:val="24"/>
        </w:rPr>
        <w:t>a</w:t>
      </w:r>
      <w:r w:rsidR="003F4943">
        <w:rPr>
          <w:rFonts w:ascii="Arial" w:hAnsi="Arial" w:cs="Arial"/>
          <w:sz w:val="24"/>
          <w:szCs w:val="24"/>
        </w:rPr>
        <w:t xml:space="preserve"> fue identificada</w:t>
      </w:r>
      <w:r w:rsidRPr="00D24A00">
        <w:rPr>
          <w:rFonts w:ascii="Arial" w:hAnsi="Arial" w:cs="Arial"/>
          <w:sz w:val="24"/>
          <w:szCs w:val="24"/>
        </w:rPr>
        <w:t xml:space="preserve"> como sujeto obligado al pago del citado impuesto, no hay argumento lógico-jurídico </w:t>
      </w:r>
      <w:r w:rsidR="00017A04" w:rsidRPr="00D24A00">
        <w:rPr>
          <w:rFonts w:ascii="Arial" w:hAnsi="Arial" w:cs="Arial"/>
          <w:sz w:val="24"/>
          <w:szCs w:val="24"/>
        </w:rPr>
        <w:t>para señalar que la actora realiza</w:t>
      </w:r>
      <w:r w:rsidRPr="00D24A00">
        <w:rPr>
          <w:rFonts w:ascii="Arial" w:hAnsi="Arial" w:cs="Arial"/>
          <w:sz w:val="24"/>
          <w:szCs w:val="24"/>
        </w:rPr>
        <w:t xml:space="preserve"> actividades que </w:t>
      </w:r>
      <w:r w:rsidR="00AA531E" w:rsidRPr="00D24A00">
        <w:rPr>
          <w:rFonts w:ascii="Arial" w:hAnsi="Arial" w:cs="Arial"/>
          <w:sz w:val="24"/>
          <w:szCs w:val="24"/>
        </w:rPr>
        <w:t>la obliguen a pagar el impuesto</w:t>
      </w:r>
      <w:r w:rsidR="00E365E1" w:rsidRPr="00D24A00">
        <w:rPr>
          <w:rFonts w:ascii="Arial" w:hAnsi="Arial" w:cs="Arial"/>
          <w:sz w:val="24"/>
          <w:szCs w:val="24"/>
        </w:rPr>
        <w:t xml:space="preserve">. </w:t>
      </w:r>
      <w:r w:rsidR="00D24A00" w:rsidRPr="00D24A00">
        <w:rPr>
          <w:rFonts w:ascii="Arial" w:hAnsi="Arial" w:cs="Arial"/>
          <w:sz w:val="24"/>
          <w:szCs w:val="24"/>
        </w:rPr>
        <w:t>Esto es, que la autoridad demandada deb</w:t>
      </w:r>
      <w:r w:rsidR="00AA4DD0">
        <w:rPr>
          <w:rFonts w:ascii="Arial" w:hAnsi="Arial" w:cs="Arial"/>
          <w:sz w:val="24"/>
          <w:szCs w:val="24"/>
        </w:rPr>
        <w:t>e</w:t>
      </w:r>
      <w:r w:rsidR="00D24A00"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w:t>
      </w:r>
      <w:r w:rsidR="00AA531E" w:rsidRPr="00D24A00">
        <w:rPr>
          <w:rFonts w:ascii="Arial" w:hAnsi="Arial" w:cs="Arial"/>
          <w:sz w:val="24"/>
          <w:szCs w:val="24"/>
        </w:rPr>
        <w:t>Ya que al no haber fundado y motivado la autoridad su acto, ocasionó el incumplimiento de la obligación que le impone el artículo 17 fracción V de la Ley de Procedimiento y Justicia Administrativa para el Estado de Oaxaca. Toda vez</w:t>
      </w:r>
      <w:r w:rsidR="00F84D9E" w:rsidRPr="00D24A00">
        <w:rPr>
          <w:rFonts w:ascii="Arial" w:hAnsi="Arial" w:cs="Arial"/>
          <w:sz w:val="24"/>
          <w:szCs w:val="24"/>
        </w:rPr>
        <w:t>, que la autoridad demandada, tiene la carga de la prueba para demostrar</w:t>
      </w:r>
      <w:r w:rsidR="00017A04" w:rsidRPr="00D24A00">
        <w:rPr>
          <w:rFonts w:ascii="Arial" w:hAnsi="Arial" w:cs="Arial"/>
          <w:sz w:val="24"/>
          <w:szCs w:val="24"/>
        </w:rPr>
        <w:t>,</w:t>
      </w:r>
      <w:r w:rsidR="00F84D9E" w:rsidRPr="00D24A00">
        <w:rPr>
          <w:rFonts w:ascii="Arial" w:hAnsi="Arial" w:cs="Arial"/>
          <w:sz w:val="24"/>
          <w:szCs w:val="24"/>
        </w:rPr>
        <w:t xml:space="preserve"> que las actividades comerciales que realiza la actora</w:t>
      </w:r>
      <w:r w:rsidR="007815EA" w:rsidRPr="00D24A00">
        <w:rPr>
          <w:rFonts w:ascii="Arial" w:hAnsi="Arial" w:cs="Arial"/>
          <w:sz w:val="24"/>
          <w:szCs w:val="24"/>
        </w:rPr>
        <w:t xml:space="preserve"> están sujetas al pago del impuesto sobre Erogaciones por Remuneración al Trabajo Personal</w:t>
      </w:r>
      <w:r w:rsidR="00F84D9E" w:rsidRPr="00D24A00">
        <w:rPr>
          <w:rFonts w:ascii="Arial" w:hAnsi="Arial" w:cs="Arial"/>
          <w:sz w:val="24"/>
          <w:szCs w:val="24"/>
        </w:rPr>
        <w:t xml:space="preserve">. </w:t>
      </w:r>
    </w:p>
    <w:p w:rsidR="00F84D9E" w:rsidRPr="00D24A00" w:rsidRDefault="00F84D9E" w:rsidP="00F84D9E">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447822">
        <w:rPr>
          <w:rFonts w:cs="Arial"/>
          <w:b w:val="0"/>
          <w:sz w:val="24"/>
          <w:szCs w:val="24"/>
        </w:rPr>
        <w:t>,</w:t>
      </w:r>
      <w:r w:rsidR="00F66C0C" w:rsidRPr="004C6F80">
        <w:rPr>
          <w:rFonts w:cs="Arial"/>
          <w:b w:val="0"/>
          <w:sz w:val="24"/>
          <w:szCs w:val="24"/>
        </w:rPr>
        <w:t xml:space="preserve"> </w:t>
      </w:r>
      <w:r w:rsidR="00F66C0C">
        <w:rPr>
          <w:rFonts w:cs="Arial"/>
          <w:b w:val="0"/>
          <w:sz w:val="24"/>
          <w:szCs w:val="24"/>
        </w:rPr>
        <w:t>permite afirmar que</w:t>
      </w:r>
      <w:r w:rsidR="00447822">
        <w:rPr>
          <w:rFonts w:cs="Arial"/>
          <w:b w:val="0"/>
          <w:sz w:val="24"/>
          <w:szCs w:val="24"/>
        </w:rPr>
        <w:t>,</w:t>
      </w:r>
      <w:r w:rsidR="00F66C0C">
        <w:rPr>
          <w:rFonts w:cs="Arial"/>
          <w:b w:val="0"/>
          <w:sz w:val="24"/>
          <w:szCs w:val="24"/>
        </w:rPr>
        <w:t xml:space="preserv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AA4DD0">
        <w:rPr>
          <w:rFonts w:cs="Arial"/>
          <w:b w:val="0"/>
          <w:sz w:val="24"/>
          <w:szCs w:val="24"/>
        </w:rPr>
        <w:t xml:space="preserve"> para su validez</w:t>
      </w:r>
      <w:r w:rsidR="00237F27">
        <w:rPr>
          <w:rFonts w:cs="Arial"/>
          <w:b w:val="0"/>
          <w:sz w:val="24"/>
          <w:szCs w:val="24"/>
        </w:rPr>
        <w:t>;</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en el artículo 268 fracción I del Código Fiscal para el Estado de Oaxaca, consistente en una multa de cincuen</w:t>
      </w:r>
      <w:r w:rsidR="00447822">
        <w:rPr>
          <w:rFonts w:cs="Arial"/>
          <w:b w:val="0"/>
          <w:sz w:val="24"/>
          <w:szCs w:val="24"/>
        </w:rPr>
        <w:t>ta a cien veces el valor de la U</w:t>
      </w:r>
      <w:r w:rsidR="009401E1">
        <w:rPr>
          <w:rFonts w:cs="Arial"/>
          <w:b w:val="0"/>
          <w:sz w:val="24"/>
          <w:szCs w:val="24"/>
        </w:rPr>
        <w:t xml:space="preserve">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017A04">
        <w:rPr>
          <w:rFonts w:cs="Arial"/>
          <w:b w:val="0"/>
          <w:sz w:val="24"/>
          <w:szCs w:val="24"/>
        </w:rPr>
        <w:t>,</w:t>
      </w:r>
      <w:r w:rsidR="00915547">
        <w:rPr>
          <w:rFonts w:cs="Arial"/>
          <w:b w:val="0"/>
          <w:sz w:val="24"/>
          <w:szCs w:val="24"/>
        </w:rPr>
        <w:t xml:space="preserve"> que la hoy actora fue identificada como sujeto obligado al pago del Impuesto sobre Erogaciones por Remuneración al Trabajo Personal</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D24A00">
        <w:rPr>
          <w:rFonts w:cs="Arial"/>
          <w:b w:val="0"/>
          <w:sz w:val="24"/>
          <w:szCs w:val="24"/>
        </w:rPr>
        <w:t>1</w:t>
      </w:r>
      <w:r w:rsidR="00E1058C" w:rsidRPr="00E1058C">
        <w:rPr>
          <w:rFonts w:cs="Arial"/>
          <w:b w:val="0"/>
          <w:sz w:val="24"/>
          <w:szCs w:val="24"/>
        </w:rPr>
        <w:t xml:space="preserve">7 de la Ley de </w:t>
      </w:r>
      <w:r w:rsidR="00D24A00">
        <w:rPr>
          <w:rFonts w:cs="Arial"/>
          <w:b w:val="0"/>
          <w:sz w:val="24"/>
          <w:szCs w:val="24"/>
        </w:rPr>
        <w:t xml:space="preserve">Procedimiento y </w:t>
      </w:r>
      <w:r w:rsidR="00E1058C" w:rsidRPr="00E1058C">
        <w:rPr>
          <w:rFonts w:cs="Arial"/>
          <w:b w:val="0"/>
          <w:sz w:val="24"/>
          <w:szCs w:val="24"/>
        </w:rPr>
        <w:t>Justicia Administrativa</w:t>
      </w:r>
      <w:r w:rsidR="00AA4DD0">
        <w:rPr>
          <w:rFonts w:cs="Arial"/>
          <w:b w:val="0"/>
          <w:sz w:val="24"/>
          <w:szCs w:val="24"/>
        </w:rPr>
        <w:t xml:space="preserve"> de fundar y motivar su acto</w:t>
      </w:r>
      <w:r w:rsidR="00E1058C" w:rsidRPr="00E1058C">
        <w:rPr>
          <w:rFonts w:cs="Arial"/>
          <w:b w:val="0"/>
          <w:sz w:val="24"/>
          <w:szCs w:val="24"/>
        </w:rPr>
        <w:t>; en consecuencia,</w:t>
      </w:r>
      <w:r w:rsidR="00D24A00">
        <w:rPr>
          <w:rFonts w:cs="Arial"/>
          <w:b w:val="0"/>
          <w:sz w:val="24"/>
          <w:szCs w:val="24"/>
        </w:rPr>
        <w:t xml:space="preserve"> </w:t>
      </w:r>
      <w:r w:rsidR="001A76CE">
        <w:rPr>
          <w:rFonts w:cs="Arial"/>
          <w:b w:val="0"/>
          <w:sz w:val="24"/>
          <w:szCs w:val="24"/>
        </w:rPr>
        <w:t xml:space="preserve">se declara </w:t>
      </w:r>
      <w:r w:rsidR="001A76CE">
        <w:rPr>
          <w:rFonts w:cs="Arial"/>
          <w:sz w:val="24"/>
          <w:szCs w:val="24"/>
        </w:rPr>
        <w:t xml:space="preserve">LA NULIDAD LISA Y LLANA </w:t>
      </w:r>
      <w:r w:rsidR="001A76CE">
        <w:rPr>
          <w:rFonts w:cs="Arial"/>
          <w:b w:val="0"/>
          <w:sz w:val="24"/>
          <w:szCs w:val="24"/>
        </w:rPr>
        <w:t xml:space="preserve">de la Multa por Infracción Establecida en el Código Fiscal para el Estado de Oaxaca, </w:t>
      </w:r>
      <w:r w:rsidR="00562A61" w:rsidRPr="00E1058C">
        <w:rPr>
          <w:b w:val="0"/>
          <w:sz w:val="24"/>
          <w:szCs w:val="24"/>
        </w:rPr>
        <w:t xml:space="preserve">con número de control </w:t>
      </w:r>
      <w:r w:rsidR="00063F20">
        <w:rPr>
          <w:rFonts w:cs="Arial"/>
          <w:b w:val="0"/>
          <w:sz w:val="24"/>
          <w:szCs w:val="24"/>
          <w:lang w:val="es-MX"/>
        </w:rPr>
        <w:t>********</w:t>
      </w:r>
      <w:r w:rsidR="001A76CE">
        <w:rPr>
          <w:rFonts w:cs="Arial"/>
          <w:b w:val="0"/>
          <w:sz w:val="24"/>
          <w:szCs w:val="24"/>
        </w:rPr>
        <w:t>,</w:t>
      </w:r>
      <w:r w:rsidR="00C0542D">
        <w:rPr>
          <w:rFonts w:cs="Arial"/>
          <w:b w:val="0"/>
          <w:sz w:val="24"/>
          <w:szCs w:val="24"/>
        </w:rPr>
        <w:t xml:space="preserve"> </w:t>
      </w:r>
      <w:r w:rsidR="00562A61" w:rsidRPr="005F7BBA">
        <w:rPr>
          <w:b w:val="0"/>
          <w:sz w:val="24"/>
          <w:szCs w:val="24"/>
        </w:rPr>
        <w:t>de ocho de agosto de dos mil diecisiete</w:t>
      </w:r>
      <w:r w:rsidR="00017A04" w:rsidRPr="005F7BBA">
        <w:rPr>
          <w:b w:val="0"/>
          <w:sz w:val="24"/>
          <w:szCs w:val="24"/>
        </w:rPr>
        <w:t>,</w:t>
      </w:r>
      <w:r w:rsidR="00017A04">
        <w:rPr>
          <w:sz w:val="24"/>
          <w:szCs w:val="24"/>
        </w:rPr>
        <w:t xml:space="preserve"> </w:t>
      </w:r>
      <w:r w:rsidR="00017A04">
        <w:rPr>
          <w:b w:val="0"/>
          <w:sz w:val="24"/>
          <w:szCs w:val="24"/>
        </w:rPr>
        <w:t>emitida por la Directora de Ingresos y Recaudación de la Secretaría de Finanzas del Poder Ejecutivo del Estado.</w:t>
      </w:r>
      <w:r w:rsidR="00FF2453">
        <w:rPr>
          <w:sz w:val="24"/>
          <w:szCs w:val="24"/>
        </w:rPr>
        <w:t xml:space="preserve"> </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lastRenderedPageBreak/>
        <w:t>Por último</w:t>
      </w:r>
      <w:r w:rsidR="004233F5">
        <w:rPr>
          <w:rFonts w:cs="Arial"/>
          <w:b w:val="0"/>
          <w:sz w:val="24"/>
          <w:szCs w:val="24"/>
        </w:rPr>
        <w:t>,</w:t>
      </w:r>
      <w:r w:rsidR="00D24A00">
        <w:rPr>
          <w:rFonts w:cs="Arial"/>
          <w:b w:val="0"/>
          <w:sz w:val="24"/>
          <w:szCs w:val="24"/>
        </w:rPr>
        <w:t xml:space="preserve"> es preciso establecer que los t</w:t>
      </w:r>
      <w:r w:rsidRPr="00F5368D">
        <w:rPr>
          <w:rFonts w:cs="Arial"/>
          <w:b w:val="0"/>
          <w:sz w:val="24"/>
          <w:szCs w:val="24"/>
        </w:rPr>
        <w:t xml:space="preserve">ribunales deben ocuparse de todos los planteamientos formulados por las partes, </w:t>
      </w:r>
      <w:r w:rsidR="004233F5">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4233F5" w:rsidRDefault="00562A61" w:rsidP="00CC3285">
      <w:pPr>
        <w:pStyle w:val="corte3centro"/>
        <w:ind w:left="567" w:right="-518"/>
        <w:jc w:val="both"/>
        <w:rPr>
          <w:rFonts w:cs="Arial"/>
          <w:b w:val="0"/>
          <w:i/>
          <w:sz w:val="24"/>
          <w:szCs w:val="24"/>
        </w:rPr>
      </w:pPr>
    </w:p>
    <w:p w:rsidR="00F66C0C" w:rsidRPr="004233F5" w:rsidRDefault="00F66C0C" w:rsidP="00CC3285">
      <w:pPr>
        <w:pStyle w:val="corte3centro"/>
        <w:ind w:left="567" w:right="-518"/>
        <w:jc w:val="both"/>
        <w:rPr>
          <w:rFonts w:cs="Arial"/>
          <w:b w:val="0"/>
          <w:i/>
          <w:sz w:val="24"/>
          <w:szCs w:val="24"/>
        </w:rPr>
      </w:pPr>
      <w:r w:rsidRPr="004233F5">
        <w:rPr>
          <w:rFonts w:cs="Arial"/>
          <w:i/>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w:t>
      </w:r>
      <w:r w:rsidR="009C4F43">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5725EF0A" wp14:editId="65502F3E">
                <wp:simplePos x="0" y="0"/>
                <wp:positionH relativeFrom="column">
                  <wp:posOffset>-916305</wp:posOffset>
                </wp:positionH>
                <wp:positionV relativeFrom="paragraph">
                  <wp:posOffset>2269490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9C4F43" w:rsidRDefault="009C4F43" w:rsidP="009C4F4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2.15pt;margin-top:178.7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">
                <v:textbox>
                  <w:txbxContent>
                    <w:p w:rsidR="009C4F43" w:rsidRDefault="009C4F43" w:rsidP="009C4F4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Pr="004233F5">
        <w:rPr>
          <w:rFonts w:cs="Arial"/>
          <w:i/>
          <w:sz w:val="24"/>
          <w:szCs w:val="24"/>
        </w:rPr>
        <w:t xml:space="preserve">ACTOR. </w:t>
      </w:r>
      <w:r w:rsidRPr="004233F5">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4233F5">
        <w:rPr>
          <w:rFonts w:cs="Arial"/>
          <w:i/>
          <w:sz w:val="24"/>
          <w:szCs w:val="24"/>
        </w:rPr>
        <w:t xml:space="preserve"> </w:t>
      </w:r>
      <w:r w:rsidRPr="004233F5">
        <w:rPr>
          <w:rFonts w:cs="Arial"/>
          <w:b w:val="0"/>
          <w:i/>
          <w:sz w:val="24"/>
          <w:szCs w:val="24"/>
        </w:rPr>
        <w:t>actor, y sólo en el evento de estimarlos infundados, se</w:t>
      </w:r>
      <w:r w:rsidRPr="004233F5">
        <w:rPr>
          <w:rFonts w:cs="Arial"/>
          <w:i/>
          <w:sz w:val="24"/>
          <w:szCs w:val="24"/>
        </w:rPr>
        <w:t xml:space="preserve"> </w:t>
      </w:r>
      <w:r w:rsidRPr="004233F5">
        <w:rPr>
          <w:rFonts w:cs="Arial"/>
          <w:b w:val="0"/>
          <w:i/>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7E7637" w:rsidRDefault="002B7F87" w:rsidP="00004C8F">
      <w:pPr>
        <w:spacing w:line="360" w:lineRule="auto"/>
        <w:ind w:right="-518" w:firstLine="567"/>
        <w:jc w:val="both"/>
        <w:rPr>
          <w:rFonts w:ascii="Arial" w:hAnsi="Arial" w:cs="Arial"/>
          <w:bCs/>
          <w:sz w:val="24"/>
          <w:szCs w:val="24"/>
        </w:rPr>
      </w:pPr>
      <w:r w:rsidRPr="00017A04">
        <w:rPr>
          <w:rFonts w:ascii="Arial" w:hAnsi="Arial" w:cs="Arial"/>
          <w:bCs/>
          <w:sz w:val="24"/>
          <w:szCs w:val="24"/>
        </w:rPr>
        <w:t>Por lo anteriormente expuesto, y con</w:t>
      </w:r>
      <w:r w:rsidR="00004C8F" w:rsidRPr="00017A04">
        <w:rPr>
          <w:rFonts w:ascii="Arial" w:hAnsi="Arial" w:cs="Arial"/>
          <w:bCs/>
          <w:sz w:val="24"/>
          <w:szCs w:val="24"/>
        </w:rPr>
        <w:t xml:space="preserve"> fundamento </w:t>
      </w:r>
      <w:r w:rsidR="002F6844">
        <w:rPr>
          <w:rFonts w:ascii="Arial" w:hAnsi="Arial" w:cs="Arial"/>
          <w:bCs/>
          <w:sz w:val="24"/>
          <w:szCs w:val="24"/>
        </w:rPr>
        <w:t>en los artículos 20</w:t>
      </w:r>
      <w:r w:rsidR="00004C8F" w:rsidRPr="00017A04">
        <w:rPr>
          <w:rFonts w:ascii="Arial" w:hAnsi="Arial" w:cs="Arial"/>
          <w:bCs/>
          <w:sz w:val="24"/>
          <w:szCs w:val="24"/>
        </w:rPr>
        <w:t>7</w:t>
      </w:r>
      <w:r w:rsidRPr="00017A04">
        <w:rPr>
          <w:rFonts w:ascii="Arial" w:hAnsi="Arial" w:cs="Arial"/>
          <w:bCs/>
          <w:sz w:val="24"/>
          <w:szCs w:val="24"/>
        </w:rPr>
        <w:t xml:space="preserve">, </w:t>
      </w:r>
      <w:r w:rsidR="002F6844">
        <w:rPr>
          <w:rFonts w:ascii="Arial" w:hAnsi="Arial" w:cs="Arial"/>
          <w:bCs/>
          <w:sz w:val="24"/>
          <w:szCs w:val="24"/>
        </w:rPr>
        <w:t>20</w:t>
      </w:r>
      <w:r w:rsidRPr="00017A04">
        <w:rPr>
          <w:rFonts w:ascii="Arial" w:hAnsi="Arial" w:cs="Arial"/>
          <w:bCs/>
          <w:sz w:val="24"/>
          <w:szCs w:val="24"/>
        </w:rPr>
        <w:t>8</w:t>
      </w:r>
      <w:r w:rsidR="00004C8F" w:rsidRPr="00017A04">
        <w:rPr>
          <w:rFonts w:ascii="Arial" w:hAnsi="Arial" w:cs="Arial"/>
          <w:bCs/>
          <w:sz w:val="24"/>
          <w:szCs w:val="24"/>
        </w:rPr>
        <w:t xml:space="preserve"> fracci</w:t>
      </w:r>
      <w:r w:rsidR="002F6844">
        <w:rPr>
          <w:rFonts w:ascii="Arial" w:hAnsi="Arial" w:cs="Arial"/>
          <w:bCs/>
          <w:sz w:val="24"/>
          <w:szCs w:val="24"/>
        </w:rPr>
        <w:t>ón VI y 20</w:t>
      </w:r>
      <w:r w:rsidR="00961E6B" w:rsidRPr="00017A04">
        <w:rPr>
          <w:rFonts w:ascii="Arial" w:hAnsi="Arial" w:cs="Arial"/>
          <w:bCs/>
          <w:sz w:val="24"/>
          <w:szCs w:val="24"/>
        </w:rPr>
        <w:t>9</w:t>
      </w:r>
      <w:r w:rsidR="007E7637" w:rsidRPr="00017A04">
        <w:rPr>
          <w:rFonts w:ascii="Arial" w:hAnsi="Arial" w:cs="Arial"/>
          <w:bCs/>
          <w:sz w:val="24"/>
          <w:szCs w:val="24"/>
        </w:rPr>
        <w:t xml:space="preserve">, de la Ley de </w:t>
      </w:r>
      <w:r w:rsidR="002F6844">
        <w:rPr>
          <w:rFonts w:ascii="Arial" w:hAnsi="Arial" w:cs="Arial"/>
          <w:bCs/>
          <w:sz w:val="24"/>
          <w:szCs w:val="24"/>
        </w:rPr>
        <w:t xml:space="preserve">Procedimiento y </w:t>
      </w:r>
      <w:r w:rsidR="007E7637" w:rsidRPr="00017A04">
        <w:rPr>
          <w:rFonts w:ascii="Arial" w:hAnsi="Arial" w:cs="Arial"/>
          <w:bCs/>
          <w:sz w:val="24"/>
          <w:szCs w:val="24"/>
        </w:rPr>
        <w:t>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dministrativa para el Estado, 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2F6844">
        <w:rPr>
          <w:rFonts w:ascii="Arial" w:hAnsi="Arial" w:cs="Arial"/>
          <w:bCs/>
          <w:color w:val="000000"/>
          <w:sz w:val="24"/>
          <w:szCs w:val="24"/>
        </w:rPr>
        <w:t>-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2F7F2D" w:rsidRPr="0041504C" w:rsidRDefault="00DA082B" w:rsidP="00FF2453">
      <w:pPr>
        <w:pStyle w:val="corte3centro"/>
        <w:ind w:right="-518" w:firstLine="567"/>
        <w:jc w:val="both"/>
        <w:rPr>
          <w:rFonts w:cs="Arial"/>
          <w:bCs/>
          <w:color w:val="000000"/>
          <w:sz w:val="24"/>
          <w:szCs w:val="24"/>
        </w:rPr>
      </w:pPr>
      <w:r w:rsidRPr="00907C3A">
        <w:rPr>
          <w:rFonts w:cs="Arial"/>
          <w:bCs/>
          <w:color w:val="000000"/>
          <w:sz w:val="24"/>
          <w:szCs w:val="24"/>
        </w:rPr>
        <w:lastRenderedPageBreak/>
        <w:t>TERCERO.</w:t>
      </w:r>
      <w:r w:rsidRPr="00F149F1">
        <w:rPr>
          <w:rFonts w:cs="Arial"/>
          <w:bCs/>
          <w:color w:val="000000"/>
          <w:sz w:val="24"/>
          <w:szCs w:val="24"/>
        </w:rPr>
        <w:t xml:space="preserve"> </w:t>
      </w:r>
      <w:r w:rsidR="003C0E2A">
        <w:rPr>
          <w:rFonts w:cs="Arial"/>
          <w:b w:val="0"/>
          <w:bCs/>
          <w:color w:val="000000"/>
          <w:sz w:val="24"/>
          <w:szCs w:val="24"/>
        </w:rPr>
        <w:t>Se declara la</w:t>
      </w:r>
      <w:r w:rsidR="003C0E2A" w:rsidRPr="00E1058C">
        <w:rPr>
          <w:rFonts w:cs="Arial"/>
          <w:b w:val="0"/>
          <w:sz w:val="24"/>
          <w:szCs w:val="24"/>
        </w:rPr>
        <w:t xml:space="preserve"> </w:t>
      </w:r>
      <w:r w:rsidR="003C0E2A" w:rsidRPr="00237F27">
        <w:rPr>
          <w:rFonts w:cs="Arial"/>
          <w:sz w:val="24"/>
          <w:szCs w:val="24"/>
        </w:rPr>
        <w:t>NULIDAD LISA Y LLANA</w:t>
      </w:r>
      <w:r w:rsidR="003C0E2A" w:rsidRPr="00E1058C">
        <w:rPr>
          <w:rFonts w:cs="Arial"/>
          <w:b w:val="0"/>
          <w:sz w:val="24"/>
          <w:szCs w:val="24"/>
        </w:rPr>
        <w:t xml:space="preserve"> </w:t>
      </w:r>
      <w:r w:rsidR="003C0E2A" w:rsidRPr="00E1058C">
        <w:rPr>
          <w:b w:val="0"/>
          <w:sz w:val="24"/>
          <w:szCs w:val="24"/>
        </w:rPr>
        <w:t xml:space="preserve">de la multa por infracción establecida en el Código Fiscal para el Estado de Oaxaca, con número de control </w:t>
      </w:r>
      <w:r w:rsidR="00063F20">
        <w:rPr>
          <w:rFonts w:cs="Arial"/>
          <w:b w:val="0"/>
          <w:sz w:val="24"/>
          <w:szCs w:val="24"/>
          <w:lang w:val="es-MX"/>
        </w:rPr>
        <w:t>********</w:t>
      </w:r>
      <w:r w:rsidR="00C0542D">
        <w:rPr>
          <w:rFonts w:cs="Arial"/>
          <w:b w:val="0"/>
          <w:sz w:val="24"/>
          <w:szCs w:val="24"/>
        </w:rPr>
        <w:t xml:space="preserve"> </w:t>
      </w:r>
      <w:r w:rsidR="003C0E2A" w:rsidRPr="005F7BBA">
        <w:rPr>
          <w:b w:val="0"/>
          <w:sz w:val="24"/>
          <w:szCs w:val="24"/>
        </w:rPr>
        <w:t>de ocho de agosto de dos mil diecisiete, emitida</w:t>
      </w:r>
      <w:r w:rsidR="003C0E2A">
        <w:rPr>
          <w:b w:val="0"/>
          <w:sz w:val="24"/>
          <w:szCs w:val="24"/>
        </w:rPr>
        <w:t xml:space="preserve"> por la Directora de Ingresos y Recaudación de la Secretaría de Finanzas del Poder Ejecutivo del Estado</w:t>
      </w:r>
      <w:r w:rsidR="00FF2453">
        <w:rPr>
          <w:b w:val="0"/>
          <w:sz w:val="24"/>
          <w:szCs w:val="24"/>
        </w:rPr>
        <w:t>.- - - - - - - - - - - - - - - - - - - - - - - - - - - - - - - - - - - - - - - - - - - - - - -</w:t>
      </w:r>
      <w:r w:rsidR="002B33B9">
        <w:rPr>
          <w:b w:val="0"/>
          <w:sz w:val="24"/>
          <w:szCs w:val="24"/>
        </w:rPr>
        <w:t xml:space="preserve"> - - - - - - - - - </w:t>
      </w:r>
    </w:p>
    <w:p w:rsidR="00247FA7" w:rsidRDefault="00247FA7" w:rsidP="00B8086C">
      <w:pPr>
        <w:spacing w:line="360" w:lineRule="auto"/>
        <w:ind w:right="-518"/>
        <w:jc w:val="both"/>
        <w:rPr>
          <w:rFonts w:ascii="Arial" w:hAnsi="Arial" w:cs="Arial"/>
          <w:bCs/>
          <w:color w:val="000000"/>
          <w:sz w:val="24"/>
          <w:szCs w:val="24"/>
        </w:rPr>
      </w:pPr>
      <w:bookmarkStart w:id="0" w:name="_GoBack"/>
      <w:bookmarkEnd w:id="0"/>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2F6844">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2F6844">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de la Ley de</w:t>
      </w:r>
      <w:r w:rsidR="005F7BBA">
        <w:rPr>
          <w:rFonts w:ascii="Arial" w:hAnsi="Arial" w:cs="Arial"/>
          <w:bCs/>
          <w:color w:val="000000"/>
          <w:sz w:val="24"/>
          <w:szCs w:val="24"/>
        </w:rPr>
        <w:t xml:space="preserve"> Procedimiento y</w:t>
      </w:r>
      <w:r w:rsidR="00F602E4" w:rsidRPr="00514151">
        <w:rPr>
          <w:rFonts w:ascii="Arial" w:hAnsi="Arial" w:cs="Arial"/>
          <w:bCs/>
          <w:color w:val="000000"/>
          <w:sz w:val="24"/>
          <w:szCs w:val="24"/>
        </w:rPr>
        <w:t xml:space="preserve"> 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1A76CE">
        <w:rPr>
          <w:rFonts w:ascii="Arial" w:hAnsi="Arial" w:cs="Arial"/>
          <w:b/>
          <w:bCs/>
          <w:color w:val="000000"/>
          <w:sz w:val="24"/>
          <w:szCs w:val="24"/>
        </w:rPr>
        <w:t>A LA PARTE ACTORA</w:t>
      </w:r>
      <w:r w:rsidR="00F602E4" w:rsidRPr="001A33B6">
        <w:rPr>
          <w:rFonts w:ascii="Arial" w:hAnsi="Arial" w:cs="Arial"/>
          <w:b/>
          <w:bCs/>
          <w:color w:val="000000"/>
          <w:sz w:val="24"/>
          <w:szCs w:val="24"/>
        </w:rPr>
        <w:t xml:space="preserve">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p w:rsidR="00927E72" w:rsidRPr="00AA4DD0" w:rsidRDefault="00927E72" w:rsidP="00B8086C">
      <w:pPr>
        <w:spacing w:line="360" w:lineRule="auto"/>
        <w:ind w:right="-518"/>
        <w:jc w:val="both"/>
        <w:rPr>
          <w:rFonts w:ascii="Arial" w:hAnsi="Arial" w:cs="Arial"/>
          <w:bCs/>
          <w:color w:val="000000"/>
          <w:sz w:val="16"/>
          <w:szCs w:val="16"/>
          <w:vertAlign w:val="superscript"/>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A5" w:rsidRDefault="00F67DA5" w:rsidP="00DD5D31">
      <w:r>
        <w:separator/>
      </w:r>
    </w:p>
  </w:endnote>
  <w:endnote w:type="continuationSeparator" w:id="0">
    <w:p w:rsidR="00F67DA5" w:rsidRDefault="00F67DA5"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A5" w:rsidRDefault="00F67DA5" w:rsidP="00DD5D31">
      <w:r>
        <w:separator/>
      </w:r>
    </w:p>
  </w:footnote>
  <w:footnote w:type="continuationSeparator" w:id="0">
    <w:p w:rsidR="00F67DA5" w:rsidRDefault="00F67DA5"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063F20" w:rsidRPr="00063F20">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 xml:space="preserve">EXPEDIENTE </w:t>
        </w:r>
        <w:r w:rsidR="00104772">
          <w:rPr>
            <w:rFonts w:ascii="Arial" w:hAnsi="Arial" w:cs="Arial"/>
            <w:sz w:val="18"/>
            <w:szCs w:val="18"/>
          </w:rPr>
          <w:t>71</w:t>
        </w:r>
        <w:r w:rsidR="001A7545">
          <w:rPr>
            <w:rFonts w:ascii="Arial" w:hAnsi="Arial" w:cs="Arial"/>
            <w:sz w:val="18"/>
            <w:szCs w:val="18"/>
          </w:rPr>
          <w:t>/2018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0A25"/>
    <w:rsid w:val="00003F0B"/>
    <w:rsid w:val="00003F63"/>
    <w:rsid w:val="00004C8F"/>
    <w:rsid w:val="00010EF8"/>
    <w:rsid w:val="00014BCC"/>
    <w:rsid w:val="00017A04"/>
    <w:rsid w:val="00022C84"/>
    <w:rsid w:val="00026B4C"/>
    <w:rsid w:val="000301CE"/>
    <w:rsid w:val="00030239"/>
    <w:rsid w:val="000356B9"/>
    <w:rsid w:val="000473F0"/>
    <w:rsid w:val="000476EE"/>
    <w:rsid w:val="000547E8"/>
    <w:rsid w:val="00055444"/>
    <w:rsid w:val="0005661F"/>
    <w:rsid w:val="00063839"/>
    <w:rsid w:val="00063F20"/>
    <w:rsid w:val="00073199"/>
    <w:rsid w:val="00082F0F"/>
    <w:rsid w:val="0009281E"/>
    <w:rsid w:val="000949F9"/>
    <w:rsid w:val="000958AC"/>
    <w:rsid w:val="000A171E"/>
    <w:rsid w:val="000A3588"/>
    <w:rsid w:val="000A3760"/>
    <w:rsid w:val="000A78E9"/>
    <w:rsid w:val="000C1378"/>
    <w:rsid w:val="000C3EC6"/>
    <w:rsid w:val="000D5CEE"/>
    <w:rsid w:val="000E334F"/>
    <w:rsid w:val="000E55BC"/>
    <w:rsid w:val="000F14A5"/>
    <w:rsid w:val="000F2596"/>
    <w:rsid w:val="000F2A2C"/>
    <w:rsid w:val="000F3332"/>
    <w:rsid w:val="00103661"/>
    <w:rsid w:val="00104772"/>
    <w:rsid w:val="00107B71"/>
    <w:rsid w:val="00111BF6"/>
    <w:rsid w:val="00116804"/>
    <w:rsid w:val="00117DE1"/>
    <w:rsid w:val="00125AB1"/>
    <w:rsid w:val="00127D56"/>
    <w:rsid w:val="00131C89"/>
    <w:rsid w:val="00136097"/>
    <w:rsid w:val="001425E0"/>
    <w:rsid w:val="0014304F"/>
    <w:rsid w:val="00147F00"/>
    <w:rsid w:val="001512FD"/>
    <w:rsid w:val="00151F09"/>
    <w:rsid w:val="001556A0"/>
    <w:rsid w:val="00155AF4"/>
    <w:rsid w:val="0016020F"/>
    <w:rsid w:val="00160A37"/>
    <w:rsid w:val="00162F50"/>
    <w:rsid w:val="001649CB"/>
    <w:rsid w:val="00165B9C"/>
    <w:rsid w:val="001666B7"/>
    <w:rsid w:val="001678B7"/>
    <w:rsid w:val="00170147"/>
    <w:rsid w:val="001740CC"/>
    <w:rsid w:val="001802BF"/>
    <w:rsid w:val="001810D9"/>
    <w:rsid w:val="00183D73"/>
    <w:rsid w:val="001A0D92"/>
    <w:rsid w:val="001A33B6"/>
    <w:rsid w:val="001A5309"/>
    <w:rsid w:val="001A6DAF"/>
    <w:rsid w:val="001A7545"/>
    <w:rsid w:val="001A76CE"/>
    <w:rsid w:val="001B2205"/>
    <w:rsid w:val="001B604B"/>
    <w:rsid w:val="001C0AB4"/>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457C"/>
    <w:rsid w:val="00236C1C"/>
    <w:rsid w:val="00237F27"/>
    <w:rsid w:val="00241B63"/>
    <w:rsid w:val="002431E5"/>
    <w:rsid w:val="00244374"/>
    <w:rsid w:val="00245837"/>
    <w:rsid w:val="00247FA7"/>
    <w:rsid w:val="00266BE5"/>
    <w:rsid w:val="0026775F"/>
    <w:rsid w:val="00270E1B"/>
    <w:rsid w:val="0027363E"/>
    <w:rsid w:val="00275F8A"/>
    <w:rsid w:val="002761C9"/>
    <w:rsid w:val="002764F3"/>
    <w:rsid w:val="002906E2"/>
    <w:rsid w:val="0029174D"/>
    <w:rsid w:val="00295BAD"/>
    <w:rsid w:val="002A01B8"/>
    <w:rsid w:val="002A0256"/>
    <w:rsid w:val="002A3764"/>
    <w:rsid w:val="002A66CC"/>
    <w:rsid w:val="002B33B9"/>
    <w:rsid w:val="002B671C"/>
    <w:rsid w:val="002B7F87"/>
    <w:rsid w:val="002C3A7D"/>
    <w:rsid w:val="002C7FE0"/>
    <w:rsid w:val="002E0F3A"/>
    <w:rsid w:val="002E1804"/>
    <w:rsid w:val="002E248A"/>
    <w:rsid w:val="002F3243"/>
    <w:rsid w:val="002F3C38"/>
    <w:rsid w:val="002F6844"/>
    <w:rsid w:val="002F7F2D"/>
    <w:rsid w:val="00301C2D"/>
    <w:rsid w:val="003023D4"/>
    <w:rsid w:val="003058E2"/>
    <w:rsid w:val="00310425"/>
    <w:rsid w:val="003114BD"/>
    <w:rsid w:val="00312F73"/>
    <w:rsid w:val="0031573E"/>
    <w:rsid w:val="00316191"/>
    <w:rsid w:val="00317203"/>
    <w:rsid w:val="00317397"/>
    <w:rsid w:val="0032389A"/>
    <w:rsid w:val="00323C32"/>
    <w:rsid w:val="0032546E"/>
    <w:rsid w:val="00327A40"/>
    <w:rsid w:val="00331E20"/>
    <w:rsid w:val="0033563F"/>
    <w:rsid w:val="003406AE"/>
    <w:rsid w:val="003422DF"/>
    <w:rsid w:val="00342680"/>
    <w:rsid w:val="0035233C"/>
    <w:rsid w:val="00355417"/>
    <w:rsid w:val="00362AD6"/>
    <w:rsid w:val="00362FF2"/>
    <w:rsid w:val="00364A0F"/>
    <w:rsid w:val="0037148A"/>
    <w:rsid w:val="0037407B"/>
    <w:rsid w:val="00380F01"/>
    <w:rsid w:val="00383E99"/>
    <w:rsid w:val="003906B7"/>
    <w:rsid w:val="00395E8C"/>
    <w:rsid w:val="00395ECA"/>
    <w:rsid w:val="003970CD"/>
    <w:rsid w:val="003972F6"/>
    <w:rsid w:val="003974C8"/>
    <w:rsid w:val="003A0758"/>
    <w:rsid w:val="003A1CE4"/>
    <w:rsid w:val="003A4035"/>
    <w:rsid w:val="003C0E2A"/>
    <w:rsid w:val="003C1726"/>
    <w:rsid w:val="003C226E"/>
    <w:rsid w:val="003C25EE"/>
    <w:rsid w:val="003C685F"/>
    <w:rsid w:val="003C7B0F"/>
    <w:rsid w:val="003D1260"/>
    <w:rsid w:val="003D49C2"/>
    <w:rsid w:val="003D4A10"/>
    <w:rsid w:val="003D4AAA"/>
    <w:rsid w:val="003E09AA"/>
    <w:rsid w:val="003E09F6"/>
    <w:rsid w:val="003E2AEA"/>
    <w:rsid w:val="003F1D5A"/>
    <w:rsid w:val="003F4943"/>
    <w:rsid w:val="00403098"/>
    <w:rsid w:val="004036A7"/>
    <w:rsid w:val="004045BC"/>
    <w:rsid w:val="004048DB"/>
    <w:rsid w:val="0041504C"/>
    <w:rsid w:val="0042187B"/>
    <w:rsid w:val="004233F5"/>
    <w:rsid w:val="00424DA1"/>
    <w:rsid w:val="004260C7"/>
    <w:rsid w:val="00433380"/>
    <w:rsid w:val="0043441C"/>
    <w:rsid w:val="00441189"/>
    <w:rsid w:val="004415F9"/>
    <w:rsid w:val="0044434B"/>
    <w:rsid w:val="00447822"/>
    <w:rsid w:val="004523B6"/>
    <w:rsid w:val="00460E46"/>
    <w:rsid w:val="00464A66"/>
    <w:rsid w:val="00475178"/>
    <w:rsid w:val="00475DF1"/>
    <w:rsid w:val="0048200C"/>
    <w:rsid w:val="0048226F"/>
    <w:rsid w:val="0048353C"/>
    <w:rsid w:val="004930CC"/>
    <w:rsid w:val="004A06FF"/>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4E6617"/>
    <w:rsid w:val="005015CD"/>
    <w:rsid w:val="00504276"/>
    <w:rsid w:val="00511618"/>
    <w:rsid w:val="00515B3F"/>
    <w:rsid w:val="00515F69"/>
    <w:rsid w:val="00516D1F"/>
    <w:rsid w:val="00516DC9"/>
    <w:rsid w:val="00522861"/>
    <w:rsid w:val="0052545E"/>
    <w:rsid w:val="00527A99"/>
    <w:rsid w:val="00530E85"/>
    <w:rsid w:val="0053351F"/>
    <w:rsid w:val="0053518A"/>
    <w:rsid w:val="0053794B"/>
    <w:rsid w:val="0054051A"/>
    <w:rsid w:val="00545CF5"/>
    <w:rsid w:val="00550318"/>
    <w:rsid w:val="005522D4"/>
    <w:rsid w:val="00553D8C"/>
    <w:rsid w:val="00554334"/>
    <w:rsid w:val="005608B3"/>
    <w:rsid w:val="00562A61"/>
    <w:rsid w:val="00567EC3"/>
    <w:rsid w:val="00573F0D"/>
    <w:rsid w:val="00575CE7"/>
    <w:rsid w:val="0058633E"/>
    <w:rsid w:val="00591BAB"/>
    <w:rsid w:val="0059218B"/>
    <w:rsid w:val="00593D97"/>
    <w:rsid w:val="005948AE"/>
    <w:rsid w:val="00596CB0"/>
    <w:rsid w:val="00597D76"/>
    <w:rsid w:val="00597FC6"/>
    <w:rsid w:val="005B0186"/>
    <w:rsid w:val="005B118C"/>
    <w:rsid w:val="005B3140"/>
    <w:rsid w:val="005B37E7"/>
    <w:rsid w:val="005B5C3F"/>
    <w:rsid w:val="005C060F"/>
    <w:rsid w:val="005C07B2"/>
    <w:rsid w:val="005C0976"/>
    <w:rsid w:val="005C21E5"/>
    <w:rsid w:val="005C6ABD"/>
    <w:rsid w:val="005D34AE"/>
    <w:rsid w:val="005D380E"/>
    <w:rsid w:val="005D7B7D"/>
    <w:rsid w:val="005E2BA2"/>
    <w:rsid w:val="005E5524"/>
    <w:rsid w:val="005E7398"/>
    <w:rsid w:val="005F0D67"/>
    <w:rsid w:val="005F7BBA"/>
    <w:rsid w:val="00611E12"/>
    <w:rsid w:val="00611EB7"/>
    <w:rsid w:val="00614F21"/>
    <w:rsid w:val="0062007F"/>
    <w:rsid w:val="00620734"/>
    <w:rsid w:val="00620D6C"/>
    <w:rsid w:val="00627597"/>
    <w:rsid w:val="006301DF"/>
    <w:rsid w:val="0064087C"/>
    <w:rsid w:val="0064388E"/>
    <w:rsid w:val="006553E2"/>
    <w:rsid w:val="0066220A"/>
    <w:rsid w:val="006641AF"/>
    <w:rsid w:val="00670EE8"/>
    <w:rsid w:val="0067152F"/>
    <w:rsid w:val="00672455"/>
    <w:rsid w:val="00673D5B"/>
    <w:rsid w:val="006755D4"/>
    <w:rsid w:val="00675EC7"/>
    <w:rsid w:val="0067615F"/>
    <w:rsid w:val="00680A12"/>
    <w:rsid w:val="00682A0C"/>
    <w:rsid w:val="006948DA"/>
    <w:rsid w:val="006A023C"/>
    <w:rsid w:val="006A03AA"/>
    <w:rsid w:val="006A219F"/>
    <w:rsid w:val="006A23C4"/>
    <w:rsid w:val="006A4C68"/>
    <w:rsid w:val="006B4E55"/>
    <w:rsid w:val="006B5B2C"/>
    <w:rsid w:val="006B6CB5"/>
    <w:rsid w:val="006C32AA"/>
    <w:rsid w:val="006C451E"/>
    <w:rsid w:val="006C73A2"/>
    <w:rsid w:val="006D12EE"/>
    <w:rsid w:val="006D3448"/>
    <w:rsid w:val="006D5078"/>
    <w:rsid w:val="006D5A60"/>
    <w:rsid w:val="006D7247"/>
    <w:rsid w:val="006E27AC"/>
    <w:rsid w:val="006E70D9"/>
    <w:rsid w:val="006F10DE"/>
    <w:rsid w:val="006F1AA2"/>
    <w:rsid w:val="006F20E5"/>
    <w:rsid w:val="006F2B12"/>
    <w:rsid w:val="006F63D2"/>
    <w:rsid w:val="006F6DEB"/>
    <w:rsid w:val="007049C9"/>
    <w:rsid w:val="00705260"/>
    <w:rsid w:val="00707F8A"/>
    <w:rsid w:val="00713B4B"/>
    <w:rsid w:val="007212B7"/>
    <w:rsid w:val="007255BA"/>
    <w:rsid w:val="0073143D"/>
    <w:rsid w:val="00732D7D"/>
    <w:rsid w:val="007367FD"/>
    <w:rsid w:val="00741F4F"/>
    <w:rsid w:val="00752255"/>
    <w:rsid w:val="007528BD"/>
    <w:rsid w:val="00753E6C"/>
    <w:rsid w:val="007546DF"/>
    <w:rsid w:val="00755BF9"/>
    <w:rsid w:val="007624FD"/>
    <w:rsid w:val="00770405"/>
    <w:rsid w:val="007761E7"/>
    <w:rsid w:val="00780705"/>
    <w:rsid w:val="007815EA"/>
    <w:rsid w:val="0078377B"/>
    <w:rsid w:val="00785661"/>
    <w:rsid w:val="007908F0"/>
    <w:rsid w:val="007943F4"/>
    <w:rsid w:val="00795B16"/>
    <w:rsid w:val="007A420C"/>
    <w:rsid w:val="007A69B6"/>
    <w:rsid w:val="007A7904"/>
    <w:rsid w:val="007B1978"/>
    <w:rsid w:val="007B5215"/>
    <w:rsid w:val="007B71FB"/>
    <w:rsid w:val="007B7779"/>
    <w:rsid w:val="007B77F8"/>
    <w:rsid w:val="007C0248"/>
    <w:rsid w:val="007C30DC"/>
    <w:rsid w:val="007C416E"/>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4A24"/>
    <w:rsid w:val="008449EE"/>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12A0"/>
    <w:rsid w:val="008A5490"/>
    <w:rsid w:val="008B10D3"/>
    <w:rsid w:val="008B20C0"/>
    <w:rsid w:val="008B5C80"/>
    <w:rsid w:val="008B71C9"/>
    <w:rsid w:val="008C2AE4"/>
    <w:rsid w:val="008C2C7A"/>
    <w:rsid w:val="008D3A34"/>
    <w:rsid w:val="008D7D5B"/>
    <w:rsid w:val="008D7FD3"/>
    <w:rsid w:val="008E7278"/>
    <w:rsid w:val="008F224B"/>
    <w:rsid w:val="00903A6D"/>
    <w:rsid w:val="00911B10"/>
    <w:rsid w:val="00915547"/>
    <w:rsid w:val="00927E72"/>
    <w:rsid w:val="00930A36"/>
    <w:rsid w:val="00932AE5"/>
    <w:rsid w:val="0093314E"/>
    <w:rsid w:val="009341E2"/>
    <w:rsid w:val="00934345"/>
    <w:rsid w:val="009344F2"/>
    <w:rsid w:val="00935F7D"/>
    <w:rsid w:val="009401E1"/>
    <w:rsid w:val="00941348"/>
    <w:rsid w:val="0094235D"/>
    <w:rsid w:val="009475DF"/>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2DBF"/>
    <w:rsid w:val="009A3627"/>
    <w:rsid w:val="009B05A3"/>
    <w:rsid w:val="009C11B2"/>
    <w:rsid w:val="009C39E1"/>
    <w:rsid w:val="009C4F43"/>
    <w:rsid w:val="009D0C4F"/>
    <w:rsid w:val="009D2B84"/>
    <w:rsid w:val="009D30EC"/>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3286"/>
    <w:rsid w:val="00A95AC4"/>
    <w:rsid w:val="00A96A90"/>
    <w:rsid w:val="00A97B12"/>
    <w:rsid w:val="00AA445B"/>
    <w:rsid w:val="00AA4DD0"/>
    <w:rsid w:val="00AA508A"/>
    <w:rsid w:val="00AA531E"/>
    <w:rsid w:val="00AB1839"/>
    <w:rsid w:val="00AC234E"/>
    <w:rsid w:val="00AC45AE"/>
    <w:rsid w:val="00AC4AF9"/>
    <w:rsid w:val="00AD002E"/>
    <w:rsid w:val="00AD168D"/>
    <w:rsid w:val="00AD2A14"/>
    <w:rsid w:val="00AD3569"/>
    <w:rsid w:val="00AD69BB"/>
    <w:rsid w:val="00AE010A"/>
    <w:rsid w:val="00AE076A"/>
    <w:rsid w:val="00AE3BEB"/>
    <w:rsid w:val="00AE4415"/>
    <w:rsid w:val="00AE4748"/>
    <w:rsid w:val="00AE5C86"/>
    <w:rsid w:val="00AE61B2"/>
    <w:rsid w:val="00AE6C60"/>
    <w:rsid w:val="00AE7495"/>
    <w:rsid w:val="00AF2D5A"/>
    <w:rsid w:val="00AF7FC9"/>
    <w:rsid w:val="00B0610E"/>
    <w:rsid w:val="00B0645B"/>
    <w:rsid w:val="00B124F8"/>
    <w:rsid w:val="00B136E6"/>
    <w:rsid w:val="00B13DAA"/>
    <w:rsid w:val="00B17F30"/>
    <w:rsid w:val="00B237AA"/>
    <w:rsid w:val="00B26520"/>
    <w:rsid w:val="00B33C11"/>
    <w:rsid w:val="00B44AC7"/>
    <w:rsid w:val="00B461D1"/>
    <w:rsid w:val="00B502A2"/>
    <w:rsid w:val="00B50795"/>
    <w:rsid w:val="00B54813"/>
    <w:rsid w:val="00B563D7"/>
    <w:rsid w:val="00B6595F"/>
    <w:rsid w:val="00B73C43"/>
    <w:rsid w:val="00B8086C"/>
    <w:rsid w:val="00B81216"/>
    <w:rsid w:val="00B84FA5"/>
    <w:rsid w:val="00B879F7"/>
    <w:rsid w:val="00B911F7"/>
    <w:rsid w:val="00B9449B"/>
    <w:rsid w:val="00B964FF"/>
    <w:rsid w:val="00BA0970"/>
    <w:rsid w:val="00BA3C39"/>
    <w:rsid w:val="00BA6915"/>
    <w:rsid w:val="00BA7F97"/>
    <w:rsid w:val="00BC04F1"/>
    <w:rsid w:val="00BC5E4F"/>
    <w:rsid w:val="00BD0923"/>
    <w:rsid w:val="00BE522C"/>
    <w:rsid w:val="00BE7CC3"/>
    <w:rsid w:val="00BF03C8"/>
    <w:rsid w:val="00BF0ACD"/>
    <w:rsid w:val="00BF456B"/>
    <w:rsid w:val="00BF4F3D"/>
    <w:rsid w:val="00C00F42"/>
    <w:rsid w:val="00C0386C"/>
    <w:rsid w:val="00C0542D"/>
    <w:rsid w:val="00C07D9A"/>
    <w:rsid w:val="00C07F38"/>
    <w:rsid w:val="00C108C5"/>
    <w:rsid w:val="00C1103F"/>
    <w:rsid w:val="00C26708"/>
    <w:rsid w:val="00C3280C"/>
    <w:rsid w:val="00C36DEF"/>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3285"/>
    <w:rsid w:val="00CC5CA7"/>
    <w:rsid w:val="00CD5A4D"/>
    <w:rsid w:val="00CD763E"/>
    <w:rsid w:val="00CE5157"/>
    <w:rsid w:val="00CE75A8"/>
    <w:rsid w:val="00CF2FA4"/>
    <w:rsid w:val="00CF63C5"/>
    <w:rsid w:val="00D00017"/>
    <w:rsid w:val="00D014BE"/>
    <w:rsid w:val="00D021BC"/>
    <w:rsid w:val="00D02372"/>
    <w:rsid w:val="00D0772C"/>
    <w:rsid w:val="00D1069A"/>
    <w:rsid w:val="00D12076"/>
    <w:rsid w:val="00D150C6"/>
    <w:rsid w:val="00D24A00"/>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7799B"/>
    <w:rsid w:val="00D834C7"/>
    <w:rsid w:val="00D93DE7"/>
    <w:rsid w:val="00D94CF3"/>
    <w:rsid w:val="00D957D0"/>
    <w:rsid w:val="00DA007E"/>
    <w:rsid w:val="00DA082B"/>
    <w:rsid w:val="00DA0D02"/>
    <w:rsid w:val="00DA2866"/>
    <w:rsid w:val="00DA536F"/>
    <w:rsid w:val="00DB7F00"/>
    <w:rsid w:val="00DC225F"/>
    <w:rsid w:val="00DC5F59"/>
    <w:rsid w:val="00DD2CA5"/>
    <w:rsid w:val="00DD3BB1"/>
    <w:rsid w:val="00DD4385"/>
    <w:rsid w:val="00DD5D31"/>
    <w:rsid w:val="00DE2995"/>
    <w:rsid w:val="00DE3A1A"/>
    <w:rsid w:val="00DF3640"/>
    <w:rsid w:val="00DF55E5"/>
    <w:rsid w:val="00E01353"/>
    <w:rsid w:val="00E05DC8"/>
    <w:rsid w:val="00E0795E"/>
    <w:rsid w:val="00E1058C"/>
    <w:rsid w:val="00E1140D"/>
    <w:rsid w:val="00E14DAD"/>
    <w:rsid w:val="00E163C7"/>
    <w:rsid w:val="00E171EE"/>
    <w:rsid w:val="00E20F3C"/>
    <w:rsid w:val="00E25CFB"/>
    <w:rsid w:val="00E365E1"/>
    <w:rsid w:val="00E41789"/>
    <w:rsid w:val="00E43BF6"/>
    <w:rsid w:val="00E45E40"/>
    <w:rsid w:val="00E515F7"/>
    <w:rsid w:val="00E51F63"/>
    <w:rsid w:val="00E54188"/>
    <w:rsid w:val="00E55533"/>
    <w:rsid w:val="00E56565"/>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C3943"/>
    <w:rsid w:val="00EC4AF9"/>
    <w:rsid w:val="00EC4B88"/>
    <w:rsid w:val="00ED4180"/>
    <w:rsid w:val="00ED5D82"/>
    <w:rsid w:val="00EE087A"/>
    <w:rsid w:val="00EE22BA"/>
    <w:rsid w:val="00EE511C"/>
    <w:rsid w:val="00EF4440"/>
    <w:rsid w:val="00EF72BA"/>
    <w:rsid w:val="00F0299C"/>
    <w:rsid w:val="00F043A6"/>
    <w:rsid w:val="00F1058C"/>
    <w:rsid w:val="00F11F83"/>
    <w:rsid w:val="00F13F3B"/>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DA5"/>
    <w:rsid w:val="00F67F5B"/>
    <w:rsid w:val="00F73B65"/>
    <w:rsid w:val="00F73BD1"/>
    <w:rsid w:val="00F8118F"/>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FD79-176B-4517-93AA-A6218CF8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2281</Words>
  <Characters>12551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7</cp:revision>
  <cp:lastPrinted>2019-05-31T19:40:00Z</cp:lastPrinted>
  <dcterms:created xsi:type="dcterms:W3CDTF">2019-05-31T18:23:00Z</dcterms:created>
  <dcterms:modified xsi:type="dcterms:W3CDTF">2019-10-07T16:37:00Z</dcterms:modified>
</cp:coreProperties>
</file>