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A72EA">
        <w:rPr>
          <w:rFonts w:ascii="Arial" w:hAnsi="Arial" w:cs="Arial"/>
          <w:b/>
          <w:sz w:val="26"/>
          <w:szCs w:val="26"/>
        </w:rPr>
        <w:t>701</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2A72EA">
        <w:rPr>
          <w:rFonts w:ascii="Arial" w:hAnsi="Arial" w:cs="Arial"/>
          <w:b/>
          <w:sz w:val="26"/>
          <w:szCs w:val="26"/>
        </w:rPr>
        <w:t>56</w:t>
      </w:r>
      <w:r>
        <w:rPr>
          <w:rFonts w:ascii="Arial" w:hAnsi="Arial" w:cs="Arial"/>
          <w:b/>
          <w:sz w:val="26"/>
          <w:szCs w:val="26"/>
        </w:rPr>
        <w:t>/</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b/>
          <w:sz w:val="26"/>
          <w:szCs w:val="26"/>
        </w:rPr>
        <w:t xml:space="preserve"> </w:t>
      </w:r>
      <w:r w:rsidR="002A72EA">
        <w:rPr>
          <w:rFonts w:ascii="Arial" w:hAnsi="Arial" w:cs="Arial"/>
          <w:b/>
          <w:sz w:val="26"/>
          <w:szCs w:val="26"/>
        </w:rPr>
        <w:t>TERCERA</w:t>
      </w:r>
      <w:r w:rsidR="007E52F1">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776E5E" w:rsidRDefault="00776E5E"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F65C72">
        <w:rPr>
          <w:rFonts w:ascii="Arial" w:hAnsi="Arial" w:cs="Arial"/>
          <w:b/>
          <w:sz w:val="26"/>
          <w:szCs w:val="26"/>
        </w:rPr>
        <w:t>A SIETE</w:t>
      </w:r>
      <w:r w:rsidR="00B53176">
        <w:rPr>
          <w:rFonts w:ascii="Arial" w:hAnsi="Arial" w:cs="Arial"/>
          <w:b/>
          <w:sz w:val="26"/>
          <w:szCs w:val="26"/>
        </w:rPr>
        <w:t xml:space="preserve"> </w:t>
      </w:r>
      <w:r>
        <w:rPr>
          <w:rFonts w:ascii="Arial" w:hAnsi="Arial" w:cs="Arial"/>
          <w:b/>
          <w:sz w:val="26"/>
          <w:szCs w:val="26"/>
        </w:rPr>
        <w:t xml:space="preserve">DE </w:t>
      </w:r>
      <w:r w:rsidR="00171EF0">
        <w:rPr>
          <w:rFonts w:ascii="Arial" w:hAnsi="Arial" w:cs="Arial"/>
          <w:b/>
          <w:sz w:val="26"/>
          <w:szCs w:val="26"/>
        </w:rPr>
        <w:t>JUNIO</w:t>
      </w:r>
      <w:r>
        <w:rPr>
          <w:rFonts w:ascii="Arial" w:hAnsi="Arial" w:cs="Arial"/>
          <w:b/>
          <w:sz w:val="26"/>
          <w:szCs w:val="26"/>
        </w:rPr>
        <w:t xml:space="preserve"> DE  DOS </w:t>
      </w:r>
      <w:r w:rsidR="00B53176">
        <w:rPr>
          <w:rFonts w:ascii="Arial" w:hAnsi="Arial" w:cs="Arial"/>
          <w:b/>
          <w:sz w:val="26"/>
          <w:szCs w:val="26"/>
        </w:rPr>
        <w:t>MI</w:t>
      </w:r>
      <w:r w:rsidR="00536B6D">
        <w:rPr>
          <w:rFonts w:ascii="Arial" w:hAnsi="Arial" w:cs="Arial"/>
          <w:b/>
          <w:sz w:val="26"/>
          <w:szCs w:val="26"/>
        </w:rPr>
        <w:t>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2A72EA">
        <w:rPr>
          <w:rFonts w:ascii="Arial" w:hAnsi="Arial" w:cs="Arial"/>
          <w:b/>
          <w:sz w:val="26"/>
          <w:szCs w:val="26"/>
        </w:rPr>
        <w:t>701</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2A72EA">
        <w:rPr>
          <w:rFonts w:ascii="Arial" w:hAnsi="Arial" w:cs="Arial"/>
          <w:b/>
          <w:sz w:val="26"/>
          <w:szCs w:val="26"/>
        </w:rPr>
        <w:t xml:space="preserve">TESORERA MUNICIPAL </w:t>
      </w:r>
      <w:r w:rsidR="003E2B2E" w:rsidRPr="003E2B2E">
        <w:rPr>
          <w:rFonts w:ascii="Arial" w:hAnsi="Arial" w:cs="Arial"/>
          <w:b/>
          <w:sz w:val="26"/>
          <w:szCs w:val="26"/>
        </w:rPr>
        <w:t>DE OAXACA DE JUÁREZ</w:t>
      </w:r>
      <w:r w:rsidRPr="00CB6405">
        <w:rPr>
          <w:rFonts w:ascii="Arial" w:hAnsi="Arial" w:cs="Arial"/>
          <w:sz w:val="26"/>
          <w:szCs w:val="26"/>
        </w:rPr>
        <w:t>, en contra de</w:t>
      </w:r>
      <w:r w:rsidR="00F65C72">
        <w:rPr>
          <w:rFonts w:ascii="Arial" w:hAnsi="Arial" w:cs="Arial"/>
          <w:sz w:val="26"/>
          <w:szCs w:val="26"/>
        </w:rPr>
        <w:t xml:space="preserve"> la sentencia de</w:t>
      </w:r>
      <w:r w:rsidR="002A72EA">
        <w:rPr>
          <w:rFonts w:ascii="Arial" w:hAnsi="Arial" w:cs="Arial"/>
          <w:sz w:val="26"/>
          <w:szCs w:val="26"/>
        </w:rPr>
        <w:t xml:space="preserve"> seis de noviembre </w:t>
      </w:r>
      <w:r>
        <w:rPr>
          <w:rFonts w:ascii="Arial" w:hAnsi="Arial" w:cs="Arial"/>
          <w:sz w:val="26"/>
          <w:szCs w:val="26"/>
        </w:rPr>
        <w:t xml:space="preserve">de </w:t>
      </w:r>
      <w:r w:rsidRPr="00CB6405">
        <w:rPr>
          <w:rFonts w:ascii="Arial" w:hAnsi="Arial" w:cs="Arial"/>
          <w:sz w:val="26"/>
          <w:szCs w:val="26"/>
        </w:rPr>
        <w:t xml:space="preserve"> 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2A72EA">
        <w:rPr>
          <w:rFonts w:ascii="Arial" w:hAnsi="Arial" w:cs="Arial"/>
          <w:b/>
          <w:sz w:val="26"/>
          <w:szCs w:val="26"/>
        </w:rPr>
        <w:t>56</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sz w:val="26"/>
          <w:szCs w:val="26"/>
        </w:rPr>
        <w:t xml:space="preserve"> de la </w:t>
      </w:r>
      <w:r w:rsidR="002A72EA">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FB278A">
        <w:rPr>
          <w:rFonts w:ascii="Arial" w:eastAsia="Times New Roman" w:hAnsi="Arial" w:cs="Arial"/>
          <w:bCs/>
          <w:i/>
          <w:iCs/>
          <w:sz w:val="24"/>
          <w:szCs w:val="24"/>
          <w:lang w:eastAsia="es-ES"/>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6B3BEA" w:rsidRPr="006B3BEA">
        <w:rPr>
          <w:rFonts w:ascii="Arial" w:hAnsi="Arial" w:cs="Arial"/>
          <w:b/>
          <w:sz w:val="26"/>
          <w:szCs w:val="26"/>
        </w:rPr>
        <w:t>POLICÍA VIAL PV-</w:t>
      </w:r>
      <w:r w:rsidR="006B47CC">
        <w:rPr>
          <w:rFonts w:ascii="Arial" w:hAnsi="Arial" w:cs="Arial"/>
          <w:b/>
          <w:sz w:val="26"/>
          <w:szCs w:val="26"/>
        </w:rPr>
        <w:t>245</w:t>
      </w:r>
      <w:r w:rsidR="00DC76BD">
        <w:rPr>
          <w:rFonts w:ascii="Arial" w:hAnsi="Arial" w:cs="Arial"/>
          <w:b/>
          <w:sz w:val="26"/>
          <w:szCs w:val="26"/>
        </w:rPr>
        <w:t xml:space="preserve">, </w:t>
      </w:r>
      <w:r w:rsidR="00F65C72">
        <w:rPr>
          <w:rFonts w:ascii="Arial" w:hAnsi="Arial" w:cs="Arial"/>
          <w:b/>
          <w:sz w:val="26"/>
          <w:szCs w:val="26"/>
        </w:rPr>
        <w:t>ADSCRITO</w:t>
      </w:r>
      <w:r w:rsidR="00F65C72" w:rsidRPr="006B3BEA">
        <w:rPr>
          <w:rFonts w:ascii="Arial" w:hAnsi="Arial" w:cs="Arial"/>
          <w:b/>
          <w:sz w:val="26"/>
          <w:szCs w:val="26"/>
        </w:rPr>
        <w:t xml:space="preserve"> A LA COMISIÓN DE SEGURIDAD PÚBLICA Y VIALIDAD DEL MUNICIPIO</w:t>
      </w:r>
      <w:r w:rsidR="00F65C72">
        <w:rPr>
          <w:rFonts w:ascii="Arial" w:hAnsi="Arial" w:cs="Arial"/>
          <w:b/>
          <w:sz w:val="26"/>
          <w:szCs w:val="26"/>
        </w:rPr>
        <w:t xml:space="preserve"> DE OAXACA DE JUÁREZ, OAXACA, </w:t>
      </w:r>
      <w:r w:rsidR="00B53176">
        <w:rPr>
          <w:rFonts w:ascii="Arial" w:hAnsi="Arial" w:cs="Arial"/>
          <w:b/>
          <w:sz w:val="26"/>
          <w:szCs w:val="26"/>
        </w:rPr>
        <w:t xml:space="preserve">y </w:t>
      </w:r>
      <w:r w:rsidR="006B3BEA" w:rsidRPr="006B3BEA">
        <w:rPr>
          <w:rFonts w:ascii="Arial" w:hAnsi="Arial" w:cs="Arial"/>
          <w:b/>
          <w:sz w:val="26"/>
          <w:szCs w:val="26"/>
        </w:rPr>
        <w:t>l</w:t>
      </w:r>
      <w:r w:rsidR="00B53176">
        <w:rPr>
          <w:rFonts w:ascii="Arial" w:hAnsi="Arial" w:cs="Arial"/>
          <w:b/>
          <w:sz w:val="26"/>
          <w:szCs w:val="26"/>
        </w:rPr>
        <w:t>a 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B3BEA">
        <w:rPr>
          <w:rFonts w:ascii="Arial" w:hAnsi="Arial" w:cs="Arial"/>
          <w:bCs/>
          <w:iCs/>
          <w:sz w:val="26"/>
          <w:szCs w:val="26"/>
        </w:rPr>
        <w:t>vigente hasta el  veinte de octubre de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00C54E83">
        <w:rPr>
          <w:rFonts w:ascii="Arial" w:hAnsi="Arial" w:cs="Arial"/>
          <w:sz w:val="26"/>
          <w:szCs w:val="26"/>
        </w:rPr>
        <w:t>de</w:t>
      </w:r>
      <w:r w:rsidR="006B47CC">
        <w:rPr>
          <w:rFonts w:ascii="Arial" w:hAnsi="Arial" w:cs="Arial"/>
          <w:sz w:val="26"/>
          <w:szCs w:val="26"/>
        </w:rPr>
        <w:t xml:space="preserve"> seis de noviembre </w:t>
      </w:r>
      <w:r w:rsidR="002870CA">
        <w:rPr>
          <w:rFonts w:ascii="Arial" w:hAnsi="Arial" w:cs="Arial"/>
          <w:sz w:val="26"/>
          <w:szCs w:val="26"/>
        </w:rPr>
        <w:t xml:space="preserve">de </w:t>
      </w:r>
      <w:r w:rsidR="002870CA" w:rsidRPr="00CB6405">
        <w:rPr>
          <w:rFonts w:ascii="Arial" w:hAnsi="Arial" w:cs="Arial"/>
          <w:sz w:val="26"/>
          <w:szCs w:val="26"/>
        </w:rPr>
        <w:t>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6B47CC">
        <w:rPr>
          <w:rFonts w:ascii="Arial" w:hAnsi="Arial" w:cs="Arial"/>
          <w:sz w:val="26"/>
          <w:szCs w:val="26"/>
        </w:rPr>
        <w:t xml:space="preserve">Tercera </w:t>
      </w:r>
      <w:r w:rsidRPr="00CB6405">
        <w:rPr>
          <w:rFonts w:ascii="Arial" w:hAnsi="Arial" w:cs="Arial"/>
          <w:sz w:val="26"/>
          <w:szCs w:val="26"/>
        </w:rPr>
        <w:t xml:space="preserve">Sala Unitaria de Primera Instancia, </w:t>
      </w:r>
      <w:r w:rsidR="006B3BEA">
        <w:rPr>
          <w:rFonts w:ascii="Arial" w:hAnsi="Arial" w:cs="Arial"/>
          <w:sz w:val="26"/>
          <w:szCs w:val="26"/>
        </w:rPr>
        <w:t xml:space="preserve">la </w:t>
      </w:r>
      <w:r w:rsidR="006B47CC">
        <w:rPr>
          <w:rFonts w:ascii="Arial" w:hAnsi="Arial" w:cs="Arial"/>
          <w:b/>
          <w:sz w:val="26"/>
          <w:szCs w:val="26"/>
        </w:rPr>
        <w:t xml:space="preserve">TESORERA MUNICIPAL </w:t>
      </w:r>
      <w:r w:rsidR="006B47CC" w:rsidRPr="003E2B2E">
        <w:rPr>
          <w:rFonts w:ascii="Arial" w:hAnsi="Arial" w:cs="Arial"/>
          <w:b/>
          <w:sz w:val="26"/>
          <w:szCs w:val="26"/>
        </w:rPr>
        <w:t>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6B47CC">
        <w:rPr>
          <w:rFonts w:ascii="Arial" w:eastAsia="Times New Roman" w:hAnsi="Arial" w:cs="Arial"/>
          <w:bCs/>
          <w:i/>
          <w:iCs/>
          <w:sz w:val="24"/>
          <w:szCs w:val="24"/>
          <w:lang w:eastAsia="es-ES"/>
        </w:rPr>
        <w:t xml:space="preserve">Tercera </w:t>
      </w:r>
      <w:r w:rsidR="00B53176">
        <w:rPr>
          <w:rFonts w:ascii="Arial" w:eastAsia="Times New Roman" w:hAnsi="Arial" w:cs="Arial"/>
          <w:bCs/>
          <w:i/>
          <w:iCs/>
          <w:sz w:val="24"/>
          <w:szCs w:val="24"/>
          <w:lang w:eastAsia="es-ES"/>
        </w:rPr>
        <w:t xml:space="preserve">Sala </w:t>
      </w:r>
      <w:r w:rsidR="006B47CC">
        <w:rPr>
          <w:rFonts w:ascii="Arial" w:eastAsia="Times New Roman" w:hAnsi="Arial" w:cs="Arial"/>
          <w:bCs/>
          <w:i/>
          <w:iCs/>
          <w:sz w:val="24"/>
          <w:szCs w:val="24"/>
          <w:lang w:eastAsia="es-ES"/>
        </w:rPr>
        <w:t xml:space="preserve">Unitaria de </w:t>
      </w:r>
      <w:r w:rsidR="00B53176">
        <w:rPr>
          <w:rFonts w:ascii="Arial" w:eastAsia="Times New Roman" w:hAnsi="Arial" w:cs="Arial"/>
          <w:bCs/>
          <w:i/>
          <w:iCs/>
          <w:sz w:val="24"/>
          <w:szCs w:val="24"/>
          <w:lang w:eastAsia="es-ES"/>
        </w:rPr>
        <w:t xml:space="preserve">Primera Instancia del Tribunal de lo Contencioso Administrativo y de Cuentas del Poder Judicial del Estado, </w:t>
      </w:r>
      <w:r w:rsidR="006B47CC">
        <w:rPr>
          <w:rFonts w:ascii="Arial" w:eastAsia="Times New Roman" w:hAnsi="Arial" w:cs="Arial"/>
          <w:bCs/>
          <w:i/>
          <w:iCs/>
          <w:sz w:val="24"/>
          <w:szCs w:val="24"/>
          <w:lang w:eastAsia="es-ES"/>
        </w:rPr>
        <w:t>fue</w:t>
      </w:r>
      <w:r w:rsidR="00B53176">
        <w:rPr>
          <w:rFonts w:ascii="Arial" w:eastAsia="Times New Roman" w:hAnsi="Arial" w:cs="Arial"/>
          <w:bCs/>
          <w:i/>
          <w:iCs/>
          <w:sz w:val="24"/>
          <w:szCs w:val="24"/>
          <w:lang w:eastAsia="es-ES"/>
        </w:rPr>
        <w:t xml:space="preserve"> compe</w:t>
      </w:r>
      <w:r w:rsidR="00FB0E2A">
        <w:rPr>
          <w:rFonts w:ascii="Arial" w:eastAsia="Times New Roman" w:hAnsi="Arial" w:cs="Arial"/>
          <w:bCs/>
          <w:i/>
          <w:iCs/>
          <w:sz w:val="24"/>
          <w:szCs w:val="24"/>
          <w:lang w:eastAsia="es-ES"/>
        </w:rPr>
        <w:t xml:space="preserve">tente para conocer </w:t>
      </w:r>
      <w:r w:rsidR="00BD5CAE" w:rsidRPr="00C06661">
        <w:rPr>
          <w:rFonts w:ascii="Arial" w:eastAsia="Times New Roman" w:hAnsi="Arial" w:cs="Arial"/>
          <w:bCs/>
          <w:i/>
          <w:iCs/>
          <w:sz w:val="24"/>
          <w:szCs w:val="24"/>
          <w:lang w:eastAsia="es-ES"/>
        </w:rPr>
        <w:t xml:space="preserve">y resolver del presente </w:t>
      </w:r>
      <w:r w:rsidR="006B47CC">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w:t>
      </w:r>
      <w:r w:rsidR="006B3BEA">
        <w:rPr>
          <w:rFonts w:ascii="Arial" w:eastAsia="Times New Roman" w:hAnsi="Arial" w:cs="Arial"/>
          <w:bCs/>
          <w:i/>
          <w:iCs/>
          <w:sz w:val="24"/>
          <w:szCs w:val="24"/>
          <w:lang w:eastAsia="es-ES"/>
        </w:rPr>
        <w:t xml:space="preserve">- - - - - - - </w:t>
      </w:r>
      <w:r w:rsidR="006B47CC">
        <w:rPr>
          <w:rFonts w:ascii="Arial" w:eastAsia="Times New Roman" w:hAnsi="Arial" w:cs="Arial"/>
          <w:bCs/>
          <w:i/>
          <w:iCs/>
          <w:sz w:val="24"/>
          <w:szCs w:val="24"/>
          <w:lang w:eastAsia="es-ES"/>
        </w:rPr>
        <w:t xml:space="preserve">- - - - - - - - - - - - - - - </w:t>
      </w:r>
      <w:r w:rsidR="00151D48" w:rsidRPr="00C06661">
        <w:rPr>
          <w:rFonts w:ascii="Arial" w:eastAsia="Times New Roman" w:hAnsi="Arial" w:cs="Arial"/>
          <w:b/>
          <w:bCs/>
          <w:i/>
          <w:iCs/>
          <w:sz w:val="24"/>
          <w:szCs w:val="24"/>
          <w:lang w:eastAsia="es-ES"/>
        </w:rPr>
        <w:t xml:space="preserve">SEGUNDO. </w:t>
      </w:r>
      <w:r w:rsidR="006B47CC">
        <w:rPr>
          <w:rFonts w:ascii="Arial" w:eastAsia="Times New Roman" w:hAnsi="Arial" w:cs="Arial"/>
          <w:bCs/>
          <w:i/>
          <w:iCs/>
          <w:sz w:val="24"/>
          <w:szCs w:val="24"/>
          <w:lang w:eastAsia="es-ES"/>
        </w:rPr>
        <w:t>La personalidad de la parte actora, quedó acreditada en autos</w:t>
      </w:r>
      <w:r w:rsidR="00CA05EE">
        <w:rPr>
          <w:rFonts w:ascii="Arial" w:eastAsia="Times New Roman" w:hAnsi="Arial" w:cs="Arial"/>
          <w:bCs/>
          <w:i/>
          <w:iCs/>
          <w:sz w:val="24"/>
          <w:szCs w:val="24"/>
          <w:lang w:eastAsia="es-ES"/>
        </w:rPr>
        <w:t xml:space="preserve">.- - - - - - - - - - - - - - - - - - - - - - - - - - - - - - </w:t>
      </w:r>
      <w:r w:rsidR="00CA05EE">
        <w:rPr>
          <w:rFonts w:ascii="Arial" w:eastAsia="Times New Roman" w:hAnsi="Arial" w:cs="Arial"/>
          <w:b/>
          <w:bCs/>
          <w:i/>
          <w:iCs/>
          <w:sz w:val="24"/>
          <w:szCs w:val="24"/>
          <w:lang w:eastAsia="es-ES"/>
        </w:rPr>
        <w:t xml:space="preserve">TERCERO. </w:t>
      </w:r>
      <w:r w:rsidR="00CA05EE">
        <w:rPr>
          <w:rFonts w:ascii="Arial" w:eastAsia="Times New Roman" w:hAnsi="Arial" w:cs="Arial"/>
          <w:bCs/>
          <w:i/>
          <w:iCs/>
          <w:sz w:val="24"/>
          <w:szCs w:val="24"/>
          <w:lang w:eastAsia="es-ES"/>
        </w:rPr>
        <w:t>No</w:t>
      </w:r>
      <w:r w:rsidR="00B53176">
        <w:rPr>
          <w:rFonts w:ascii="Arial" w:eastAsia="Times New Roman" w:hAnsi="Arial" w:cs="Arial"/>
          <w:bCs/>
          <w:i/>
          <w:iCs/>
          <w:sz w:val="24"/>
          <w:szCs w:val="24"/>
          <w:lang w:eastAsia="es-ES"/>
        </w:rPr>
        <w:t xml:space="preserve"> se actualiz</w:t>
      </w:r>
      <w:r w:rsidR="00CA05EE">
        <w:rPr>
          <w:rFonts w:ascii="Arial" w:eastAsia="Times New Roman" w:hAnsi="Arial" w:cs="Arial"/>
          <w:bCs/>
          <w:i/>
          <w:iCs/>
          <w:sz w:val="24"/>
          <w:szCs w:val="24"/>
          <w:lang w:eastAsia="es-ES"/>
        </w:rPr>
        <w:t>aron</w:t>
      </w:r>
      <w:r w:rsidR="00B53176">
        <w:rPr>
          <w:rFonts w:ascii="Arial" w:eastAsia="Times New Roman" w:hAnsi="Arial" w:cs="Arial"/>
          <w:bCs/>
          <w:i/>
          <w:iCs/>
          <w:sz w:val="24"/>
          <w:szCs w:val="24"/>
          <w:lang w:eastAsia="es-ES"/>
        </w:rPr>
        <w:t xml:space="preserve"> </w:t>
      </w:r>
      <w:r w:rsidR="00CA05EE">
        <w:rPr>
          <w:rFonts w:ascii="Arial" w:eastAsia="Times New Roman" w:hAnsi="Arial" w:cs="Arial"/>
          <w:bCs/>
          <w:i/>
          <w:iCs/>
          <w:sz w:val="24"/>
          <w:szCs w:val="24"/>
          <w:lang w:eastAsia="es-ES"/>
        </w:rPr>
        <w:t xml:space="preserve">las </w:t>
      </w:r>
      <w:r w:rsidR="00B53176">
        <w:rPr>
          <w:rFonts w:ascii="Arial" w:eastAsia="Times New Roman" w:hAnsi="Arial" w:cs="Arial"/>
          <w:bCs/>
          <w:i/>
          <w:iCs/>
          <w:sz w:val="24"/>
          <w:szCs w:val="24"/>
          <w:lang w:eastAsia="es-ES"/>
        </w:rPr>
        <w:t>causal</w:t>
      </w:r>
      <w:r w:rsidR="00CA05EE">
        <w:rPr>
          <w:rFonts w:ascii="Arial" w:eastAsia="Times New Roman" w:hAnsi="Arial" w:cs="Arial"/>
          <w:bCs/>
          <w:i/>
          <w:iCs/>
          <w:sz w:val="24"/>
          <w:szCs w:val="24"/>
          <w:lang w:eastAsia="es-ES"/>
        </w:rPr>
        <w:t>es</w:t>
      </w:r>
      <w:r w:rsidR="00B53176">
        <w:rPr>
          <w:rFonts w:ascii="Arial" w:eastAsia="Times New Roman" w:hAnsi="Arial" w:cs="Arial"/>
          <w:bCs/>
          <w:i/>
          <w:iCs/>
          <w:sz w:val="24"/>
          <w:szCs w:val="24"/>
          <w:lang w:eastAsia="es-ES"/>
        </w:rPr>
        <w:t xml:space="preserve"> de </w:t>
      </w:r>
      <w:r w:rsidR="00B53176">
        <w:rPr>
          <w:rFonts w:ascii="Arial" w:eastAsia="Times New Roman" w:hAnsi="Arial" w:cs="Arial"/>
          <w:bCs/>
          <w:i/>
          <w:iCs/>
          <w:sz w:val="24"/>
          <w:szCs w:val="24"/>
          <w:lang w:eastAsia="es-ES"/>
        </w:rPr>
        <w:lastRenderedPageBreak/>
        <w:t xml:space="preserve">improcedencia </w:t>
      </w:r>
      <w:r w:rsidR="00CA05EE">
        <w:rPr>
          <w:rFonts w:ascii="Arial" w:eastAsia="Times New Roman" w:hAnsi="Arial" w:cs="Arial"/>
          <w:bCs/>
          <w:i/>
          <w:iCs/>
          <w:sz w:val="24"/>
          <w:szCs w:val="24"/>
          <w:lang w:eastAsia="es-ES"/>
        </w:rPr>
        <w:t xml:space="preserve">invocadas por las autoridades demandadas, por lo que </w:t>
      </w:r>
      <w:r w:rsidR="00DC76BD" w:rsidRPr="00CA05EE">
        <w:rPr>
          <w:rFonts w:ascii="Arial" w:eastAsia="Times New Roman" w:hAnsi="Arial" w:cs="Arial"/>
          <w:b/>
          <w:bCs/>
          <w:i/>
          <w:iCs/>
          <w:sz w:val="24"/>
          <w:szCs w:val="24"/>
          <w:lang w:eastAsia="es-ES"/>
        </w:rPr>
        <w:t xml:space="preserve">NO SE SOBRESEE </w:t>
      </w:r>
      <w:r w:rsidR="00CA05EE">
        <w:rPr>
          <w:rFonts w:ascii="Arial" w:eastAsia="Times New Roman" w:hAnsi="Arial" w:cs="Arial"/>
          <w:b/>
          <w:bCs/>
          <w:i/>
          <w:iCs/>
          <w:sz w:val="24"/>
          <w:szCs w:val="24"/>
          <w:lang w:eastAsia="es-ES"/>
        </w:rPr>
        <w:t xml:space="preserve">EN </w:t>
      </w:r>
      <w:r w:rsidR="00B53176" w:rsidRPr="00CA05EE">
        <w:rPr>
          <w:rFonts w:ascii="Arial" w:eastAsia="Times New Roman" w:hAnsi="Arial" w:cs="Arial"/>
          <w:b/>
          <w:bCs/>
          <w:i/>
          <w:iCs/>
          <w:sz w:val="24"/>
          <w:szCs w:val="24"/>
          <w:lang w:eastAsia="es-ES"/>
        </w:rPr>
        <w:t>EL JUICIO</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w:t>
      </w:r>
    </w:p>
    <w:p w:rsidR="006B52CD" w:rsidRPr="00C06661" w:rsidRDefault="00CA05EE" w:rsidP="00B216FE">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CUARTO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Se d</w:t>
      </w:r>
      <w:r w:rsidR="003E2B2E">
        <w:rPr>
          <w:rFonts w:ascii="Arial" w:eastAsia="Times New Roman" w:hAnsi="Arial" w:cs="Arial"/>
          <w:bCs/>
          <w:i/>
          <w:iCs/>
          <w:sz w:val="24"/>
          <w:szCs w:val="24"/>
          <w:lang w:eastAsia="es-ES"/>
        </w:rPr>
        <w:t xml:space="preserve">eclara </w:t>
      </w:r>
      <w:r w:rsidRPr="00CA05EE">
        <w:rPr>
          <w:rFonts w:ascii="Arial" w:eastAsia="Times New Roman" w:hAnsi="Arial" w:cs="Arial"/>
          <w:b/>
          <w:bCs/>
          <w:i/>
          <w:iCs/>
          <w:sz w:val="24"/>
          <w:szCs w:val="24"/>
          <w:lang w:eastAsia="es-ES"/>
        </w:rPr>
        <w:t xml:space="preserve">LA </w:t>
      </w:r>
      <w:r w:rsidR="003E2B2E" w:rsidRPr="00CA05EE">
        <w:rPr>
          <w:rFonts w:ascii="Arial" w:eastAsia="Times New Roman" w:hAnsi="Arial" w:cs="Arial"/>
          <w:b/>
          <w:bCs/>
          <w:i/>
          <w:iCs/>
          <w:sz w:val="24"/>
          <w:szCs w:val="24"/>
          <w:lang w:eastAsia="es-ES"/>
        </w:rPr>
        <w:t>NULIDAD LISA Y LLANA</w:t>
      </w:r>
      <w:r w:rsidR="003E2B2E">
        <w:rPr>
          <w:rFonts w:ascii="Arial" w:eastAsia="Times New Roman" w:hAnsi="Arial" w:cs="Arial"/>
          <w:b/>
          <w:bCs/>
          <w:i/>
          <w:iCs/>
          <w:sz w:val="24"/>
          <w:szCs w:val="24"/>
          <w:lang w:eastAsia="es-ES"/>
        </w:rPr>
        <w:t xml:space="preserve"> </w:t>
      </w:r>
      <w:r w:rsidR="003E2B2E" w:rsidRPr="00B53176">
        <w:rPr>
          <w:rFonts w:ascii="Arial" w:eastAsia="Times New Roman" w:hAnsi="Arial" w:cs="Arial"/>
          <w:bCs/>
          <w:i/>
          <w:iCs/>
          <w:sz w:val="24"/>
          <w:szCs w:val="24"/>
          <w:lang w:eastAsia="es-ES"/>
        </w:rPr>
        <w:t xml:space="preserve">del acta de infracción </w:t>
      </w:r>
      <w:r w:rsidR="00DC76BD" w:rsidRPr="00B53176">
        <w:rPr>
          <w:rFonts w:ascii="Arial" w:eastAsia="Times New Roman" w:hAnsi="Arial" w:cs="Arial"/>
          <w:bCs/>
          <w:i/>
          <w:iCs/>
          <w:sz w:val="24"/>
          <w:szCs w:val="24"/>
          <w:lang w:eastAsia="es-ES"/>
        </w:rPr>
        <w:t>de foli</w:t>
      </w:r>
      <w:r w:rsidR="00B53176">
        <w:rPr>
          <w:rFonts w:ascii="Arial" w:eastAsia="Times New Roman" w:hAnsi="Arial" w:cs="Arial"/>
          <w:bCs/>
          <w:i/>
          <w:iCs/>
          <w:sz w:val="24"/>
          <w:szCs w:val="24"/>
          <w:lang w:eastAsia="es-ES"/>
        </w:rPr>
        <w:t xml:space="preserve">o </w:t>
      </w:r>
      <w:r w:rsidRPr="00CA05EE">
        <w:rPr>
          <w:rFonts w:ascii="Arial" w:eastAsia="Times New Roman" w:hAnsi="Arial" w:cs="Arial"/>
          <w:bCs/>
          <w:i/>
          <w:iCs/>
          <w:sz w:val="24"/>
          <w:szCs w:val="24"/>
          <w:lang w:eastAsia="es-ES"/>
        </w:rPr>
        <w:t>14964</w:t>
      </w:r>
      <w:r>
        <w:rPr>
          <w:rFonts w:ascii="Arial" w:eastAsia="Times New Roman" w:hAnsi="Arial" w:cs="Arial"/>
          <w:bCs/>
          <w:i/>
          <w:iCs/>
          <w:sz w:val="24"/>
          <w:szCs w:val="24"/>
          <w:lang w:eastAsia="es-ES"/>
        </w:rPr>
        <w:t xml:space="preserve"> levantada por el policía vial de la Comisaría de Vialidad del Municipio de Oaxaca de Juárez, con placa PV-245, el 5 cinco de junio de 2017 dos mil diecisiete; en consecuencia, se ordena al TESORERO MUNICIPAL DE OAXACA DE JUÁREZ, haga la devolución a </w:t>
      </w:r>
      <w:r w:rsidR="00FB278A">
        <w:rPr>
          <w:rFonts w:ascii="Arial" w:eastAsia="Times New Roman" w:hAnsi="Arial" w:cs="Arial"/>
          <w:bCs/>
          <w:i/>
          <w:iCs/>
          <w:sz w:val="24"/>
          <w:szCs w:val="24"/>
          <w:lang w:eastAsia="es-ES"/>
        </w:rPr>
        <w:t>**********</w:t>
      </w:r>
      <w:r>
        <w:rPr>
          <w:rFonts w:ascii="Arial" w:eastAsia="Times New Roman" w:hAnsi="Arial" w:cs="Arial"/>
          <w:bCs/>
          <w:i/>
          <w:iCs/>
          <w:sz w:val="24"/>
          <w:szCs w:val="24"/>
          <w:lang w:eastAsia="es-ES"/>
        </w:rPr>
        <w:t xml:space="preserve">, la cantidad que pagó como consta en el recibo de folio GRL03300000294430, de fecha 07 siete de junio del presente año, dentro de los plazos que señala los artículos 182 y 183 de la Ley de Justicia Administrativa para el Estado de Oaxaca.- - - - - - - - - - - </w:t>
      </w:r>
      <w:r w:rsidR="00EA4997">
        <w:rPr>
          <w:rFonts w:ascii="Arial" w:eastAsia="Times New Roman" w:hAnsi="Arial" w:cs="Arial"/>
          <w:bCs/>
          <w:i/>
          <w:iCs/>
          <w:sz w:val="24"/>
          <w:szCs w:val="24"/>
          <w:lang w:eastAsia="es-ES"/>
        </w:rPr>
        <w:t xml:space="preserve">- - - - </w:t>
      </w:r>
      <w:r w:rsidR="005C5F71">
        <w:rPr>
          <w:rFonts w:ascii="Arial" w:eastAsia="Times New Roman" w:hAnsi="Arial" w:cs="Arial"/>
          <w:b/>
          <w:bCs/>
          <w:i/>
          <w:iCs/>
          <w:sz w:val="24"/>
          <w:szCs w:val="24"/>
          <w:lang w:eastAsia="es-ES"/>
        </w:rPr>
        <w:t>QUINTO</w:t>
      </w:r>
      <w:r w:rsidR="00EA4997">
        <w:rPr>
          <w:rFonts w:ascii="Arial" w:eastAsia="Times New Roman" w:hAnsi="Arial" w:cs="Arial"/>
          <w:b/>
          <w:bCs/>
          <w:i/>
          <w:iCs/>
          <w:sz w:val="24"/>
          <w:szCs w:val="24"/>
          <w:lang w:eastAsia="es-ES"/>
        </w:rPr>
        <w:t xml:space="preserve">. </w:t>
      </w:r>
      <w:r w:rsidR="00B216FE">
        <w:rPr>
          <w:rFonts w:ascii="Arial" w:eastAsia="Times New Roman" w:hAnsi="Arial" w:cs="Arial"/>
          <w:bCs/>
          <w:i/>
          <w:iCs/>
          <w:sz w:val="24"/>
          <w:szCs w:val="24"/>
          <w:lang w:eastAsia="es-ES"/>
        </w:rPr>
        <w:t>Conforme a lo dispuesto en l</w:t>
      </w:r>
      <w:r w:rsidR="005C5F71">
        <w:rPr>
          <w:rFonts w:ascii="Arial" w:eastAsia="Times New Roman" w:hAnsi="Arial" w:cs="Arial"/>
          <w:bCs/>
          <w:i/>
          <w:iCs/>
          <w:sz w:val="24"/>
          <w:szCs w:val="24"/>
          <w:lang w:eastAsia="es-ES"/>
        </w:rPr>
        <w:t>os</w:t>
      </w:r>
      <w:r w:rsidR="00B216FE">
        <w:rPr>
          <w:rFonts w:ascii="Arial" w:eastAsia="Times New Roman" w:hAnsi="Arial" w:cs="Arial"/>
          <w:bCs/>
          <w:i/>
          <w:iCs/>
          <w:sz w:val="24"/>
          <w:szCs w:val="24"/>
          <w:lang w:eastAsia="es-ES"/>
        </w:rPr>
        <w:t xml:space="preserve"> artículo</w:t>
      </w:r>
      <w:r w:rsidR="005C5F71">
        <w:rPr>
          <w:rFonts w:ascii="Arial" w:eastAsia="Times New Roman" w:hAnsi="Arial" w:cs="Arial"/>
          <w:bCs/>
          <w:i/>
          <w:iCs/>
          <w:sz w:val="24"/>
          <w:szCs w:val="24"/>
          <w:lang w:eastAsia="es-ES"/>
        </w:rPr>
        <w:t>s</w:t>
      </w:r>
      <w:r w:rsidR="00B216FE">
        <w:rPr>
          <w:rFonts w:ascii="Arial" w:eastAsia="Times New Roman" w:hAnsi="Arial" w:cs="Arial"/>
          <w:bCs/>
          <w:i/>
          <w:iCs/>
          <w:sz w:val="24"/>
          <w:szCs w:val="24"/>
          <w:lang w:eastAsia="es-ES"/>
        </w:rPr>
        <w:t xml:space="preserve"> 142 fracción I</w:t>
      </w:r>
      <w:r w:rsidR="005C5F71">
        <w:rPr>
          <w:rFonts w:ascii="Arial" w:eastAsia="Times New Roman" w:hAnsi="Arial" w:cs="Arial"/>
          <w:bCs/>
          <w:i/>
          <w:iCs/>
          <w:sz w:val="24"/>
          <w:szCs w:val="24"/>
          <w:lang w:eastAsia="es-ES"/>
        </w:rPr>
        <w:t>,</w:t>
      </w:r>
      <w:r w:rsidR="00B216FE">
        <w:rPr>
          <w:rFonts w:ascii="Arial" w:eastAsia="Times New Roman" w:hAnsi="Arial" w:cs="Arial"/>
          <w:bCs/>
          <w:i/>
          <w:iCs/>
          <w:sz w:val="24"/>
          <w:szCs w:val="24"/>
          <w:lang w:eastAsia="es-ES"/>
        </w:rPr>
        <w:t xml:space="preserve"> y 143</w:t>
      </w:r>
      <w:r w:rsidR="005C5F71">
        <w:rPr>
          <w:rFonts w:ascii="Arial" w:eastAsia="Times New Roman" w:hAnsi="Arial" w:cs="Arial"/>
          <w:bCs/>
          <w:i/>
          <w:iCs/>
          <w:sz w:val="24"/>
          <w:szCs w:val="24"/>
          <w:lang w:eastAsia="es-ES"/>
        </w:rPr>
        <w:t>,</w:t>
      </w:r>
      <w:r w:rsidR="00B216FE">
        <w:rPr>
          <w:rFonts w:ascii="Arial" w:eastAsia="Times New Roman" w:hAnsi="Arial" w:cs="Arial"/>
          <w:bCs/>
          <w:i/>
          <w:iCs/>
          <w:sz w:val="24"/>
          <w:szCs w:val="24"/>
          <w:lang w:eastAsia="es-ES"/>
        </w:rPr>
        <w:t xml:space="preserve"> fracciones I y II, de la</w:t>
      </w:r>
      <w:r w:rsidR="00CB2934">
        <w:rPr>
          <w:rFonts w:ascii="Arial" w:eastAsia="Times New Roman" w:hAnsi="Arial" w:cs="Arial"/>
          <w:bCs/>
          <w:i/>
          <w:iCs/>
          <w:sz w:val="24"/>
          <w:szCs w:val="24"/>
          <w:lang w:eastAsia="es-ES"/>
        </w:rPr>
        <w:t xml:space="preserve"> Ley de Justicia Administrativa </w:t>
      </w:r>
      <w:r w:rsidR="00B216FE">
        <w:rPr>
          <w:rFonts w:ascii="Arial" w:eastAsia="Times New Roman" w:hAnsi="Arial" w:cs="Arial"/>
          <w:bCs/>
          <w:i/>
          <w:iCs/>
          <w:sz w:val="24"/>
          <w:szCs w:val="24"/>
          <w:lang w:eastAsia="es-ES"/>
        </w:rPr>
        <w:t xml:space="preserve">para el Estado, </w:t>
      </w:r>
      <w:r w:rsidR="005A415D" w:rsidRPr="00C06661">
        <w:rPr>
          <w:rFonts w:ascii="Arial" w:eastAsia="Times New Roman" w:hAnsi="Arial" w:cs="Arial"/>
          <w:b/>
          <w:bCs/>
          <w:i/>
          <w:iCs/>
          <w:sz w:val="24"/>
          <w:szCs w:val="24"/>
          <w:lang w:eastAsia="es-ES"/>
        </w:rPr>
        <w:t xml:space="preserve">NOTIFÍQUESE </w:t>
      </w:r>
      <w:r w:rsidR="00DC76BD" w:rsidRPr="00DC76BD">
        <w:rPr>
          <w:rFonts w:ascii="Arial" w:eastAsia="Times New Roman" w:hAnsi="Arial" w:cs="Arial"/>
          <w:b/>
          <w:bCs/>
          <w:i/>
          <w:iCs/>
          <w:sz w:val="24"/>
          <w:szCs w:val="24"/>
          <w:lang w:eastAsia="es-ES"/>
        </w:rPr>
        <w:t>PERSONALMENTE A</w:t>
      </w:r>
      <w:r w:rsidR="00B216FE">
        <w:rPr>
          <w:rFonts w:ascii="Arial" w:eastAsia="Times New Roman" w:hAnsi="Arial" w:cs="Arial"/>
          <w:b/>
          <w:bCs/>
          <w:i/>
          <w:iCs/>
          <w:sz w:val="24"/>
          <w:szCs w:val="24"/>
          <w:lang w:eastAsia="es-ES"/>
        </w:rPr>
        <w:t xml:space="preserve"> </w:t>
      </w:r>
      <w:r w:rsidR="00DC76BD" w:rsidRPr="00DC76BD">
        <w:rPr>
          <w:rFonts w:ascii="Arial" w:eastAsia="Times New Roman" w:hAnsi="Arial" w:cs="Arial"/>
          <w:b/>
          <w:bCs/>
          <w:i/>
          <w:iCs/>
          <w:sz w:val="24"/>
          <w:szCs w:val="24"/>
          <w:lang w:eastAsia="es-ES"/>
        </w:rPr>
        <w:t>L</w:t>
      </w:r>
      <w:r w:rsidR="00B216FE">
        <w:rPr>
          <w:rFonts w:ascii="Arial" w:eastAsia="Times New Roman" w:hAnsi="Arial" w:cs="Arial"/>
          <w:b/>
          <w:bCs/>
          <w:i/>
          <w:iCs/>
          <w:sz w:val="24"/>
          <w:szCs w:val="24"/>
          <w:lang w:eastAsia="es-ES"/>
        </w:rPr>
        <w:t>A</w:t>
      </w:r>
      <w:r w:rsidR="00DC76BD" w:rsidRPr="00DC76BD">
        <w:rPr>
          <w:rFonts w:ascii="Arial" w:eastAsia="Times New Roman" w:hAnsi="Arial" w:cs="Arial"/>
          <w:b/>
          <w:bCs/>
          <w:i/>
          <w:iCs/>
          <w:sz w:val="24"/>
          <w:szCs w:val="24"/>
          <w:lang w:eastAsia="es-ES"/>
        </w:rPr>
        <w:t xml:space="preserve"> </w:t>
      </w:r>
      <w:r w:rsidR="00B216FE">
        <w:rPr>
          <w:rFonts w:ascii="Arial" w:eastAsia="Times New Roman" w:hAnsi="Arial" w:cs="Arial"/>
          <w:b/>
          <w:bCs/>
          <w:i/>
          <w:iCs/>
          <w:sz w:val="24"/>
          <w:szCs w:val="24"/>
          <w:lang w:eastAsia="es-ES"/>
        </w:rPr>
        <w:t xml:space="preserve">PARTE </w:t>
      </w:r>
      <w:r w:rsidR="00DC76BD" w:rsidRPr="00DC76BD">
        <w:rPr>
          <w:rFonts w:ascii="Arial" w:eastAsia="Times New Roman" w:hAnsi="Arial" w:cs="Arial"/>
          <w:b/>
          <w:bCs/>
          <w:i/>
          <w:iCs/>
          <w:sz w:val="24"/>
          <w:szCs w:val="24"/>
          <w:lang w:eastAsia="es-ES"/>
        </w:rPr>
        <w:t>ACTOR</w:t>
      </w:r>
      <w:r w:rsidR="00B216FE">
        <w:rPr>
          <w:rFonts w:ascii="Arial" w:eastAsia="Times New Roman" w:hAnsi="Arial" w:cs="Arial"/>
          <w:b/>
          <w:bCs/>
          <w:i/>
          <w:iCs/>
          <w:sz w:val="24"/>
          <w:szCs w:val="24"/>
          <w:lang w:eastAsia="es-ES"/>
        </w:rPr>
        <w:t>A</w:t>
      </w:r>
      <w:r w:rsidR="005C5F71">
        <w:rPr>
          <w:rFonts w:ascii="Arial" w:eastAsia="Times New Roman" w:hAnsi="Arial" w:cs="Arial"/>
          <w:b/>
          <w:bCs/>
          <w:i/>
          <w:iCs/>
          <w:sz w:val="24"/>
          <w:szCs w:val="24"/>
          <w:lang w:eastAsia="es-ES"/>
        </w:rPr>
        <w:t>,</w:t>
      </w:r>
      <w:r w:rsidR="00B216FE">
        <w:rPr>
          <w:rFonts w:ascii="Arial" w:eastAsia="Times New Roman" w:hAnsi="Arial" w:cs="Arial"/>
          <w:b/>
          <w:bCs/>
          <w:i/>
          <w:iCs/>
          <w:sz w:val="24"/>
          <w:szCs w:val="24"/>
          <w:lang w:eastAsia="es-ES"/>
        </w:rPr>
        <w:t xml:space="preserve"> Y </w:t>
      </w:r>
      <w:r w:rsidR="00DC76BD">
        <w:rPr>
          <w:rFonts w:ascii="Arial" w:eastAsia="Times New Roman" w:hAnsi="Arial" w:cs="Arial"/>
          <w:b/>
          <w:bCs/>
          <w:i/>
          <w:iCs/>
          <w:sz w:val="24"/>
          <w:szCs w:val="24"/>
          <w:lang w:eastAsia="es-ES"/>
        </w:rPr>
        <w:t>POR OFICIO A LA</w:t>
      </w:r>
      <w:r w:rsidR="00B216FE">
        <w:rPr>
          <w:rFonts w:ascii="Arial" w:eastAsia="Times New Roman" w:hAnsi="Arial" w:cs="Arial"/>
          <w:b/>
          <w:bCs/>
          <w:i/>
          <w:iCs/>
          <w:sz w:val="24"/>
          <w:szCs w:val="24"/>
          <w:lang w:eastAsia="es-ES"/>
        </w:rPr>
        <w:t>S</w:t>
      </w:r>
      <w:r w:rsidR="00DC76BD">
        <w:rPr>
          <w:rFonts w:ascii="Arial" w:eastAsia="Times New Roman" w:hAnsi="Arial" w:cs="Arial"/>
          <w:b/>
          <w:bCs/>
          <w:i/>
          <w:iCs/>
          <w:sz w:val="24"/>
          <w:szCs w:val="24"/>
          <w:lang w:eastAsia="es-ES"/>
        </w:rPr>
        <w:t xml:space="preserve"> AUTORIDAD</w:t>
      </w:r>
      <w:r w:rsidR="00B216FE">
        <w:rPr>
          <w:rFonts w:ascii="Arial" w:eastAsia="Times New Roman" w:hAnsi="Arial" w:cs="Arial"/>
          <w:b/>
          <w:bCs/>
          <w:i/>
          <w:iCs/>
          <w:sz w:val="24"/>
          <w:szCs w:val="24"/>
          <w:lang w:eastAsia="es-ES"/>
        </w:rPr>
        <w:t>ES</w:t>
      </w:r>
      <w:r w:rsidR="00DC76BD" w:rsidRPr="00DC76BD">
        <w:rPr>
          <w:rFonts w:ascii="Arial" w:eastAsia="Times New Roman" w:hAnsi="Arial" w:cs="Arial"/>
          <w:b/>
          <w:bCs/>
          <w:i/>
          <w:iCs/>
          <w:sz w:val="24"/>
          <w:szCs w:val="24"/>
          <w:lang w:eastAsia="es-ES"/>
        </w:rPr>
        <w:t xml:space="preserve"> DEMANDADA</w:t>
      </w:r>
      <w:r w:rsidR="00B216FE">
        <w:rPr>
          <w:rFonts w:ascii="Arial" w:eastAsia="Times New Roman" w:hAnsi="Arial" w:cs="Arial"/>
          <w:b/>
          <w:bCs/>
          <w:i/>
          <w:iCs/>
          <w:sz w:val="24"/>
          <w:szCs w:val="24"/>
          <w:lang w:eastAsia="es-ES"/>
        </w:rPr>
        <w:t>S.</w:t>
      </w:r>
      <w:r w:rsidR="005A415D">
        <w:rPr>
          <w:rFonts w:ascii="Arial" w:eastAsia="Times New Roman" w:hAnsi="Arial" w:cs="Arial"/>
          <w:bCs/>
          <w:i/>
          <w:iCs/>
          <w:sz w:val="24"/>
          <w:szCs w:val="24"/>
          <w:lang w:eastAsia="es-ES"/>
        </w:rPr>
        <w:t xml:space="preserve">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5C5F71">
        <w:rPr>
          <w:rFonts w:ascii="Arial" w:eastAsia="Times New Roman" w:hAnsi="Arial" w:cs="Arial"/>
          <w:bCs/>
          <w:i/>
          <w:iCs/>
          <w:sz w:val="24"/>
          <w:szCs w:val="24"/>
          <w:lang w:eastAsia="es-ES"/>
        </w:rPr>
        <w:t xml:space="preserve">- - - </w:t>
      </w:r>
      <w:proofErr w:type="gramStart"/>
      <w:r w:rsidR="005C5F71">
        <w:rPr>
          <w:rFonts w:ascii="Arial" w:eastAsia="Times New Roman" w:hAnsi="Arial" w:cs="Arial"/>
          <w:bCs/>
          <w:i/>
          <w:iCs/>
          <w:sz w:val="24"/>
          <w:szCs w:val="24"/>
          <w:lang w:eastAsia="es-ES"/>
        </w:rPr>
        <w:t xml:space="preserve">- </w:t>
      </w:r>
      <w:r w:rsidR="00742758" w:rsidRPr="00C06661">
        <w:rPr>
          <w:rFonts w:ascii="Arial" w:eastAsia="Times New Roman" w:hAnsi="Arial" w:cs="Arial"/>
          <w:bCs/>
          <w:i/>
          <w:iCs/>
          <w:sz w:val="24"/>
          <w:szCs w:val="24"/>
          <w:lang w:eastAsia="es-ES"/>
        </w:rPr>
        <w:t>”</w:t>
      </w:r>
      <w:proofErr w:type="gramEnd"/>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AB12D2"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27907F43" wp14:editId="6D6F066D">
                <wp:simplePos x="0" y="0"/>
                <wp:positionH relativeFrom="column">
                  <wp:posOffset>5591810</wp:posOffset>
                </wp:positionH>
                <wp:positionV relativeFrom="paragraph">
                  <wp:posOffset>806450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12D2" w:rsidRDefault="00AB12D2" w:rsidP="00AB12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40.3pt;margin-top:6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1N3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">
                <v:textbox>
                  <w:txbxContent>
                    <w:p w:rsidR="00AB12D2" w:rsidRDefault="00AB12D2" w:rsidP="00AB12D2">
                      <w:pPr>
                        <w:rPr>
                          <w:sz w:val="16"/>
                          <w:szCs w:val="16"/>
                        </w:rPr>
                      </w:pPr>
                      <w:r>
                        <w:rPr>
                          <w:sz w:val="16"/>
                          <w:szCs w:val="16"/>
                        </w:rPr>
                        <w:t>Datos personales protegidos por el Art. 116 de la LGTAIP y el Art. 56 de la LTAIPEO</w:t>
                      </w:r>
                    </w:p>
                  </w:txbxContent>
                </v:textbox>
              </v:shape>
            </w:pict>
          </mc:Fallback>
        </mc:AlternateContent>
      </w:r>
      <w:r w:rsidR="00611746">
        <w:rPr>
          <w:rFonts w:ascii="Arial" w:hAnsi="Arial" w:cs="Arial"/>
          <w:b/>
          <w:bCs/>
          <w:iCs/>
          <w:sz w:val="26"/>
          <w:szCs w:val="26"/>
          <w:lang w:eastAsia="es-ES"/>
        </w:rPr>
        <w:t>PRIMERO.</w:t>
      </w:r>
      <w:r w:rsidR="00611746">
        <w:rPr>
          <w:rFonts w:ascii="Arial" w:hAnsi="Arial" w:cs="Arial"/>
          <w:b/>
          <w:bCs/>
          <w:iCs/>
          <w:sz w:val="26"/>
          <w:szCs w:val="26"/>
        </w:rPr>
        <w:t xml:space="preserve"> </w:t>
      </w:r>
      <w:r w:rsidR="008B387A" w:rsidRPr="00F66D81">
        <w:rPr>
          <w:rFonts w:ascii="Arial" w:hAnsi="Arial" w:cs="Arial"/>
          <w:bCs/>
          <w:iCs/>
          <w:sz w:val="26"/>
          <w:szCs w:val="26"/>
        </w:rPr>
        <w:t xml:space="preserve">Esta Sala Superior es competente para conocer del presente asunto, de </w:t>
      </w:r>
      <w:r w:rsidR="008B387A" w:rsidRPr="00F66D81">
        <w:rPr>
          <w:rFonts w:ascii="Arial" w:hAnsi="Arial" w:cs="Arial"/>
          <w:bCs/>
          <w:iCs/>
          <w:sz w:val="26"/>
          <w:szCs w:val="26"/>
          <w:lang w:eastAsia="es-ES"/>
        </w:rPr>
        <w:t xml:space="preserve">conformidad con lo dispuesto por los artículos 114 QUÁTER, CUARTO Y DÉCIMO TRANSITORIOS del Decreto número 786 de la Sexagésima Tercera Legislatura Constitucional del Estado Libre y Soberano de Oaxaca, publicado en el Extra del Periódico Oficial del Gobierno del Estado el 16 dieciséis de enero de 2018 dos mil dieciocho, </w:t>
      </w:r>
      <w:r w:rsidR="008B387A" w:rsidRPr="00F66D81">
        <w:rPr>
          <w:rFonts w:ascii="Arial" w:hAnsi="Arial" w:cs="Arial"/>
          <w:bCs/>
          <w:iCs/>
          <w:sz w:val="26"/>
          <w:szCs w:val="26"/>
        </w:rPr>
        <w:t>86, 88, 92, 93, fracción I, 94, 201, 206 y 208, de la Ley de Justicia Administrativa para el Estad</w:t>
      </w:r>
      <w:r w:rsidR="00833C65">
        <w:rPr>
          <w:rFonts w:ascii="Arial" w:hAnsi="Arial" w:cs="Arial"/>
          <w:bCs/>
          <w:iCs/>
          <w:sz w:val="26"/>
          <w:szCs w:val="26"/>
        </w:rPr>
        <w:t>o de Oaxaca, vigente hasta el veinte</w:t>
      </w:r>
      <w:r w:rsidR="008B387A" w:rsidRPr="00F66D81">
        <w:rPr>
          <w:rFonts w:ascii="Arial" w:hAnsi="Arial" w:cs="Arial"/>
          <w:bCs/>
          <w:iCs/>
          <w:sz w:val="26"/>
          <w:szCs w:val="26"/>
        </w:rPr>
        <w:t xml:space="preserve"> de octubre de dos mil diecisiete</w:t>
      </w:r>
      <w:r w:rsidR="00611746">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5C5F71">
        <w:rPr>
          <w:rFonts w:ascii="Arial" w:hAnsi="Arial" w:cs="Arial"/>
          <w:bCs/>
          <w:iCs/>
          <w:sz w:val="26"/>
          <w:szCs w:val="26"/>
        </w:rPr>
        <w:t xml:space="preserve"> seis de noviembre </w:t>
      </w:r>
      <w:r w:rsidR="00C4233C">
        <w:rPr>
          <w:rFonts w:ascii="Arial" w:hAnsi="Arial" w:cs="Arial"/>
          <w:bCs/>
          <w:iCs/>
          <w:sz w:val="26"/>
          <w:szCs w:val="26"/>
        </w:rPr>
        <w:t xml:space="preserve">de </w:t>
      </w:r>
      <w:r w:rsidR="00C06661" w:rsidRPr="00CB6405">
        <w:rPr>
          <w:rFonts w:ascii="Arial" w:hAnsi="Arial" w:cs="Arial"/>
          <w:bCs/>
          <w:iCs/>
          <w:sz w:val="26"/>
          <w:szCs w:val="26"/>
        </w:rPr>
        <w:t xml:space="preserve"> 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5C5F71">
        <w:rPr>
          <w:rFonts w:ascii="Arial" w:hAnsi="Arial" w:cs="Arial"/>
          <w:bCs/>
          <w:iCs/>
          <w:sz w:val="26"/>
          <w:szCs w:val="26"/>
        </w:rPr>
        <w:t xml:space="preserve">Tercera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5C5F71">
        <w:rPr>
          <w:rFonts w:ascii="Arial" w:hAnsi="Arial" w:cs="Arial"/>
          <w:b/>
          <w:bCs/>
          <w:iCs/>
          <w:sz w:val="26"/>
          <w:szCs w:val="26"/>
        </w:rPr>
        <w:t>56</w:t>
      </w:r>
      <w:r w:rsidR="00C4233C">
        <w:rPr>
          <w:rFonts w:ascii="Arial" w:hAnsi="Arial" w:cs="Arial"/>
          <w:b/>
          <w:bCs/>
          <w:iCs/>
          <w:sz w:val="26"/>
          <w:szCs w:val="26"/>
        </w:rPr>
        <w:t>/201</w:t>
      </w:r>
      <w:r w:rsidR="00D2489A">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lastRenderedPageBreak/>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w:t>
      </w:r>
      <w:r w:rsidR="00DC6CDC">
        <w:rPr>
          <w:rFonts w:ascii="Arial" w:eastAsia="Calibri" w:hAnsi="Arial" w:cs="Arial"/>
          <w:b/>
          <w:bCs/>
          <w:sz w:val="26"/>
          <w:szCs w:val="26"/>
        </w:rPr>
        <w:t>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5C5F71" w:rsidRDefault="005C5F71" w:rsidP="005C5F71">
      <w:pPr>
        <w:spacing w:line="360" w:lineRule="auto"/>
        <w:ind w:firstLine="709"/>
        <w:jc w:val="both"/>
        <w:rPr>
          <w:rFonts w:ascii="Arial" w:eastAsia="Calibri" w:hAnsi="Arial" w:cs="Arial"/>
          <w:bCs/>
          <w:sz w:val="26"/>
          <w:szCs w:val="26"/>
        </w:rPr>
      </w:pPr>
      <w:r>
        <w:rPr>
          <w:rFonts w:ascii="Arial" w:eastAsia="Calibri" w:hAnsi="Arial" w:cs="Arial"/>
          <w:bCs/>
          <w:sz w:val="26"/>
          <w:szCs w:val="26"/>
        </w:rPr>
        <w:t>Expone la revisionista que la sentencia alzada viola lo dispuesto por los artículos 14 y 16 de la Constitución Política de los Estados Unidos Mexicanos; así como el diverso 7, fracción V, de la Ley de Justicia Administrativa para el Estado de Oaxaca, al no encontrarse emitida en forma congruente con el acto impugnado, porque quedó debidamente acreditada su correcta fundamentación y motivación y con ello la validez del mismo; es así, porque el Agente de Policía Vial plasmo las razones, motivos y circunstancias que lo llevaron a efectuar el acta de infracción, porque en ella se plasmaron artículos del Reglamento de Vialidad que prevén la conducta ilegal; además de haberse citado tiempo y lugar de los hechos. Cita como fundamento los criterios de rubros: “</w:t>
      </w:r>
      <w:r w:rsidRPr="005C5F71">
        <w:rPr>
          <w:rFonts w:ascii="Arial" w:eastAsia="Calibri" w:hAnsi="Arial" w:cs="Arial"/>
          <w:bCs/>
          <w:i/>
        </w:rPr>
        <w:t>FUNDAMENTACIÓN Y MOTIVACIÓN. VIOLACIÓN FORMAL Y MATERIAL</w:t>
      </w:r>
      <w:r>
        <w:rPr>
          <w:rFonts w:ascii="Arial" w:eastAsia="Calibri" w:hAnsi="Arial" w:cs="Arial"/>
          <w:bCs/>
          <w:sz w:val="26"/>
          <w:szCs w:val="26"/>
        </w:rPr>
        <w:t>” y “</w:t>
      </w:r>
      <w:r>
        <w:rPr>
          <w:rFonts w:ascii="Arial" w:eastAsia="Calibri" w:hAnsi="Arial" w:cs="Arial"/>
          <w:bCs/>
          <w:i/>
        </w:rPr>
        <w:t>CONGRUENCIA Y EXHAUSTIVIDAD EN LAS SENTENCIAS. PRINCIPIOS DE</w:t>
      </w:r>
      <w:r w:rsidR="004A250E">
        <w:rPr>
          <w:rFonts w:ascii="Arial" w:eastAsia="Calibri" w:hAnsi="Arial" w:cs="Arial"/>
          <w:bCs/>
          <w:i/>
        </w:rPr>
        <w:t>.</w:t>
      </w:r>
      <w:r>
        <w:rPr>
          <w:rFonts w:ascii="Arial" w:eastAsia="Calibri" w:hAnsi="Arial" w:cs="Arial"/>
          <w:bCs/>
          <w:sz w:val="26"/>
          <w:szCs w:val="26"/>
        </w:rPr>
        <w:t>”</w:t>
      </w:r>
    </w:p>
    <w:p w:rsidR="005C5F71" w:rsidRDefault="005C5F71" w:rsidP="005C5F71">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 en esencia el recurrente, que la ausencia de fundamentación y motivación, trae como consecuencia la nulidad para efectos y no lisa y llana, porque la fundamentación que se llevó a cabo es la correcta, sin que se dejará al administrado en estado de indefensión, por lo que de considerarse la falta de motivación lo que debió declararse fue la nulidad para efecto de subsanar la omisión. Cita como apoyo los criterios de rubros: “</w:t>
      </w:r>
      <w:r w:rsidRPr="004870D8">
        <w:rPr>
          <w:rFonts w:ascii="Arial" w:eastAsia="Calibri" w:hAnsi="Arial" w:cs="Arial"/>
          <w:bCs/>
          <w:i/>
        </w:rPr>
        <w:t>NULIDAD. REGLAS PARA SU DETERMINACIÓN EN EL JUICIO CONTENCIOSO ADMINISTRATIVO EN EL DISTRITO FEDERAL.</w:t>
      </w:r>
      <w:r>
        <w:rPr>
          <w:rFonts w:ascii="Arial" w:eastAsia="Calibri" w:hAnsi="Arial" w:cs="Arial"/>
          <w:bCs/>
          <w:sz w:val="26"/>
          <w:szCs w:val="26"/>
        </w:rPr>
        <w:t>” y “</w:t>
      </w:r>
      <w:r w:rsidRPr="001C0740">
        <w:rPr>
          <w:rFonts w:ascii="Arial" w:eastAsia="Calibri" w:hAnsi="Arial" w:cs="Arial"/>
          <w:bCs/>
          <w:i/>
        </w:rPr>
        <w:t>FUNDAMENTACIÓN Y MOTIVACIÓN, FALTA O INDEBIDA. EN CUANTO SON DISTINTAS, UNAS GENERAN NULIDAD LISA Y LL</w:t>
      </w:r>
      <w:r>
        <w:rPr>
          <w:rFonts w:ascii="Arial" w:eastAsia="Calibri" w:hAnsi="Arial" w:cs="Arial"/>
          <w:bCs/>
          <w:i/>
        </w:rPr>
        <w:t>A</w:t>
      </w:r>
      <w:r w:rsidRPr="001C0740">
        <w:rPr>
          <w:rFonts w:ascii="Arial" w:eastAsia="Calibri" w:hAnsi="Arial" w:cs="Arial"/>
          <w:bCs/>
          <w:i/>
        </w:rPr>
        <w:t>NA Y OT</w:t>
      </w:r>
      <w:r w:rsidR="004A250E">
        <w:rPr>
          <w:rFonts w:ascii="Arial" w:eastAsia="Calibri" w:hAnsi="Arial" w:cs="Arial"/>
          <w:bCs/>
          <w:i/>
        </w:rPr>
        <w:t>R</w:t>
      </w:r>
      <w:r w:rsidRPr="001C0740">
        <w:rPr>
          <w:rFonts w:ascii="Arial" w:eastAsia="Calibri" w:hAnsi="Arial" w:cs="Arial"/>
          <w:bCs/>
          <w:i/>
        </w:rPr>
        <w:t>AS PARA EFECTOS.</w:t>
      </w:r>
      <w:r>
        <w:rPr>
          <w:rFonts w:ascii="Arial" w:eastAsia="Calibri" w:hAnsi="Arial" w:cs="Arial"/>
          <w:bCs/>
          <w:sz w:val="26"/>
          <w:szCs w:val="26"/>
        </w:rPr>
        <w:t>”</w:t>
      </w:r>
    </w:p>
    <w:p w:rsidR="005C5F71" w:rsidRDefault="005C5F71" w:rsidP="005C5F71">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lo dispuesto por el artículo 206</w:t>
      </w:r>
      <w:r>
        <w:rPr>
          <w:rStyle w:val="Refdenotaalpie"/>
          <w:rFonts w:ascii="Arial" w:eastAsia="Calibri" w:hAnsi="Arial" w:cs="Arial"/>
          <w:sz w:val="26"/>
          <w:szCs w:val="26"/>
        </w:rPr>
        <w:footnoteReference w:id="1"/>
      </w:r>
      <w:r w:rsidRPr="00DC6CDC">
        <w:rPr>
          <w:rFonts w:ascii="Arial" w:eastAsia="Calibri" w:hAnsi="Arial" w:cs="Arial"/>
          <w:bCs/>
          <w:sz w:val="26"/>
          <w:szCs w:val="26"/>
        </w:rPr>
        <w:t xml:space="preserve"> </w:t>
      </w:r>
      <w:r>
        <w:rPr>
          <w:rFonts w:ascii="Arial" w:eastAsia="Calibri" w:hAnsi="Arial" w:cs="Arial"/>
          <w:bCs/>
          <w:sz w:val="26"/>
          <w:szCs w:val="26"/>
        </w:rPr>
        <w:t xml:space="preserve">de la Ley de Justicia Administrativa para el Estado de Oaxaca, </w:t>
      </w:r>
      <w:r>
        <w:rPr>
          <w:rFonts w:ascii="Arial" w:hAnsi="Arial" w:cs="Arial"/>
          <w:bCs/>
          <w:iCs/>
          <w:sz w:val="26"/>
          <w:szCs w:val="26"/>
        </w:rPr>
        <w:t xml:space="preserve">vigente hasta el </w:t>
      </w:r>
      <w:r w:rsidR="00891A74">
        <w:rPr>
          <w:rFonts w:ascii="Arial" w:hAnsi="Arial" w:cs="Arial"/>
          <w:bCs/>
          <w:iCs/>
          <w:sz w:val="26"/>
          <w:szCs w:val="26"/>
        </w:rPr>
        <w:t xml:space="preserve"> veinte de octubre de</w:t>
      </w:r>
      <w:r>
        <w:rPr>
          <w:rFonts w:ascii="Arial" w:hAnsi="Arial" w:cs="Arial"/>
          <w:bCs/>
          <w:iCs/>
          <w:sz w:val="26"/>
          <w:szCs w:val="26"/>
        </w:rPr>
        <w:t xml:space="preserve"> dos mil diecisiete</w:t>
      </w:r>
      <w:r>
        <w:rPr>
          <w:rFonts w:ascii="Arial" w:hAnsi="Arial" w:cs="Arial"/>
          <w:sz w:val="26"/>
          <w:szCs w:val="26"/>
        </w:rPr>
        <w:t xml:space="preserve">, </w:t>
      </w:r>
      <w:r>
        <w:rPr>
          <w:rFonts w:ascii="Arial" w:eastAsia="Calibri" w:hAnsi="Arial" w:cs="Arial"/>
          <w:bCs/>
          <w:sz w:val="26"/>
          <w:szCs w:val="26"/>
        </w:rPr>
        <w:t xml:space="preserve">los acuerdos y resoluciones de la primera </w:t>
      </w:r>
      <w:r w:rsidR="004A250E">
        <w:rPr>
          <w:rFonts w:ascii="Arial" w:eastAsia="Calibri" w:hAnsi="Arial" w:cs="Arial"/>
          <w:bCs/>
          <w:sz w:val="26"/>
          <w:szCs w:val="26"/>
        </w:rPr>
        <w:t>i</w:t>
      </w:r>
      <w:r>
        <w:rPr>
          <w:rFonts w:ascii="Arial" w:eastAsia="Calibri" w:hAnsi="Arial" w:cs="Arial"/>
          <w:bCs/>
          <w:sz w:val="26"/>
          <w:szCs w:val="26"/>
        </w:rPr>
        <w:t>nstancia, podrán ser impugnadas por las partes; y, de conformidad con lo estatuido por el artículo 133</w:t>
      </w:r>
      <w:r>
        <w:rPr>
          <w:rStyle w:val="Refdenotaalpie"/>
          <w:rFonts w:ascii="Arial" w:eastAsia="Calibri" w:hAnsi="Arial" w:cs="Arial"/>
          <w:sz w:val="26"/>
          <w:szCs w:val="26"/>
        </w:rPr>
        <w:footnoteReference w:id="2"/>
      </w:r>
      <w:r w:rsidRPr="00DC6CDC">
        <w:rPr>
          <w:rFonts w:ascii="Arial" w:eastAsia="Calibri" w:hAnsi="Arial" w:cs="Arial"/>
          <w:bCs/>
          <w:sz w:val="26"/>
          <w:szCs w:val="26"/>
        </w:rPr>
        <w:t xml:space="preserve"> </w:t>
      </w:r>
      <w:r>
        <w:rPr>
          <w:rFonts w:ascii="Arial" w:eastAsia="Calibri" w:hAnsi="Arial" w:cs="Arial"/>
          <w:bCs/>
          <w:sz w:val="26"/>
          <w:szCs w:val="26"/>
        </w:rPr>
        <w:t xml:space="preserve">de la Ley de la materia, son partes en el juicio </w:t>
      </w:r>
      <w:r>
        <w:rPr>
          <w:rFonts w:ascii="Arial" w:eastAsia="Calibri" w:hAnsi="Arial" w:cs="Arial"/>
          <w:bCs/>
          <w:sz w:val="26"/>
          <w:szCs w:val="26"/>
        </w:rPr>
        <w:lastRenderedPageBreak/>
        <w:t>contencioso; el actor, la autoridad demandada y el tercero afectado; entonces, de acuerdo a las constancias que integran el expediente de primera instancia, a las que ya se les ha otorgado pleno valor probatorio, se logra observar que el Tesorero Municipal del Municipio de Oaxaca Juárez, es autoridad demandada; sin embargo, el acto impugnado y del cual se declaró su nulidad lo constituye el acta de infracción folio 14</w:t>
      </w:r>
      <w:r w:rsidR="006B2334">
        <w:rPr>
          <w:rFonts w:ascii="Arial" w:eastAsia="Calibri" w:hAnsi="Arial" w:cs="Arial"/>
          <w:bCs/>
          <w:sz w:val="26"/>
          <w:szCs w:val="26"/>
        </w:rPr>
        <w:t>964</w:t>
      </w:r>
      <w:r>
        <w:rPr>
          <w:rFonts w:ascii="Arial" w:eastAsia="Calibri" w:hAnsi="Arial" w:cs="Arial"/>
          <w:bCs/>
          <w:sz w:val="26"/>
          <w:szCs w:val="26"/>
        </w:rPr>
        <w:t xml:space="preserve"> de</w:t>
      </w:r>
      <w:r w:rsidR="00891A74">
        <w:rPr>
          <w:rFonts w:ascii="Arial" w:eastAsia="Calibri" w:hAnsi="Arial" w:cs="Arial"/>
          <w:bCs/>
          <w:sz w:val="26"/>
          <w:szCs w:val="26"/>
        </w:rPr>
        <w:t xml:space="preserve"> </w:t>
      </w:r>
      <w:r w:rsidR="006B2334">
        <w:rPr>
          <w:rFonts w:ascii="Arial" w:eastAsia="Calibri" w:hAnsi="Arial" w:cs="Arial"/>
          <w:bCs/>
          <w:sz w:val="26"/>
          <w:szCs w:val="26"/>
        </w:rPr>
        <w:t xml:space="preserve">cinco de junio </w:t>
      </w:r>
      <w:r>
        <w:rPr>
          <w:rFonts w:ascii="Arial" w:eastAsia="Calibri" w:hAnsi="Arial" w:cs="Arial"/>
          <w:bCs/>
          <w:sz w:val="26"/>
          <w:szCs w:val="26"/>
        </w:rPr>
        <w:t>de  dos mil diecisiete.</w:t>
      </w:r>
    </w:p>
    <w:p w:rsidR="005C5F71" w:rsidRDefault="005C5F71" w:rsidP="005C5F71">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 a la que hoy recurre, como así fue determinado en la sentencia en revisión, al indicar que fue elaborada por el Policía Vial con número estadístico PV-2</w:t>
      </w:r>
      <w:r w:rsidR="006B2334">
        <w:rPr>
          <w:rFonts w:ascii="Arial" w:eastAsia="Calibri" w:hAnsi="Arial" w:cs="Arial"/>
          <w:bCs/>
          <w:sz w:val="26"/>
          <w:szCs w:val="26"/>
        </w:rPr>
        <w:t>45</w:t>
      </w:r>
      <w:r>
        <w:rPr>
          <w:rFonts w:ascii="Arial" w:eastAsia="Calibri" w:hAnsi="Arial" w:cs="Arial"/>
          <w:bCs/>
          <w:sz w:val="26"/>
          <w:szCs w:val="26"/>
        </w:rPr>
        <w:t>, adscrito a la Comisaría de Vialidad Municipal de Oaxaca de Juárez, Oaxaca; de donde, aun cuando l</w:t>
      </w:r>
      <w:r w:rsidR="006B2334">
        <w:rPr>
          <w:rFonts w:ascii="Arial" w:eastAsia="Calibri" w:hAnsi="Arial" w:cs="Arial"/>
          <w:bCs/>
          <w:sz w:val="26"/>
          <w:szCs w:val="26"/>
        </w:rPr>
        <w:t>a</w:t>
      </w:r>
      <w:r>
        <w:rPr>
          <w:rFonts w:ascii="Arial" w:eastAsia="Calibri" w:hAnsi="Arial" w:cs="Arial"/>
          <w:bCs/>
          <w:sz w:val="26"/>
          <w:szCs w:val="26"/>
        </w:rPr>
        <w:t xml:space="preserve"> Tesorer</w:t>
      </w:r>
      <w:r w:rsidR="006B2334">
        <w:rPr>
          <w:rFonts w:ascii="Arial" w:eastAsia="Calibri" w:hAnsi="Arial" w:cs="Arial"/>
          <w:bCs/>
          <w:sz w:val="26"/>
          <w:szCs w:val="26"/>
        </w:rPr>
        <w:t>a</w:t>
      </w:r>
      <w:r>
        <w:rPr>
          <w:rFonts w:ascii="Arial" w:eastAsia="Calibri" w:hAnsi="Arial" w:cs="Arial"/>
          <w:bCs/>
          <w:sz w:val="26"/>
          <w:szCs w:val="26"/>
        </w:rPr>
        <w:t xml:space="preserve"> Municipal, fue señalado por </w:t>
      </w:r>
      <w:r w:rsidR="006B2334">
        <w:rPr>
          <w:rFonts w:ascii="Arial" w:eastAsia="Calibri" w:hAnsi="Arial" w:cs="Arial"/>
          <w:bCs/>
          <w:sz w:val="26"/>
          <w:szCs w:val="26"/>
        </w:rPr>
        <w:t>e</w:t>
      </w:r>
      <w:r>
        <w:rPr>
          <w:rFonts w:ascii="Arial" w:eastAsia="Calibri" w:hAnsi="Arial" w:cs="Arial"/>
          <w:bCs/>
          <w:sz w:val="26"/>
          <w:szCs w:val="26"/>
        </w:rPr>
        <w:t>l actor como autoridad demandada; lo cierto es que, no cuenta con legitimación para impugnar la determinación de declarar nulo ese acto de autoridad diversa.</w:t>
      </w:r>
    </w:p>
    <w:p w:rsidR="005C5F71" w:rsidRDefault="005C5F71"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5C5F71" w:rsidRDefault="00AB12D2" w:rsidP="005C5F71">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CE66A32" wp14:editId="3E84EA0A">
                <wp:simplePos x="0" y="0"/>
                <wp:positionH relativeFrom="column">
                  <wp:posOffset>5676900</wp:posOffset>
                </wp:positionH>
                <wp:positionV relativeFrom="paragraph">
                  <wp:posOffset>282575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12D2" w:rsidRDefault="00AB12D2" w:rsidP="00AB12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7pt;margin-top:22.2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bxJg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">
                <v:textbox>
                  <w:txbxContent>
                    <w:p w:rsidR="00AB12D2" w:rsidRDefault="00AB12D2" w:rsidP="00AB12D2">
                      <w:pPr>
                        <w:rPr>
                          <w:sz w:val="16"/>
                          <w:szCs w:val="16"/>
                        </w:rPr>
                      </w:pPr>
                      <w:r>
                        <w:rPr>
                          <w:sz w:val="16"/>
                          <w:szCs w:val="16"/>
                        </w:rPr>
                        <w:t>Datos personales protegidos por el Art. 116 de la LGTAIP y el Art. 56 de la LTAIPEO</w:t>
                      </w:r>
                    </w:p>
                  </w:txbxContent>
                </v:textbox>
              </v:shape>
            </w:pict>
          </mc:Fallback>
        </mc:AlternateContent>
      </w:r>
      <w:r w:rsidR="005C5F71">
        <w:rPr>
          <w:rFonts w:ascii="Arial" w:eastAsia="Calibri" w:hAnsi="Arial" w:cs="Arial"/>
          <w:bCs/>
          <w:sz w:val="26"/>
          <w:szCs w:val="26"/>
        </w:rPr>
        <w:t>De tal manera, que si como sucede en la especie, la nulidad decretada fue respecto del acta de infracción levantada por el Policía Vial con número estadístico</w:t>
      </w:r>
      <w:r w:rsidR="005C5F71" w:rsidRPr="007D55DA">
        <w:rPr>
          <w:rFonts w:ascii="Arial" w:eastAsia="Calibri" w:hAnsi="Arial" w:cs="Arial"/>
          <w:bCs/>
          <w:sz w:val="26"/>
          <w:szCs w:val="26"/>
        </w:rPr>
        <w:t xml:space="preserve"> </w:t>
      </w:r>
      <w:r w:rsidR="005C5F71">
        <w:rPr>
          <w:rFonts w:ascii="Arial" w:eastAsia="Calibri" w:hAnsi="Arial" w:cs="Arial"/>
          <w:bCs/>
          <w:sz w:val="26"/>
          <w:szCs w:val="26"/>
        </w:rPr>
        <w:t>PV-2</w:t>
      </w:r>
      <w:r w:rsidR="006B2334">
        <w:rPr>
          <w:rFonts w:ascii="Arial" w:eastAsia="Calibri" w:hAnsi="Arial" w:cs="Arial"/>
          <w:bCs/>
          <w:sz w:val="26"/>
          <w:szCs w:val="26"/>
        </w:rPr>
        <w:t>45,</w:t>
      </w:r>
      <w:r w:rsidR="005C5F71">
        <w:rPr>
          <w:rFonts w:ascii="Arial" w:eastAsia="Calibri" w:hAnsi="Arial" w:cs="Arial"/>
          <w:bCs/>
          <w:sz w:val="26"/>
          <w:szCs w:val="26"/>
        </w:rPr>
        <w:t xml:space="preserve"> de la Comisaría de Vialidad Municipal de Oaxaca de Juárez, Oaxaca, sólo a dicha autoridad corresponde la legitimación para impugnarla en lo atinente a tal declaración de nulidad y sus efectos.</w:t>
      </w:r>
    </w:p>
    <w:p w:rsidR="005C5F71" w:rsidRDefault="005C5F71" w:rsidP="005C5F71">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t>Al respecto resulta aplicable al caso el criterio emitido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es el siguiente:</w:t>
      </w:r>
    </w:p>
    <w:p w:rsidR="005C5F71" w:rsidRDefault="005C5F71" w:rsidP="005C5F71">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 xml:space="preserve">REVISIÓN CONTENCIOSA ADMINISTRATIVA. LA </w:t>
      </w:r>
      <w:r w:rsidRPr="00DC6CDC">
        <w:rPr>
          <w:rFonts w:ascii="Arial" w:eastAsia="Calibri" w:hAnsi="Arial" w:cs="Arial"/>
          <w:b/>
          <w:bCs/>
          <w:i/>
          <w:sz w:val="24"/>
          <w:szCs w:val="24"/>
        </w:rPr>
        <w:lastRenderedPageBreak/>
        <w:t>LEGITIMACIÓN PARA INTERPONER DICHO RECURSO NO SÓLO IMPLICA QUE EL PROMOVENTE SEA AUTORIDAD, SINO TAMBIÉN QUE LA SENTENCIA IMPUGNADA LE AGRAVIE</w:t>
      </w:r>
      <w:r w:rsidRPr="00DC6CDC">
        <w:rPr>
          <w:rFonts w:ascii="Arial" w:eastAsia="Calibri" w:hAnsi="Arial" w:cs="Arial"/>
          <w:bCs/>
          <w:i/>
          <w:sz w:val="24"/>
          <w:szCs w:val="24"/>
        </w:rPr>
        <w:t xml:space="preserve">.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C6CDC">
        <w:rPr>
          <w:rFonts w:ascii="Arial" w:eastAsia="Calibri" w:hAnsi="Arial" w:cs="Arial"/>
          <w:bCs/>
          <w:i/>
          <w:sz w:val="24"/>
          <w:szCs w:val="24"/>
        </w:rPr>
        <w:t>promovente</w:t>
      </w:r>
      <w:proofErr w:type="spellEnd"/>
      <w:r w:rsidRPr="00DC6CDC">
        <w:rPr>
          <w:rFonts w:ascii="Arial" w:eastAsia="Calibri" w:hAnsi="Arial" w:cs="Arial"/>
          <w:bCs/>
          <w:i/>
          <w:sz w:val="24"/>
          <w:szCs w:val="24"/>
        </w:rPr>
        <w:t xml:space="preserve"> sea autoridad, sino también que la sentencia impugnada le agravie, con lo que se justifica su interés en que sea modificada o revocada.</w:t>
      </w:r>
      <w:r>
        <w:rPr>
          <w:rFonts w:ascii="Arial" w:eastAsia="Calibri" w:hAnsi="Arial" w:cs="Arial"/>
          <w:bCs/>
          <w:sz w:val="24"/>
          <w:szCs w:val="24"/>
        </w:rPr>
        <w:t>”</w:t>
      </w:r>
    </w:p>
    <w:p w:rsidR="005C5F71" w:rsidRPr="009632BE" w:rsidRDefault="005C5F71" w:rsidP="005C5F71">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5C5F71" w:rsidRPr="00807D70" w:rsidRDefault="005C5F71" w:rsidP="005C5F71">
      <w:pPr>
        <w:spacing w:after="0"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EN LA CAUSA. SÓLO PUEDE ESTUDIARSE EN LA SENTENCIA DEFINITIVA</w:t>
      </w:r>
      <w:r w:rsidRPr="00807D70">
        <w:rPr>
          <w:rFonts w:ascii="Arial" w:hAnsi="Arial" w:cs="Arial"/>
          <w:i/>
          <w:sz w:val="24"/>
          <w:szCs w:val="24"/>
        </w:rPr>
        <w:t xml:space="preserve">. Debe distinguirse la legitimación en el proceso, de la legitimación </w:t>
      </w:r>
      <w:r w:rsidRPr="00807D70">
        <w:rPr>
          <w:rFonts w:ascii="Arial" w:hAnsi="Arial" w:cs="Arial"/>
          <w:i/>
          <w:sz w:val="24"/>
          <w:szCs w:val="24"/>
        </w:rPr>
        <w:lastRenderedPageBreak/>
        <w:t xml:space="preserve">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5C5F71" w:rsidRPr="009632BE" w:rsidRDefault="00AB12D2" w:rsidP="005C5F71">
      <w:pPr>
        <w:spacing w:before="24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164B4EA5" wp14:editId="6214D014">
                <wp:simplePos x="0" y="0"/>
                <wp:positionH relativeFrom="column">
                  <wp:posOffset>5549265</wp:posOffset>
                </wp:positionH>
                <wp:positionV relativeFrom="paragraph">
                  <wp:posOffset>834390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12D2" w:rsidRDefault="00AB12D2" w:rsidP="00AB12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36.95pt;margin-top:65.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DzKAIAAFI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">
                <v:textbox>
                  <w:txbxContent>
                    <w:p w:rsidR="00AB12D2" w:rsidRDefault="00AB12D2" w:rsidP="00AB12D2">
                      <w:pPr>
                        <w:rPr>
                          <w:sz w:val="16"/>
                          <w:szCs w:val="16"/>
                        </w:rPr>
                      </w:pPr>
                      <w:r>
                        <w:rPr>
                          <w:sz w:val="16"/>
                          <w:szCs w:val="16"/>
                        </w:rPr>
                        <w:t>Datos personales protegidos por el Art. 116 de la LGTAIP y el Art. 56 de la LTAIPEO</w:t>
                      </w:r>
                    </w:p>
                  </w:txbxContent>
                </v:textbox>
              </v:shape>
            </w:pict>
          </mc:Fallback>
        </mc:AlternateContent>
      </w:r>
      <w:r w:rsidR="005C5F71" w:rsidRPr="009632BE">
        <w:rPr>
          <w:rFonts w:ascii="Arial" w:hAnsi="Arial" w:cs="Arial"/>
          <w:sz w:val="26"/>
          <w:szCs w:val="26"/>
        </w:rPr>
        <w:t>Así mismo, se ha considerado en la jurisprudencia 2a</w:t>
      </w:r>
      <w:proofErr w:type="gramStart"/>
      <w:r w:rsidR="005C5F71" w:rsidRPr="009632BE">
        <w:rPr>
          <w:rFonts w:ascii="Arial" w:hAnsi="Arial" w:cs="Arial"/>
          <w:sz w:val="26"/>
          <w:szCs w:val="26"/>
        </w:rPr>
        <w:t>./</w:t>
      </w:r>
      <w:proofErr w:type="gramEnd"/>
      <w:r w:rsidR="005C5F71" w:rsidRPr="009632BE">
        <w:rPr>
          <w:rFonts w:ascii="Arial" w:hAnsi="Arial" w:cs="Arial"/>
          <w:sz w:val="26"/>
          <w:szCs w:val="26"/>
        </w:rPr>
        <w:t xml:space="preserve">J. 75/97 de la Segunda Sala de la Suprema Corte de Justicia de la Nación, </w:t>
      </w:r>
      <w:r w:rsidR="005C5F71">
        <w:rPr>
          <w:rFonts w:ascii="Arial" w:hAnsi="Arial" w:cs="Arial"/>
          <w:sz w:val="26"/>
          <w:szCs w:val="26"/>
        </w:rPr>
        <w:t>también emitida en la novena ép</w:t>
      </w:r>
      <w:r w:rsidR="005C5F71" w:rsidRPr="009632BE">
        <w:rPr>
          <w:rFonts w:ascii="Arial" w:hAnsi="Arial" w:cs="Arial"/>
          <w:sz w:val="26"/>
          <w:szCs w:val="26"/>
        </w:rPr>
        <w:t>oca. Semanario Judicial de la Federación y su Gaceta. Tomo VII, Enero de 1998, Pág. 351.</w:t>
      </w:r>
    </w:p>
    <w:p w:rsidR="005C5F71" w:rsidRPr="00807D70" w:rsidRDefault="005C5F71" w:rsidP="005C5F71">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w:t>
      </w:r>
      <w:r w:rsidRPr="00807D70">
        <w:rPr>
          <w:rFonts w:ascii="Arial" w:hAnsi="Arial" w:cs="Arial"/>
          <w:i/>
          <w:sz w:val="24"/>
          <w:szCs w:val="24"/>
        </w:rPr>
        <w:lastRenderedPageBreak/>
        <w:t xml:space="preserve">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 xml:space="preserve">inatendible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4426E6">
        <w:rPr>
          <w:rFonts w:ascii="Arial" w:hAnsi="Arial" w:cs="Arial"/>
          <w:bCs/>
          <w:iCs/>
          <w:sz w:val="26"/>
          <w:szCs w:val="26"/>
        </w:rPr>
        <w:t>vigente hasta el veinte de octubre de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E164E7">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D25930">
        <w:rPr>
          <w:rFonts w:ascii="Arial" w:hAnsi="Arial" w:cs="Arial"/>
          <w:color w:val="000000"/>
          <w:sz w:val="26"/>
          <w:szCs w:val="26"/>
          <w:lang w:val="es-MX"/>
        </w:rPr>
        <w:t>.</w:t>
      </w:r>
    </w:p>
    <w:p w:rsidR="00E164E7" w:rsidRDefault="00D03B93" w:rsidP="00E164E7">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6B2334">
        <w:rPr>
          <w:rFonts w:ascii="Arial" w:hAnsi="Arial" w:cs="Arial"/>
          <w:sz w:val="26"/>
          <w:szCs w:val="26"/>
        </w:rPr>
        <w:t>Tercera</w:t>
      </w:r>
      <w:r w:rsidR="006640C5">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rev</w:t>
      </w:r>
      <w:r w:rsidR="00D25930">
        <w:rPr>
          <w:rFonts w:ascii="Arial" w:hAnsi="Arial" w:cs="Arial"/>
          <w:sz w:val="26"/>
          <w:szCs w:val="26"/>
        </w:rPr>
        <w:t>isión como asunto concluido.</w:t>
      </w:r>
    </w:p>
    <w:p w:rsidR="001330E2" w:rsidRDefault="001330E2" w:rsidP="001330E2">
      <w:pPr>
        <w:pStyle w:val="Sinespaciado"/>
        <w:spacing w:before="240" w:line="360" w:lineRule="auto"/>
        <w:ind w:firstLine="708"/>
        <w:jc w:val="both"/>
        <w:rPr>
          <w:rFonts w:ascii="Arial" w:hAnsi="Arial" w:cs="Arial"/>
          <w:sz w:val="26"/>
          <w:szCs w:val="26"/>
        </w:rPr>
      </w:pPr>
      <w:r>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Ausentes Magistrada María Elena Villa de Jarquín y Magistrado Manuel Velasco Alcántara. </w:t>
      </w: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ADRIÁN QUIROGA AVENDAÑO.</w:t>
      </w:r>
    </w:p>
    <w:p w:rsidR="001330E2" w:rsidRDefault="001330E2" w:rsidP="001330E2">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PRESIDENTE</w:t>
      </w: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HUGO VILLEGAS AQUINO.</w:t>
      </w: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p>
    <w:p w:rsidR="001330E2" w:rsidRDefault="001330E2" w:rsidP="001330E2">
      <w:pPr>
        <w:spacing w:line="36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MAGISTRADO ENRIQUE PACHECO MARTÍNEZ.</w:t>
      </w: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p>
    <w:p w:rsidR="001330E2" w:rsidRDefault="001330E2" w:rsidP="001330E2">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LICENCIADA SANDRA PÉREZ CRUZ.</w:t>
      </w:r>
    </w:p>
    <w:p w:rsidR="001330E2" w:rsidRDefault="001330E2" w:rsidP="001330E2">
      <w:pPr>
        <w:spacing w:after="0" w:line="240" w:lineRule="auto"/>
        <w:jc w:val="center"/>
        <w:rPr>
          <w:rFonts w:ascii="Arial" w:eastAsia="Calibri" w:hAnsi="Arial" w:cs="Arial"/>
          <w:sz w:val="26"/>
          <w:szCs w:val="26"/>
          <w:lang w:val="es-MX" w:eastAsia="es-MX"/>
        </w:rPr>
      </w:pPr>
      <w:r>
        <w:rPr>
          <w:rFonts w:ascii="Arial" w:eastAsia="Calibri" w:hAnsi="Arial" w:cs="Arial"/>
          <w:sz w:val="26"/>
          <w:szCs w:val="26"/>
          <w:lang w:val="es-MX" w:eastAsia="es-MX"/>
        </w:rPr>
        <w:t>SECRETARIA GENERAL DE ACUERDOS.</w:t>
      </w:r>
    </w:p>
    <w:p w:rsidR="006640C5" w:rsidRPr="001330E2" w:rsidRDefault="00AB12D2" w:rsidP="00D25930">
      <w:pPr>
        <w:spacing w:before="240" w:line="360" w:lineRule="auto"/>
        <w:ind w:firstLine="708"/>
        <w:jc w:val="both"/>
        <w:rPr>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simplePos x="0" y="0"/>
                <wp:positionH relativeFrom="column">
                  <wp:posOffset>5677151</wp:posOffset>
                </wp:positionH>
                <wp:positionV relativeFrom="paragraph">
                  <wp:posOffset>5195747</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12D2" w:rsidRDefault="00AB12D2" w:rsidP="00AB12D2">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47pt;margin-top:409.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">
                <v:textbox>
                  <w:txbxContent>
                    <w:p w:rsidR="00AB12D2" w:rsidRDefault="00AB12D2" w:rsidP="00AB12D2">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sectPr w:rsidR="006640C5" w:rsidRPr="001330E2" w:rsidSect="005957EB">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D8F" w:rsidRDefault="00B26D8F">
      <w:pPr>
        <w:spacing w:after="0" w:line="240" w:lineRule="auto"/>
      </w:pPr>
      <w:r>
        <w:separator/>
      </w:r>
    </w:p>
  </w:endnote>
  <w:endnote w:type="continuationSeparator" w:id="0">
    <w:p w:rsidR="00B26D8F" w:rsidRDefault="00B2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D8F" w:rsidRDefault="00B26D8F">
      <w:pPr>
        <w:spacing w:after="0" w:line="240" w:lineRule="auto"/>
      </w:pPr>
      <w:r>
        <w:separator/>
      </w:r>
    </w:p>
  </w:footnote>
  <w:footnote w:type="continuationSeparator" w:id="0">
    <w:p w:rsidR="00B26D8F" w:rsidRDefault="00B26D8F">
      <w:pPr>
        <w:spacing w:after="0" w:line="240" w:lineRule="auto"/>
      </w:pPr>
      <w:r>
        <w:continuationSeparator/>
      </w:r>
    </w:p>
  </w:footnote>
  <w:footnote w:id="1">
    <w:p w:rsidR="005C5F71" w:rsidRPr="009829E3" w:rsidRDefault="005C5F71" w:rsidP="005C5F71">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5C5F71" w:rsidRPr="009829E3" w:rsidRDefault="005C5F71" w:rsidP="005C5F71">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5C5F71" w:rsidRPr="009829E3" w:rsidRDefault="005C5F71" w:rsidP="005C5F71">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5C5F71" w:rsidRPr="009829E3" w:rsidRDefault="005C5F71" w:rsidP="005C5F71">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5C5F71" w:rsidRPr="009829E3" w:rsidRDefault="005C5F71" w:rsidP="005C5F71">
      <w:pPr>
        <w:pStyle w:val="Sinespaciado"/>
        <w:rPr>
          <w:rFonts w:ascii="Arial" w:hAnsi="Arial" w:cs="Arial"/>
          <w:sz w:val="18"/>
          <w:szCs w:val="18"/>
        </w:rPr>
      </w:pPr>
      <w:r w:rsidRPr="009829E3">
        <w:rPr>
          <w:rFonts w:ascii="Arial" w:hAnsi="Arial" w:cs="Arial"/>
          <w:sz w:val="18"/>
          <w:szCs w:val="18"/>
        </w:rPr>
        <w:t xml:space="preserve">   ….</w:t>
      </w:r>
    </w:p>
    <w:p w:rsidR="005C5F71" w:rsidRPr="009829E3" w:rsidRDefault="005C5F71" w:rsidP="005C5F71">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23283"/>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AB12D2">
          <w:rPr>
            <w:noProof/>
          </w:rPr>
          <w:t>8</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04234"/>
      <w:docPartObj>
        <w:docPartGallery w:val="Page Numbers (Top of Page)"/>
        <w:docPartUnique/>
      </w:docPartObj>
    </w:sdtPr>
    <w:sdtEndPr/>
    <w:sdtContent>
      <w:p w:rsidR="007A2B3C" w:rsidRDefault="00AB12D2" w:rsidP="00AE04F4">
        <w:pPr>
          <w:pStyle w:val="Encabezado"/>
          <w:tabs>
            <w:tab w:val="left" w:pos="2742"/>
            <w:tab w:val="center" w:pos="4135"/>
          </w:tabs>
          <w:rPr>
            <w:noProof/>
          </w:rPr>
        </w:pPr>
        <w:r>
          <w:rPr>
            <w:noProof/>
            <w:lang w:val="es-MX" w:eastAsia="es-MX"/>
          </w:rPr>
          <mc:AlternateContent>
            <mc:Choice Requires="wps">
              <w:drawing>
                <wp:anchor distT="0" distB="0" distL="114300" distR="114300" simplePos="0" relativeHeight="251663360" behindDoc="0" locked="0" layoutInCell="1" allowOverlap="1" wp14:anchorId="59817CAB" wp14:editId="57989D69">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B12D2" w:rsidRDefault="00AB12D2" w:rsidP="00AB12D2">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margin-left:-121.1pt;margin-top:5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AB12D2" w:rsidRDefault="00AB12D2" w:rsidP="00AB12D2">
                        <w:pPr>
                          <w:rPr>
                            <w:sz w:val="16"/>
                            <w:szCs w:val="16"/>
                          </w:rPr>
                        </w:pPr>
                        <w:r>
                          <w:rPr>
                            <w:sz w:val="16"/>
                            <w:szCs w:val="16"/>
                          </w:rPr>
                          <w:t>Datos personales protegidos por el Art. 116 de la LGTAIP y el Art. 56 de la LTAIPEO</w:t>
                        </w:r>
                      </w:p>
                    </w:txbxContent>
                  </v:textbox>
                </v:shape>
              </w:pict>
            </mc:Fallback>
          </mc:AlternateContent>
        </w:r>
        <w:r w:rsidR="00AE04F4">
          <w:tab/>
        </w:r>
        <w:r w:rsidR="00AE04F4">
          <w:tab/>
        </w:r>
        <w:r w:rsidR="007A2B3C">
          <w:fldChar w:fldCharType="begin"/>
        </w:r>
        <w:r w:rsidR="007A2B3C">
          <w:instrText xml:space="preserve"> PAGE   \* MERGEFORMAT </w:instrText>
        </w:r>
        <w:r w:rsidR="007A2B3C">
          <w:fldChar w:fldCharType="separate"/>
        </w:r>
        <w:r>
          <w:rPr>
            <w:noProof/>
          </w:rPr>
          <w:t>7</w:t>
        </w:r>
        <w:r w:rsidR="007A2B3C">
          <w:rPr>
            <w:noProof/>
          </w:rPr>
          <w:fldChar w:fldCharType="end"/>
        </w:r>
      </w:p>
      <w:p w:rsidR="00AA3131" w:rsidRDefault="00AB12D2" w:rsidP="00AA3131">
        <w:pPr>
          <w:pStyle w:val="Encabezado"/>
          <w:jc w:val="center"/>
        </w:pPr>
      </w:p>
    </w:sdtContent>
  </w:sdt>
  <w:p w:rsidR="007A2B3C" w:rsidRDefault="00D46A6A" w:rsidP="00536B6D">
    <w:pPr>
      <w:pStyle w:val="Encabezado"/>
      <w:jc w:val="center"/>
    </w:pPr>
    <w:r>
      <w:rPr>
        <w:noProof/>
        <w:lang w:val="es-MX" w:eastAsia="es-MX"/>
      </w:rPr>
      <w:drawing>
        <wp:anchor distT="0" distB="0" distL="114300" distR="114300" simplePos="0" relativeHeight="251661312" behindDoc="1" locked="0" layoutInCell="1" allowOverlap="1" wp14:anchorId="14DBB790" wp14:editId="4C1DD0CD">
          <wp:simplePos x="0" y="0"/>
          <wp:positionH relativeFrom="margin">
            <wp:align>right</wp:align>
          </wp:positionH>
          <wp:positionV relativeFrom="paragraph">
            <wp:posOffset>3756821</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8"/>
  <w:hyphenationZone w:val="425"/>
  <w:evenAndOddHeaders/>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4C2D"/>
    <w:rsid w:val="0005701D"/>
    <w:rsid w:val="00057174"/>
    <w:rsid w:val="00057817"/>
    <w:rsid w:val="000612E4"/>
    <w:rsid w:val="000616B5"/>
    <w:rsid w:val="00070777"/>
    <w:rsid w:val="000737BF"/>
    <w:rsid w:val="0007458B"/>
    <w:rsid w:val="00076CEA"/>
    <w:rsid w:val="000803AB"/>
    <w:rsid w:val="000822AF"/>
    <w:rsid w:val="00083BEB"/>
    <w:rsid w:val="00085132"/>
    <w:rsid w:val="00085150"/>
    <w:rsid w:val="00085F69"/>
    <w:rsid w:val="00094546"/>
    <w:rsid w:val="00095005"/>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0E2"/>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71831"/>
    <w:rsid w:val="00171EF0"/>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A72EA"/>
    <w:rsid w:val="002B2AF4"/>
    <w:rsid w:val="002B5C82"/>
    <w:rsid w:val="002B73F3"/>
    <w:rsid w:val="002B7422"/>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250E"/>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6B6D"/>
    <w:rsid w:val="0053715D"/>
    <w:rsid w:val="00541B18"/>
    <w:rsid w:val="00542671"/>
    <w:rsid w:val="005443FC"/>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776B9"/>
    <w:rsid w:val="00580F64"/>
    <w:rsid w:val="005817AB"/>
    <w:rsid w:val="005864C3"/>
    <w:rsid w:val="005903F7"/>
    <w:rsid w:val="005913ED"/>
    <w:rsid w:val="00593333"/>
    <w:rsid w:val="00594670"/>
    <w:rsid w:val="00595186"/>
    <w:rsid w:val="005957EB"/>
    <w:rsid w:val="00597C5A"/>
    <w:rsid w:val="005A0A32"/>
    <w:rsid w:val="005A0D5F"/>
    <w:rsid w:val="005A3800"/>
    <w:rsid w:val="005A415D"/>
    <w:rsid w:val="005A493F"/>
    <w:rsid w:val="005B13A7"/>
    <w:rsid w:val="005B2365"/>
    <w:rsid w:val="005B74A1"/>
    <w:rsid w:val="005C0B46"/>
    <w:rsid w:val="005C2C8E"/>
    <w:rsid w:val="005C3AA7"/>
    <w:rsid w:val="005C414F"/>
    <w:rsid w:val="005C5F71"/>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CEA"/>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640C5"/>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33C65"/>
    <w:rsid w:val="0084114B"/>
    <w:rsid w:val="00841573"/>
    <w:rsid w:val="00841CA9"/>
    <w:rsid w:val="00842ED4"/>
    <w:rsid w:val="00845EA4"/>
    <w:rsid w:val="00847A1D"/>
    <w:rsid w:val="00853CAA"/>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E64"/>
    <w:rsid w:val="0088403D"/>
    <w:rsid w:val="008850E5"/>
    <w:rsid w:val="00885C97"/>
    <w:rsid w:val="00885CDE"/>
    <w:rsid w:val="00891A74"/>
    <w:rsid w:val="008946EA"/>
    <w:rsid w:val="008947B5"/>
    <w:rsid w:val="00894D4A"/>
    <w:rsid w:val="00897C9D"/>
    <w:rsid w:val="008A20F1"/>
    <w:rsid w:val="008A2A09"/>
    <w:rsid w:val="008A47B2"/>
    <w:rsid w:val="008A5670"/>
    <w:rsid w:val="008A6B4E"/>
    <w:rsid w:val="008B1D4F"/>
    <w:rsid w:val="008B2E64"/>
    <w:rsid w:val="008B2FDE"/>
    <w:rsid w:val="008B387A"/>
    <w:rsid w:val="008B4B2E"/>
    <w:rsid w:val="008B4EBC"/>
    <w:rsid w:val="008B5E35"/>
    <w:rsid w:val="008C380D"/>
    <w:rsid w:val="008C508D"/>
    <w:rsid w:val="008D04B8"/>
    <w:rsid w:val="008D1236"/>
    <w:rsid w:val="008E215F"/>
    <w:rsid w:val="008E4231"/>
    <w:rsid w:val="008E586E"/>
    <w:rsid w:val="008F05C2"/>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079EE"/>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131"/>
    <w:rsid w:val="00AA38C5"/>
    <w:rsid w:val="00AA3DF2"/>
    <w:rsid w:val="00AB00F1"/>
    <w:rsid w:val="00AB0764"/>
    <w:rsid w:val="00AB10A6"/>
    <w:rsid w:val="00AB12D2"/>
    <w:rsid w:val="00AB19C6"/>
    <w:rsid w:val="00AB1E7B"/>
    <w:rsid w:val="00AB628D"/>
    <w:rsid w:val="00AB641E"/>
    <w:rsid w:val="00AC1530"/>
    <w:rsid w:val="00AC1D64"/>
    <w:rsid w:val="00AD1E25"/>
    <w:rsid w:val="00AD38ED"/>
    <w:rsid w:val="00AD4282"/>
    <w:rsid w:val="00AD77FD"/>
    <w:rsid w:val="00AE04F4"/>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16FE"/>
    <w:rsid w:val="00B26CCB"/>
    <w:rsid w:val="00B26D8F"/>
    <w:rsid w:val="00B31114"/>
    <w:rsid w:val="00B31B5C"/>
    <w:rsid w:val="00B34D98"/>
    <w:rsid w:val="00B35503"/>
    <w:rsid w:val="00B37C1A"/>
    <w:rsid w:val="00B37E5F"/>
    <w:rsid w:val="00B408F8"/>
    <w:rsid w:val="00B45AA5"/>
    <w:rsid w:val="00B461BE"/>
    <w:rsid w:val="00B5088E"/>
    <w:rsid w:val="00B517B3"/>
    <w:rsid w:val="00B51D39"/>
    <w:rsid w:val="00B53176"/>
    <w:rsid w:val="00B55C20"/>
    <w:rsid w:val="00B56BE4"/>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4E83"/>
    <w:rsid w:val="00C55168"/>
    <w:rsid w:val="00C56885"/>
    <w:rsid w:val="00C57680"/>
    <w:rsid w:val="00C57997"/>
    <w:rsid w:val="00C57DE8"/>
    <w:rsid w:val="00C607C9"/>
    <w:rsid w:val="00C6230B"/>
    <w:rsid w:val="00C625C8"/>
    <w:rsid w:val="00C669B9"/>
    <w:rsid w:val="00C72D55"/>
    <w:rsid w:val="00C732C5"/>
    <w:rsid w:val="00C80261"/>
    <w:rsid w:val="00C80FE1"/>
    <w:rsid w:val="00C8246A"/>
    <w:rsid w:val="00C830CA"/>
    <w:rsid w:val="00C83120"/>
    <w:rsid w:val="00C84197"/>
    <w:rsid w:val="00C904A0"/>
    <w:rsid w:val="00C9115E"/>
    <w:rsid w:val="00C9167C"/>
    <w:rsid w:val="00C926A1"/>
    <w:rsid w:val="00C9405A"/>
    <w:rsid w:val="00C94AA0"/>
    <w:rsid w:val="00C95207"/>
    <w:rsid w:val="00C962CF"/>
    <w:rsid w:val="00CA05EE"/>
    <w:rsid w:val="00CA1B76"/>
    <w:rsid w:val="00CA4E8C"/>
    <w:rsid w:val="00CA6573"/>
    <w:rsid w:val="00CA7887"/>
    <w:rsid w:val="00CB27A4"/>
    <w:rsid w:val="00CB2934"/>
    <w:rsid w:val="00CB621B"/>
    <w:rsid w:val="00CB65EC"/>
    <w:rsid w:val="00CB6E8A"/>
    <w:rsid w:val="00CC1DB1"/>
    <w:rsid w:val="00CC7CEF"/>
    <w:rsid w:val="00CD0468"/>
    <w:rsid w:val="00CD1491"/>
    <w:rsid w:val="00CD64DE"/>
    <w:rsid w:val="00CE50AD"/>
    <w:rsid w:val="00CE5195"/>
    <w:rsid w:val="00CE51E4"/>
    <w:rsid w:val="00CF10FC"/>
    <w:rsid w:val="00CF1593"/>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930"/>
    <w:rsid w:val="00D309C0"/>
    <w:rsid w:val="00D33C66"/>
    <w:rsid w:val="00D34A5A"/>
    <w:rsid w:val="00D35BF1"/>
    <w:rsid w:val="00D3635F"/>
    <w:rsid w:val="00D378CF"/>
    <w:rsid w:val="00D44218"/>
    <w:rsid w:val="00D4494B"/>
    <w:rsid w:val="00D45843"/>
    <w:rsid w:val="00D46A6A"/>
    <w:rsid w:val="00D5482F"/>
    <w:rsid w:val="00D566F5"/>
    <w:rsid w:val="00D56752"/>
    <w:rsid w:val="00D56F54"/>
    <w:rsid w:val="00D62375"/>
    <w:rsid w:val="00D63A6F"/>
    <w:rsid w:val="00D70AB8"/>
    <w:rsid w:val="00D7104A"/>
    <w:rsid w:val="00D718E2"/>
    <w:rsid w:val="00D73B5B"/>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44A1E"/>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3E29"/>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3658"/>
    <w:rsid w:val="00F053FC"/>
    <w:rsid w:val="00F06CB3"/>
    <w:rsid w:val="00F079CC"/>
    <w:rsid w:val="00F07FC2"/>
    <w:rsid w:val="00F123A4"/>
    <w:rsid w:val="00F1519C"/>
    <w:rsid w:val="00F16359"/>
    <w:rsid w:val="00F21698"/>
    <w:rsid w:val="00F24A07"/>
    <w:rsid w:val="00F2514D"/>
    <w:rsid w:val="00F27F68"/>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65C72"/>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278A"/>
    <w:rsid w:val="00FB403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811407462">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D62B-99E1-42F9-9580-2BE2B5BF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8</Pages>
  <Words>2145</Words>
  <Characters>11802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97</cp:revision>
  <cp:lastPrinted>2018-06-13T17:05:00Z</cp:lastPrinted>
  <dcterms:created xsi:type="dcterms:W3CDTF">2017-09-05T18:57:00Z</dcterms:created>
  <dcterms:modified xsi:type="dcterms:W3CDTF">2018-12-10T17:25:00Z</dcterms:modified>
</cp:coreProperties>
</file>