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72" w:rsidRPr="00CB6405" w:rsidRDefault="009A0B72" w:rsidP="009A0B72">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9A0B72" w:rsidRPr="00CB6405" w:rsidRDefault="009A0B72" w:rsidP="009A0B72">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EC1C8B">
        <w:rPr>
          <w:rFonts w:ascii="Arial" w:hAnsi="Arial" w:cs="Arial"/>
          <w:b/>
          <w:sz w:val="26"/>
          <w:szCs w:val="26"/>
        </w:rPr>
        <w:t>686</w:t>
      </w:r>
      <w:r w:rsidRPr="00CB6405">
        <w:rPr>
          <w:rFonts w:ascii="Arial" w:hAnsi="Arial" w:cs="Arial"/>
          <w:b/>
          <w:sz w:val="26"/>
          <w:szCs w:val="26"/>
        </w:rPr>
        <w:t>/2017</w:t>
      </w:r>
    </w:p>
    <w:p w:rsidR="009A0B72" w:rsidRPr="00CB6405" w:rsidRDefault="009A0B72" w:rsidP="009A0B72">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EC1C8B">
        <w:rPr>
          <w:rFonts w:ascii="Arial" w:hAnsi="Arial" w:cs="Arial"/>
          <w:b/>
          <w:sz w:val="26"/>
          <w:szCs w:val="26"/>
        </w:rPr>
        <w:t>58</w:t>
      </w:r>
      <w:r>
        <w:rPr>
          <w:rFonts w:ascii="Arial" w:hAnsi="Arial" w:cs="Arial"/>
          <w:b/>
          <w:sz w:val="26"/>
          <w:szCs w:val="26"/>
        </w:rPr>
        <w:t>/</w:t>
      </w:r>
      <w:r w:rsidRPr="00CB6405">
        <w:rPr>
          <w:rFonts w:ascii="Arial" w:hAnsi="Arial" w:cs="Arial"/>
          <w:b/>
          <w:sz w:val="26"/>
          <w:szCs w:val="26"/>
        </w:rPr>
        <w:t>201</w:t>
      </w:r>
      <w:r w:rsidR="00EC1C8B">
        <w:rPr>
          <w:rFonts w:ascii="Arial" w:hAnsi="Arial" w:cs="Arial"/>
          <w:b/>
          <w:sz w:val="26"/>
          <w:szCs w:val="26"/>
        </w:rPr>
        <w:t>7</w:t>
      </w:r>
      <w:r w:rsidRPr="00CB6405">
        <w:rPr>
          <w:rFonts w:ascii="Arial" w:hAnsi="Arial" w:cs="Arial"/>
          <w:b/>
          <w:sz w:val="26"/>
          <w:szCs w:val="26"/>
        </w:rPr>
        <w:t xml:space="preserve"> </w:t>
      </w:r>
      <w:r w:rsidR="00EC1C8B">
        <w:rPr>
          <w:rFonts w:ascii="Arial" w:hAnsi="Arial" w:cs="Arial"/>
          <w:b/>
          <w:sz w:val="26"/>
          <w:szCs w:val="26"/>
        </w:rPr>
        <w:t>TERCERA</w:t>
      </w:r>
      <w:r>
        <w:rPr>
          <w:rFonts w:ascii="Arial" w:hAnsi="Arial" w:cs="Arial"/>
          <w:b/>
          <w:sz w:val="26"/>
          <w:szCs w:val="26"/>
        </w:rPr>
        <w:t xml:space="preserve"> </w:t>
      </w:r>
      <w:r w:rsidRPr="00CB6405">
        <w:rPr>
          <w:rFonts w:ascii="Arial" w:hAnsi="Arial" w:cs="Arial"/>
          <w:b/>
          <w:sz w:val="26"/>
          <w:szCs w:val="26"/>
        </w:rPr>
        <w:t>SALA UNITARIA DE PRIMERA INSTANCIA</w:t>
      </w:r>
    </w:p>
    <w:p w:rsidR="009A0B72" w:rsidRDefault="009A0B72" w:rsidP="009A0B72">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9D729A" w:rsidRPr="00CB6405" w:rsidRDefault="009D729A" w:rsidP="009A0B72">
      <w:pPr>
        <w:spacing w:line="240" w:lineRule="auto"/>
        <w:ind w:left="2124"/>
        <w:jc w:val="both"/>
        <w:rPr>
          <w:rFonts w:ascii="Arial" w:hAnsi="Arial" w:cs="Arial"/>
          <w:b/>
          <w:sz w:val="26"/>
          <w:szCs w:val="26"/>
        </w:rPr>
      </w:pPr>
    </w:p>
    <w:p w:rsidR="00547D6A" w:rsidRDefault="009A0B72" w:rsidP="00547D6A">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9C7874">
        <w:rPr>
          <w:rFonts w:ascii="Arial" w:hAnsi="Arial" w:cs="Arial"/>
          <w:b/>
          <w:sz w:val="26"/>
          <w:szCs w:val="26"/>
        </w:rPr>
        <w:t>VEINTI</w:t>
      </w:r>
      <w:r w:rsidR="00A82FB3">
        <w:rPr>
          <w:rFonts w:ascii="Arial" w:hAnsi="Arial" w:cs="Arial"/>
          <w:b/>
          <w:sz w:val="26"/>
          <w:szCs w:val="26"/>
        </w:rPr>
        <w:t>SÉ</w:t>
      </w:r>
      <w:r w:rsidR="009C7874">
        <w:rPr>
          <w:rFonts w:ascii="Arial" w:hAnsi="Arial" w:cs="Arial"/>
          <w:b/>
          <w:sz w:val="26"/>
          <w:szCs w:val="26"/>
        </w:rPr>
        <w:t xml:space="preserve">IS </w:t>
      </w:r>
      <w:r>
        <w:rPr>
          <w:rFonts w:ascii="Arial" w:hAnsi="Arial" w:cs="Arial"/>
          <w:b/>
          <w:sz w:val="26"/>
          <w:szCs w:val="26"/>
        </w:rPr>
        <w:t xml:space="preserve">DE </w:t>
      </w:r>
      <w:r w:rsidR="00C00B66">
        <w:rPr>
          <w:rFonts w:ascii="Arial" w:hAnsi="Arial" w:cs="Arial"/>
          <w:b/>
          <w:sz w:val="26"/>
          <w:szCs w:val="26"/>
        </w:rPr>
        <w:t xml:space="preserve">ABRIL </w:t>
      </w:r>
      <w:r>
        <w:rPr>
          <w:rFonts w:ascii="Arial" w:hAnsi="Arial" w:cs="Arial"/>
          <w:b/>
          <w:sz w:val="26"/>
          <w:szCs w:val="26"/>
        </w:rPr>
        <w:t>DE 2018 DOS MIL DIECIOCHO</w:t>
      </w:r>
      <w:r w:rsidR="00547D6A">
        <w:rPr>
          <w:rFonts w:ascii="Arial" w:hAnsi="Arial" w:cs="Arial"/>
          <w:b/>
          <w:sz w:val="26"/>
          <w:szCs w:val="26"/>
        </w:rPr>
        <w:t>.</w:t>
      </w:r>
    </w:p>
    <w:p w:rsidR="009A0B72" w:rsidRPr="00CB6405" w:rsidRDefault="009A0B72" w:rsidP="00547D6A">
      <w:pPr>
        <w:spacing w:before="240" w:line="360" w:lineRule="auto"/>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EC1C8B">
        <w:rPr>
          <w:rFonts w:ascii="Arial" w:hAnsi="Arial" w:cs="Arial"/>
          <w:b/>
          <w:sz w:val="26"/>
          <w:szCs w:val="26"/>
        </w:rPr>
        <w:t>686</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A8727D">
        <w:rPr>
          <w:rFonts w:ascii="Arial" w:hAnsi="Arial" w:cs="Arial"/>
          <w:b/>
          <w:sz w:val="26"/>
          <w:szCs w:val="26"/>
        </w:rPr>
        <w:t>**********</w:t>
      </w:r>
      <w:r w:rsidR="00537F20" w:rsidRPr="00C00B66">
        <w:rPr>
          <w:rFonts w:ascii="Arial" w:hAnsi="Arial" w:cs="Arial"/>
          <w:sz w:val="26"/>
          <w:szCs w:val="26"/>
        </w:rPr>
        <w:t>,</w:t>
      </w:r>
      <w:r w:rsidR="00537F20">
        <w:rPr>
          <w:rFonts w:ascii="Arial" w:hAnsi="Arial" w:cs="Arial"/>
          <w:b/>
          <w:sz w:val="26"/>
          <w:szCs w:val="26"/>
        </w:rPr>
        <w:t xml:space="preserve"> </w:t>
      </w:r>
      <w:r w:rsidR="00537F20">
        <w:rPr>
          <w:rFonts w:ascii="Arial" w:hAnsi="Arial" w:cs="Arial"/>
          <w:sz w:val="26"/>
          <w:szCs w:val="26"/>
        </w:rPr>
        <w:t xml:space="preserve">en contra de la sentencia de </w:t>
      </w:r>
      <w:r w:rsidR="00EC1C8B">
        <w:rPr>
          <w:rFonts w:ascii="Arial" w:hAnsi="Arial" w:cs="Arial"/>
          <w:sz w:val="26"/>
          <w:szCs w:val="26"/>
        </w:rPr>
        <w:t xml:space="preserve">7 siete de noviembre </w:t>
      </w:r>
      <w:r w:rsidR="00A21993">
        <w:rPr>
          <w:rFonts w:ascii="Arial" w:hAnsi="Arial" w:cs="Arial"/>
          <w:sz w:val="26"/>
          <w:szCs w:val="26"/>
        </w:rPr>
        <w:t>de 2017 dos mil diecisiete</w:t>
      </w:r>
      <w:r w:rsidR="00537F20">
        <w:rPr>
          <w:rFonts w:ascii="Arial" w:hAnsi="Arial" w:cs="Arial"/>
          <w:sz w:val="26"/>
          <w:szCs w:val="26"/>
        </w:rPr>
        <w:t xml:space="preserve">, dictada en el expediente </w:t>
      </w:r>
      <w:r w:rsidR="00537F20">
        <w:rPr>
          <w:rFonts w:ascii="Arial" w:hAnsi="Arial" w:cs="Arial"/>
          <w:b/>
          <w:sz w:val="26"/>
          <w:szCs w:val="26"/>
        </w:rPr>
        <w:t>0</w:t>
      </w:r>
      <w:r w:rsidR="00EC1C8B">
        <w:rPr>
          <w:rFonts w:ascii="Arial" w:hAnsi="Arial" w:cs="Arial"/>
          <w:b/>
          <w:sz w:val="26"/>
          <w:szCs w:val="26"/>
        </w:rPr>
        <w:t>58</w:t>
      </w:r>
      <w:r w:rsidR="00A21993">
        <w:rPr>
          <w:rFonts w:ascii="Arial" w:hAnsi="Arial" w:cs="Arial"/>
          <w:b/>
          <w:sz w:val="26"/>
          <w:szCs w:val="26"/>
        </w:rPr>
        <w:t>/201</w:t>
      </w:r>
      <w:r w:rsidR="00EC1C8B">
        <w:rPr>
          <w:rFonts w:ascii="Arial" w:hAnsi="Arial" w:cs="Arial"/>
          <w:b/>
          <w:sz w:val="26"/>
          <w:szCs w:val="26"/>
        </w:rPr>
        <w:t>7</w:t>
      </w:r>
      <w:r w:rsidR="00537F20" w:rsidRPr="00C00B66">
        <w:rPr>
          <w:rFonts w:ascii="Arial" w:hAnsi="Arial" w:cs="Arial"/>
          <w:sz w:val="26"/>
          <w:szCs w:val="26"/>
        </w:rPr>
        <w:t>,</w:t>
      </w:r>
      <w:r w:rsidR="00537F20">
        <w:rPr>
          <w:rFonts w:ascii="Arial" w:hAnsi="Arial" w:cs="Arial"/>
          <w:sz w:val="26"/>
          <w:szCs w:val="26"/>
        </w:rPr>
        <w:t xml:space="preserve"> </w:t>
      </w:r>
      <w:r w:rsidR="00A21993">
        <w:rPr>
          <w:rFonts w:ascii="Arial" w:hAnsi="Arial" w:cs="Arial"/>
          <w:sz w:val="26"/>
          <w:szCs w:val="26"/>
        </w:rPr>
        <w:t xml:space="preserve">de la </w:t>
      </w:r>
      <w:r w:rsidR="00EC1C8B">
        <w:rPr>
          <w:rFonts w:ascii="Arial" w:hAnsi="Arial" w:cs="Arial"/>
          <w:sz w:val="26"/>
          <w:szCs w:val="26"/>
        </w:rPr>
        <w:t>Tercera</w:t>
      </w:r>
      <w:r w:rsidR="00C00B66">
        <w:rPr>
          <w:rFonts w:ascii="Arial" w:hAnsi="Arial" w:cs="Arial"/>
          <w:sz w:val="26"/>
          <w:szCs w:val="26"/>
        </w:rPr>
        <w:t xml:space="preserve"> </w:t>
      </w:r>
      <w:r w:rsidR="00537F20">
        <w:rPr>
          <w:rFonts w:ascii="Arial" w:hAnsi="Arial" w:cs="Arial"/>
          <w:sz w:val="26"/>
          <w:szCs w:val="26"/>
        </w:rPr>
        <w:t xml:space="preserve">Sala Unitaria de Primera Instancia, relativo al juicio de nulidad promovido por </w:t>
      </w:r>
      <w:r w:rsidR="00A21993">
        <w:rPr>
          <w:rFonts w:ascii="Arial" w:hAnsi="Arial" w:cs="Arial"/>
          <w:sz w:val="26"/>
          <w:szCs w:val="26"/>
        </w:rPr>
        <w:t xml:space="preserve">el </w:t>
      </w:r>
      <w:r w:rsidR="00A21993" w:rsidRPr="00A21993">
        <w:rPr>
          <w:rFonts w:ascii="Arial" w:hAnsi="Arial" w:cs="Arial"/>
          <w:b/>
          <w:sz w:val="26"/>
          <w:szCs w:val="26"/>
        </w:rPr>
        <w:t>RECURRENTE</w:t>
      </w:r>
      <w:r w:rsidR="00537F20">
        <w:rPr>
          <w:rFonts w:ascii="Arial" w:hAnsi="Arial" w:cs="Arial"/>
          <w:b/>
          <w:sz w:val="26"/>
          <w:szCs w:val="26"/>
        </w:rPr>
        <w:t xml:space="preserve"> </w:t>
      </w:r>
      <w:r w:rsidR="00537F20">
        <w:rPr>
          <w:rFonts w:ascii="Arial" w:hAnsi="Arial" w:cs="Arial"/>
          <w:sz w:val="26"/>
          <w:szCs w:val="26"/>
        </w:rPr>
        <w:t xml:space="preserve">en contra del </w:t>
      </w:r>
      <w:r w:rsidR="00EC1C8B" w:rsidRPr="00EC1C8B">
        <w:rPr>
          <w:rFonts w:ascii="Arial" w:hAnsi="Arial" w:cs="Arial"/>
          <w:b/>
          <w:sz w:val="26"/>
          <w:szCs w:val="26"/>
        </w:rPr>
        <w:t>CONSEJO DIRECTIVO DE LA OFICINA DE PENSIONES DEL GOBIERNO DEL ESTADO DE OAXACA</w:t>
      </w:r>
      <w:r w:rsidR="00537F20" w:rsidRPr="00C00B66">
        <w:rPr>
          <w:rFonts w:ascii="Arial" w:hAnsi="Arial" w:cs="Arial"/>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20 veinte de octubre de 2017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9A0B72" w:rsidRPr="00CB6405" w:rsidRDefault="009A0B72" w:rsidP="009A0B72">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37F20" w:rsidRDefault="009A0B72" w:rsidP="009A0B7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EC1C8B">
        <w:rPr>
          <w:rFonts w:ascii="Arial" w:hAnsi="Arial" w:cs="Arial"/>
          <w:sz w:val="26"/>
          <w:szCs w:val="26"/>
        </w:rPr>
        <w:t>7 siete de noviembre de 2017 dos mil diecisiete</w:t>
      </w:r>
      <w:r w:rsidR="00537F20">
        <w:rPr>
          <w:rFonts w:ascii="Arial" w:hAnsi="Arial" w:cs="Arial"/>
          <w:sz w:val="26"/>
          <w:szCs w:val="26"/>
        </w:rPr>
        <w:t>, dictad</w:t>
      </w:r>
      <w:r w:rsidR="002F3390">
        <w:rPr>
          <w:rFonts w:ascii="Arial" w:hAnsi="Arial" w:cs="Arial"/>
          <w:sz w:val="26"/>
          <w:szCs w:val="26"/>
        </w:rPr>
        <w:t>a</w:t>
      </w:r>
      <w:r w:rsidR="00537F20">
        <w:rPr>
          <w:rFonts w:ascii="Arial" w:hAnsi="Arial" w:cs="Arial"/>
          <w:sz w:val="26"/>
          <w:szCs w:val="26"/>
        </w:rPr>
        <w:t xml:space="preserve"> por </w:t>
      </w:r>
      <w:r w:rsidR="00A21993">
        <w:rPr>
          <w:rFonts w:ascii="Arial" w:hAnsi="Arial" w:cs="Arial"/>
          <w:sz w:val="26"/>
          <w:szCs w:val="26"/>
        </w:rPr>
        <w:t xml:space="preserve">la </w:t>
      </w:r>
      <w:r w:rsidR="00EC1C8B">
        <w:rPr>
          <w:rFonts w:ascii="Arial" w:hAnsi="Arial" w:cs="Arial"/>
          <w:sz w:val="26"/>
          <w:szCs w:val="26"/>
        </w:rPr>
        <w:t>Tercera</w:t>
      </w:r>
      <w:r w:rsidR="00C00B66">
        <w:rPr>
          <w:rFonts w:ascii="Arial" w:hAnsi="Arial" w:cs="Arial"/>
          <w:sz w:val="26"/>
          <w:szCs w:val="26"/>
        </w:rPr>
        <w:t xml:space="preserve"> </w:t>
      </w:r>
      <w:r w:rsidR="00A21993">
        <w:rPr>
          <w:rFonts w:ascii="Arial" w:hAnsi="Arial" w:cs="Arial"/>
          <w:sz w:val="26"/>
          <w:szCs w:val="26"/>
        </w:rPr>
        <w:t>Sala Unitaria de Primera Instancia</w:t>
      </w:r>
      <w:r w:rsidR="00537F20">
        <w:rPr>
          <w:rFonts w:ascii="Arial" w:hAnsi="Arial" w:cs="Arial"/>
          <w:sz w:val="26"/>
          <w:szCs w:val="26"/>
        </w:rPr>
        <w:t xml:space="preserve">, </w:t>
      </w:r>
      <w:r w:rsidR="00A8727D">
        <w:rPr>
          <w:rFonts w:ascii="Arial" w:hAnsi="Arial" w:cs="Arial"/>
          <w:b/>
          <w:sz w:val="26"/>
          <w:szCs w:val="26"/>
        </w:rPr>
        <w:t>**********</w:t>
      </w:r>
      <w:r w:rsidR="00537F20" w:rsidRPr="00C00B66">
        <w:rPr>
          <w:rFonts w:ascii="Arial" w:hAnsi="Arial" w:cs="Arial"/>
          <w:sz w:val="26"/>
          <w:szCs w:val="26"/>
        </w:rPr>
        <w:t>,</w:t>
      </w:r>
      <w:r w:rsidR="00537F20" w:rsidRPr="00FA5B98">
        <w:rPr>
          <w:rFonts w:ascii="Arial" w:hAnsi="Arial" w:cs="Arial"/>
          <w:sz w:val="26"/>
          <w:szCs w:val="26"/>
        </w:rPr>
        <w:t xml:space="preserve"> </w:t>
      </w:r>
      <w:r w:rsidR="00537F20">
        <w:rPr>
          <w:rFonts w:ascii="Arial" w:hAnsi="Arial" w:cs="Arial"/>
          <w:sz w:val="26"/>
          <w:szCs w:val="26"/>
        </w:rPr>
        <w:t>interpuso en su contra recurso de revisión.</w:t>
      </w:r>
    </w:p>
    <w:p w:rsidR="00537F20" w:rsidRDefault="00537F20" w:rsidP="00441CDB">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alzada son los siguientes:</w:t>
      </w:r>
    </w:p>
    <w:p w:rsidR="00537F20" w:rsidRPr="009A0B72" w:rsidRDefault="00537F20" w:rsidP="00EC1C8B">
      <w:pPr>
        <w:spacing w:after="0" w:line="360" w:lineRule="auto"/>
        <w:ind w:left="1134" w:right="566"/>
        <w:jc w:val="both"/>
        <w:rPr>
          <w:rFonts w:ascii="Arial" w:eastAsia="Calibri" w:hAnsi="Arial" w:cs="Arial"/>
          <w:bCs/>
          <w:i/>
          <w:color w:val="000000" w:themeColor="text1"/>
          <w:sz w:val="24"/>
          <w:szCs w:val="24"/>
        </w:rPr>
      </w:pPr>
      <w:r w:rsidRPr="009A0B72">
        <w:rPr>
          <w:rFonts w:ascii="Arial" w:eastAsia="Calibri" w:hAnsi="Arial" w:cs="Arial"/>
          <w:bCs/>
          <w:i/>
          <w:color w:val="000000" w:themeColor="text1"/>
          <w:sz w:val="24"/>
          <w:szCs w:val="24"/>
        </w:rPr>
        <w:t>“</w:t>
      </w:r>
      <w:r w:rsidRPr="009A0B72">
        <w:rPr>
          <w:rFonts w:ascii="Arial" w:eastAsia="Calibri" w:hAnsi="Arial" w:cs="Arial"/>
          <w:b/>
          <w:bCs/>
          <w:i/>
          <w:color w:val="000000" w:themeColor="text1"/>
          <w:sz w:val="24"/>
          <w:szCs w:val="24"/>
        </w:rPr>
        <w:t xml:space="preserve">PRIMERO. </w:t>
      </w:r>
      <w:r w:rsidRPr="009A0B72">
        <w:rPr>
          <w:rFonts w:ascii="Arial" w:eastAsia="Calibri" w:hAnsi="Arial" w:cs="Arial"/>
          <w:bCs/>
          <w:i/>
          <w:color w:val="000000" w:themeColor="text1"/>
          <w:sz w:val="24"/>
          <w:szCs w:val="24"/>
        </w:rPr>
        <w:t>Est</w:t>
      </w:r>
      <w:r w:rsidR="00A21993" w:rsidRPr="009A0B72">
        <w:rPr>
          <w:rFonts w:ascii="Arial" w:eastAsia="Calibri" w:hAnsi="Arial" w:cs="Arial"/>
          <w:bCs/>
          <w:i/>
          <w:color w:val="000000" w:themeColor="text1"/>
          <w:sz w:val="24"/>
          <w:szCs w:val="24"/>
        </w:rPr>
        <w:t xml:space="preserve">a </w:t>
      </w:r>
      <w:r w:rsidR="00EC1C8B">
        <w:rPr>
          <w:rFonts w:ascii="Arial" w:eastAsia="Calibri" w:hAnsi="Arial" w:cs="Arial"/>
          <w:bCs/>
          <w:i/>
          <w:color w:val="000000" w:themeColor="text1"/>
          <w:sz w:val="24"/>
          <w:szCs w:val="24"/>
        </w:rPr>
        <w:t>Tercera</w:t>
      </w:r>
      <w:r w:rsidR="00C00B66">
        <w:rPr>
          <w:rFonts w:ascii="Arial" w:eastAsia="Calibri" w:hAnsi="Arial" w:cs="Arial"/>
          <w:bCs/>
          <w:i/>
          <w:color w:val="000000" w:themeColor="text1"/>
          <w:sz w:val="24"/>
          <w:szCs w:val="24"/>
        </w:rPr>
        <w:t xml:space="preserve"> </w:t>
      </w:r>
      <w:r w:rsidR="00A21993" w:rsidRPr="009A0B72">
        <w:rPr>
          <w:rFonts w:ascii="Arial" w:eastAsia="Calibri" w:hAnsi="Arial" w:cs="Arial"/>
          <w:bCs/>
          <w:i/>
          <w:color w:val="000000" w:themeColor="text1"/>
          <w:sz w:val="24"/>
          <w:szCs w:val="24"/>
        </w:rPr>
        <w:t xml:space="preserve">Sala Unitaria </w:t>
      </w:r>
      <w:r w:rsidR="00EC1C8B">
        <w:rPr>
          <w:rFonts w:ascii="Arial" w:eastAsia="Calibri" w:hAnsi="Arial" w:cs="Arial"/>
          <w:bCs/>
          <w:i/>
          <w:color w:val="000000" w:themeColor="text1"/>
          <w:sz w:val="24"/>
          <w:szCs w:val="24"/>
        </w:rPr>
        <w:t xml:space="preserve">de Primera Instancia del Tribunal de lo Contencioso Administrativo y de Cuentas del Poder Judicial del Estado, fue </w:t>
      </w:r>
      <w:r w:rsidR="00A21993" w:rsidRPr="009A0B72">
        <w:rPr>
          <w:rFonts w:ascii="Arial" w:eastAsia="Calibri" w:hAnsi="Arial" w:cs="Arial"/>
          <w:bCs/>
          <w:i/>
          <w:color w:val="000000" w:themeColor="text1"/>
          <w:sz w:val="24"/>
          <w:szCs w:val="24"/>
        </w:rPr>
        <w:t>competente para conocer y resolver del presente asunto.- - - - - - - - -</w:t>
      </w:r>
      <w:r w:rsidRPr="009A0B72">
        <w:rPr>
          <w:rFonts w:ascii="Arial" w:eastAsia="Calibri" w:hAnsi="Arial" w:cs="Arial"/>
          <w:bCs/>
          <w:i/>
          <w:color w:val="000000" w:themeColor="text1"/>
          <w:sz w:val="24"/>
          <w:szCs w:val="24"/>
        </w:rPr>
        <w:t xml:space="preserve"> - - - - - - - </w:t>
      </w:r>
      <w:r w:rsidR="00EC1C8B">
        <w:rPr>
          <w:rFonts w:ascii="Arial" w:eastAsia="Calibri" w:hAnsi="Arial" w:cs="Arial"/>
          <w:bCs/>
          <w:i/>
          <w:color w:val="000000" w:themeColor="text1"/>
          <w:sz w:val="24"/>
          <w:szCs w:val="24"/>
        </w:rPr>
        <w:t>- - - - - - -</w:t>
      </w:r>
      <w:r w:rsidR="00C65E78">
        <w:rPr>
          <w:rFonts w:ascii="Arial" w:eastAsia="Calibri" w:hAnsi="Arial" w:cs="Arial"/>
          <w:bCs/>
          <w:i/>
          <w:color w:val="000000" w:themeColor="text1"/>
          <w:sz w:val="24"/>
          <w:szCs w:val="24"/>
        </w:rPr>
        <w:t xml:space="preserve"> - - - - - - -</w:t>
      </w:r>
      <w:r w:rsidR="00EC1C8B">
        <w:rPr>
          <w:rFonts w:ascii="Arial" w:eastAsia="Calibri" w:hAnsi="Arial" w:cs="Arial"/>
          <w:bCs/>
          <w:i/>
          <w:color w:val="000000" w:themeColor="text1"/>
          <w:sz w:val="24"/>
          <w:szCs w:val="24"/>
        </w:rPr>
        <w:t xml:space="preserve"> - </w:t>
      </w:r>
      <w:r w:rsidRPr="009A0B72">
        <w:rPr>
          <w:rFonts w:ascii="Arial" w:eastAsia="Calibri" w:hAnsi="Arial" w:cs="Arial"/>
          <w:b/>
          <w:bCs/>
          <w:i/>
          <w:color w:val="000000" w:themeColor="text1"/>
          <w:sz w:val="24"/>
          <w:szCs w:val="24"/>
        </w:rPr>
        <w:t xml:space="preserve">SEGUNDO. </w:t>
      </w:r>
      <w:r w:rsidRPr="009A0B72">
        <w:rPr>
          <w:rFonts w:ascii="Arial" w:eastAsia="Calibri" w:hAnsi="Arial" w:cs="Arial"/>
          <w:bCs/>
          <w:i/>
          <w:color w:val="000000" w:themeColor="text1"/>
          <w:sz w:val="24"/>
          <w:szCs w:val="24"/>
        </w:rPr>
        <w:t>La personalidad de las partes</w:t>
      </w:r>
      <w:r w:rsidR="00801667" w:rsidRPr="009A0B72">
        <w:rPr>
          <w:rFonts w:ascii="Arial" w:eastAsia="Calibri" w:hAnsi="Arial" w:cs="Arial"/>
          <w:bCs/>
          <w:i/>
          <w:color w:val="000000" w:themeColor="text1"/>
          <w:sz w:val="24"/>
          <w:szCs w:val="24"/>
        </w:rPr>
        <w:t>,</w:t>
      </w:r>
      <w:r w:rsidRPr="009A0B72">
        <w:rPr>
          <w:rFonts w:ascii="Arial" w:eastAsia="Calibri" w:hAnsi="Arial" w:cs="Arial"/>
          <w:bCs/>
          <w:i/>
          <w:color w:val="000000" w:themeColor="text1"/>
          <w:sz w:val="24"/>
          <w:szCs w:val="24"/>
        </w:rPr>
        <w:t xml:space="preserve"> quedó acreditada en autos. - - - - - - - - - - - - - - - - - - - - - - - - - - </w:t>
      </w:r>
      <w:r w:rsidR="00801667" w:rsidRPr="009A0B72">
        <w:rPr>
          <w:rFonts w:ascii="Arial" w:eastAsia="Calibri" w:hAnsi="Arial" w:cs="Arial"/>
          <w:bCs/>
          <w:i/>
          <w:color w:val="000000" w:themeColor="text1"/>
          <w:sz w:val="24"/>
          <w:szCs w:val="24"/>
        </w:rPr>
        <w:t xml:space="preserve"> </w:t>
      </w:r>
      <w:r w:rsidRPr="009A0B72">
        <w:rPr>
          <w:rFonts w:ascii="Arial" w:eastAsia="Calibri" w:hAnsi="Arial" w:cs="Arial"/>
          <w:b/>
          <w:bCs/>
          <w:i/>
          <w:color w:val="000000" w:themeColor="text1"/>
          <w:sz w:val="24"/>
          <w:szCs w:val="24"/>
        </w:rPr>
        <w:lastRenderedPageBreak/>
        <w:t>TERCERO.</w:t>
      </w:r>
      <w:r w:rsidR="00C00B66">
        <w:rPr>
          <w:rFonts w:ascii="Arial" w:eastAsia="Calibri" w:hAnsi="Arial" w:cs="Arial"/>
          <w:b/>
          <w:bCs/>
          <w:i/>
          <w:color w:val="000000" w:themeColor="text1"/>
          <w:sz w:val="24"/>
          <w:szCs w:val="24"/>
        </w:rPr>
        <w:t xml:space="preserve"> </w:t>
      </w:r>
      <w:r w:rsidR="00EC1C8B" w:rsidRPr="00EC1C8B">
        <w:rPr>
          <w:rFonts w:ascii="Arial" w:eastAsia="Calibri" w:hAnsi="Arial" w:cs="Arial"/>
          <w:bCs/>
          <w:i/>
          <w:color w:val="000000" w:themeColor="text1"/>
          <w:sz w:val="24"/>
          <w:szCs w:val="24"/>
        </w:rPr>
        <w:t>Se declara</w:t>
      </w:r>
      <w:r w:rsidR="00EC1C8B" w:rsidRPr="00C00B66">
        <w:rPr>
          <w:rFonts w:ascii="Arial" w:eastAsia="Calibri" w:hAnsi="Arial" w:cs="Arial"/>
          <w:b/>
          <w:bCs/>
          <w:i/>
          <w:color w:val="000000" w:themeColor="text1"/>
          <w:sz w:val="24"/>
          <w:szCs w:val="24"/>
        </w:rPr>
        <w:t xml:space="preserve"> </w:t>
      </w:r>
      <w:r w:rsidR="00C00B66" w:rsidRPr="00C00B66">
        <w:rPr>
          <w:rFonts w:ascii="Arial" w:eastAsia="Calibri" w:hAnsi="Arial" w:cs="Arial"/>
          <w:b/>
          <w:bCs/>
          <w:i/>
          <w:color w:val="000000" w:themeColor="text1"/>
          <w:sz w:val="24"/>
          <w:szCs w:val="24"/>
        </w:rPr>
        <w:t>LA</w:t>
      </w:r>
      <w:r w:rsidR="00C00B66" w:rsidRPr="009A0B72">
        <w:rPr>
          <w:rFonts w:ascii="Arial" w:eastAsia="Calibri" w:hAnsi="Arial" w:cs="Arial"/>
          <w:bCs/>
          <w:i/>
          <w:color w:val="000000" w:themeColor="text1"/>
          <w:sz w:val="24"/>
          <w:szCs w:val="24"/>
        </w:rPr>
        <w:t xml:space="preserve"> </w:t>
      </w:r>
      <w:r w:rsidRPr="009A0B72">
        <w:rPr>
          <w:rFonts w:ascii="Arial" w:eastAsia="Calibri" w:hAnsi="Arial" w:cs="Arial"/>
          <w:b/>
          <w:bCs/>
          <w:i/>
          <w:color w:val="000000" w:themeColor="text1"/>
          <w:sz w:val="24"/>
          <w:szCs w:val="24"/>
        </w:rPr>
        <w:t xml:space="preserve">NULIDAD </w:t>
      </w:r>
      <w:r w:rsidRPr="009A0B72">
        <w:rPr>
          <w:rFonts w:ascii="Arial" w:eastAsia="Calibri" w:hAnsi="Arial" w:cs="Arial"/>
          <w:bCs/>
          <w:i/>
          <w:color w:val="000000" w:themeColor="text1"/>
          <w:sz w:val="24"/>
          <w:szCs w:val="24"/>
        </w:rPr>
        <w:t xml:space="preserve">de la resolución </w:t>
      </w:r>
      <w:r w:rsidR="00EC1C8B">
        <w:rPr>
          <w:rFonts w:ascii="Arial" w:eastAsia="Calibri" w:hAnsi="Arial" w:cs="Arial"/>
          <w:bCs/>
          <w:i/>
          <w:color w:val="000000" w:themeColor="text1"/>
          <w:sz w:val="24"/>
          <w:szCs w:val="24"/>
        </w:rPr>
        <w:t xml:space="preserve">contenida en el oficio OP/DG/630/2017 de 1 uno de marzo de 2017 dos mil diecisiete, </w:t>
      </w:r>
      <w:r w:rsidR="00EC1C8B">
        <w:rPr>
          <w:rFonts w:ascii="Arial" w:eastAsia="Calibri" w:hAnsi="Arial" w:cs="Arial"/>
          <w:b/>
          <w:bCs/>
          <w:i/>
          <w:color w:val="000000" w:themeColor="text1"/>
          <w:sz w:val="24"/>
          <w:szCs w:val="24"/>
        </w:rPr>
        <w:t xml:space="preserve">PARA EFECTO </w:t>
      </w:r>
      <w:r w:rsidR="00EC1C8B">
        <w:rPr>
          <w:rFonts w:ascii="Arial" w:eastAsia="Calibri" w:hAnsi="Arial" w:cs="Arial"/>
          <w:bCs/>
          <w:i/>
          <w:color w:val="000000" w:themeColor="text1"/>
          <w:sz w:val="24"/>
          <w:szCs w:val="24"/>
        </w:rPr>
        <w:t>de que el CONSEJO DIRECTIVO DE PENSIONES DEL GOBIERNO DEL ESTADO DE OAXACA, dicte otra, en la que otorgue a la accionante la pensión por jubilación con las mismas prestaciones que percibe un trabajador jubilado de base, en términos del artículo 54 de la Ley de Pensiones para los Trabajadores del Gobierno del Estado, sin la aplicación del descuento a que se refieren los artículos 6, fracción III, 18 párrafo segundo y octavo transitorio de la ley relativa, por haber sido declarados inconvencionales e inconstitucionales en los términos apuntados, en la última parte del considerando de la presente</w:t>
      </w:r>
      <w:r w:rsidR="008227DA" w:rsidRPr="009A0B72">
        <w:rPr>
          <w:rFonts w:ascii="Arial" w:eastAsia="Calibri" w:hAnsi="Arial" w:cs="Arial"/>
          <w:bCs/>
          <w:i/>
          <w:color w:val="000000" w:themeColor="text1"/>
          <w:sz w:val="24"/>
          <w:szCs w:val="24"/>
        </w:rPr>
        <w:t>.</w:t>
      </w:r>
      <w:r w:rsidRPr="009A0B72">
        <w:rPr>
          <w:rFonts w:ascii="Arial" w:eastAsia="Calibri" w:hAnsi="Arial" w:cs="Arial"/>
          <w:bCs/>
          <w:i/>
          <w:color w:val="000000" w:themeColor="text1"/>
          <w:sz w:val="24"/>
          <w:szCs w:val="24"/>
        </w:rPr>
        <w:t xml:space="preserve"> </w:t>
      </w:r>
      <w:r w:rsidR="00EC1C8B">
        <w:rPr>
          <w:rFonts w:ascii="Arial" w:eastAsia="Calibri" w:hAnsi="Arial" w:cs="Arial"/>
          <w:b/>
          <w:bCs/>
          <w:i/>
          <w:color w:val="000000" w:themeColor="text1"/>
          <w:sz w:val="24"/>
          <w:szCs w:val="24"/>
        </w:rPr>
        <w:t>CUARTO</w:t>
      </w:r>
      <w:r w:rsidRPr="009A0B72">
        <w:rPr>
          <w:rFonts w:ascii="Arial" w:eastAsia="Calibri" w:hAnsi="Arial" w:cs="Arial"/>
          <w:b/>
          <w:bCs/>
          <w:i/>
          <w:color w:val="000000" w:themeColor="text1"/>
          <w:sz w:val="24"/>
          <w:szCs w:val="24"/>
        </w:rPr>
        <w:t xml:space="preserve">. </w:t>
      </w:r>
      <w:r w:rsidR="00EC1C8B">
        <w:rPr>
          <w:rFonts w:ascii="Arial" w:eastAsia="Calibri" w:hAnsi="Arial" w:cs="Arial"/>
          <w:bCs/>
          <w:i/>
          <w:color w:val="000000" w:themeColor="text1"/>
          <w:sz w:val="24"/>
          <w:szCs w:val="24"/>
        </w:rPr>
        <w:t>C</w:t>
      </w:r>
      <w:r w:rsidR="001231C2">
        <w:rPr>
          <w:rFonts w:ascii="Arial" w:eastAsia="Calibri" w:hAnsi="Arial" w:cs="Arial"/>
          <w:bCs/>
          <w:i/>
          <w:color w:val="000000" w:themeColor="text1"/>
          <w:sz w:val="24"/>
          <w:szCs w:val="24"/>
        </w:rPr>
        <w:t>onform</w:t>
      </w:r>
      <w:r w:rsidR="00EC1C8B">
        <w:rPr>
          <w:rFonts w:ascii="Arial" w:eastAsia="Calibri" w:hAnsi="Arial" w:cs="Arial"/>
          <w:bCs/>
          <w:i/>
          <w:color w:val="000000" w:themeColor="text1"/>
          <w:sz w:val="24"/>
          <w:szCs w:val="24"/>
        </w:rPr>
        <w:t>e a</w:t>
      </w:r>
      <w:r w:rsidR="001231C2">
        <w:rPr>
          <w:rFonts w:ascii="Arial" w:eastAsia="Calibri" w:hAnsi="Arial" w:cs="Arial"/>
          <w:bCs/>
          <w:i/>
          <w:color w:val="000000" w:themeColor="text1"/>
          <w:sz w:val="24"/>
          <w:szCs w:val="24"/>
        </w:rPr>
        <w:t xml:space="preserve"> lo dispuesto en </w:t>
      </w:r>
      <w:r w:rsidR="00EC1C8B">
        <w:rPr>
          <w:rFonts w:ascii="Arial" w:eastAsia="Calibri" w:hAnsi="Arial" w:cs="Arial"/>
          <w:bCs/>
          <w:i/>
          <w:color w:val="000000" w:themeColor="text1"/>
          <w:sz w:val="24"/>
          <w:szCs w:val="24"/>
        </w:rPr>
        <w:t xml:space="preserve">los </w:t>
      </w:r>
      <w:r w:rsidR="001231C2">
        <w:rPr>
          <w:rFonts w:ascii="Arial" w:eastAsia="Calibri" w:hAnsi="Arial" w:cs="Arial"/>
          <w:bCs/>
          <w:i/>
          <w:color w:val="000000" w:themeColor="text1"/>
          <w:sz w:val="24"/>
          <w:szCs w:val="24"/>
        </w:rPr>
        <w:t>artículo</w:t>
      </w:r>
      <w:r w:rsidR="00EC1C8B">
        <w:rPr>
          <w:rFonts w:ascii="Arial" w:eastAsia="Calibri" w:hAnsi="Arial" w:cs="Arial"/>
          <w:bCs/>
          <w:i/>
          <w:color w:val="000000" w:themeColor="text1"/>
          <w:sz w:val="24"/>
          <w:szCs w:val="24"/>
        </w:rPr>
        <w:t>s</w:t>
      </w:r>
      <w:r w:rsidR="001231C2">
        <w:rPr>
          <w:rFonts w:ascii="Arial" w:eastAsia="Calibri" w:hAnsi="Arial" w:cs="Arial"/>
          <w:bCs/>
          <w:i/>
          <w:color w:val="000000" w:themeColor="text1"/>
          <w:sz w:val="24"/>
          <w:szCs w:val="24"/>
        </w:rPr>
        <w:t xml:space="preserve"> 142</w:t>
      </w:r>
      <w:r w:rsidR="00EC1C8B">
        <w:rPr>
          <w:rFonts w:ascii="Arial" w:eastAsia="Calibri" w:hAnsi="Arial" w:cs="Arial"/>
          <w:bCs/>
          <w:i/>
          <w:color w:val="000000" w:themeColor="text1"/>
          <w:sz w:val="24"/>
          <w:szCs w:val="24"/>
        </w:rPr>
        <w:t xml:space="preserve">, fracción I, </w:t>
      </w:r>
      <w:r w:rsidR="001231C2">
        <w:rPr>
          <w:rFonts w:ascii="Arial" w:eastAsia="Calibri" w:hAnsi="Arial" w:cs="Arial"/>
          <w:bCs/>
          <w:i/>
          <w:color w:val="000000" w:themeColor="text1"/>
          <w:sz w:val="24"/>
          <w:szCs w:val="24"/>
        </w:rPr>
        <w:t>y 143</w:t>
      </w:r>
      <w:r w:rsidR="00EC1C8B">
        <w:rPr>
          <w:rFonts w:ascii="Arial" w:eastAsia="Calibri" w:hAnsi="Arial" w:cs="Arial"/>
          <w:bCs/>
          <w:i/>
          <w:color w:val="000000" w:themeColor="text1"/>
          <w:sz w:val="24"/>
          <w:szCs w:val="24"/>
        </w:rPr>
        <w:t>,</w:t>
      </w:r>
      <w:r w:rsidR="001231C2">
        <w:rPr>
          <w:rFonts w:ascii="Arial" w:eastAsia="Calibri" w:hAnsi="Arial" w:cs="Arial"/>
          <w:bCs/>
          <w:i/>
          <w:color w:val="000000" w:themeColor="text1"/>
          <w:sz w:val="24"/>
          <w:szCs w:val="24"/>
        </w:rPr>
        <w:t xml:space="preserve"> fracciones I y II, de la Ley de Justicia Administrativa para el Estado</w:t>
      </w:r>
      <w:r w:rsidR="00EC1C8B">
        <w:rPr>
          <w:rFonts w:ascii="Arial" w:eastAsia="Calibri" w:hAnsi="Arial" w:cs="Arial"/>
          <w:bCs/>
          <w:i/>
          <w:color w:val="000000" w:themeColor="text1"/>
          <w:sz w:val="24"/>
          <w:szCs w:val="24"/>
        </w:rPr>
        <w:t xml:space="preserve">, </w:t>
      </w:r>
      <w:r w:rsidR="00EC1C8B" w:rsidRPr="009A0B72">
        <w:rPr>
          <w:rFonts w:ascii="Arial" w:eastAsia="Calibri" w:hAnsi="Arial" w:cs="Arial"/>
          <w:b/>
          <w:bCs/>
          <w:i/>
          <w:color w:val="000000" w:themeColor="text1"/>
          <w:sz w:val="24"/>
          <w:szCs w:val="24"/>
        </w:rPr>
        <w:t>NOTIFÍQUESE PERSONALMENTE A LA PARTE ACTORA</w:t>
      </w:r>
      <w:r w:rsidR="00EC1C8B">
        <w:rPr>
          <w:rFonts w:ascii="Arial" w:eastAsia="Calibri" w:hAnsi="Arial" w:cs="Arial"/>
          <w:b/>
          <w:bCs/>
          <w:i/>
          <w:color w:val="000000" w:themeColor="text1"/>
          <w:sz w:val="24"/>
          <w:szCs w:val="24"/>
        </w:rPr>
        <w:t xml:space="preserve"> Y</w:t>
      </w:r>
      <w:r w:rsidR="00EC1C8B" w:rsidRPr="009A0B72">
        <w:rPr>
          <w:rFonts w:ascii="Arial" w:eastAsia="Calibri" w:hAnsi="Arial" w:cs="Arial"/>
          <w:b/>
          <w:bCs/>
          <w:i/>
          <w:color w:val="000000" w:themeColor="text1"/>
          <w:sz w:val="24"/>
          <w:szCs w:val="24"/>
        </w:rPr>
        <w:t xml:space="preserve"> POR OFICIO A LA</w:t>
      </w:r>
      <w:r w:rsidR="00EC1C8B">
        <w:rPr>
          <w:rFonts w:ascii="Arial" w:eastAsia="Calibri" w:hAnsi="Arial" w:cs="Arial"/>
          <w:b/>
          <w:bCs/>
          <w:i/>
          <w:color w:val="000000" w:themeColor="text1"/>
          <w:sz w:val="24"/>
          <w:szCs w:val="24"/>
        </w:rPr>
        <w:t>S</w:t>
      </w:r>
      <w:r w:rsidR="00EC1C8B" w:rsidRPr="009A0B72">
        <w:rPr>
          <w:rFonts w:ascii="Arial" w:eastAsia="Calibri" w:hAnsi="Arial" w:cs="Arial"/>
          <w:b/>
          <w:bCs/>
          <w:i/>
          <w:color w:val="000000" w:themeColor="text1"/>
          <w:sz w:val="24"/>
          <w:szCs w:val="24"/>
        </w:rPr>
        <w:t xml:space="preserve"> AUTORIDAD</w:t>
      </w:r>
      <w:r w:rsidR="00EC1C8B">
        <w:rPr>
          <w:rFonts w:ascii="Arial" w:eastAsia="Calibri" w:hAnsi="Arial" w:cs="Arial"/>
          <w:b/>
          <w:bCs/>
          <w:i/>
          <w:color w:val="000000" w:themeColor="text1"/>
          <w:sz w:val="24"/>
          <w:szCs w:val="24"/>
        </w:rPr>
        <w:t>ES</w:t>
      </w:r>
      <w:r w:rsidR="00EC1C8B" w:rsidRPr="009A0B72">
        <w:rPr>
          <w:rFonts w:ascii="Arial" w:eastAsia="Calibri" w:hAnsi="Arial" w:cs="Arial"/>
          <w:b/>
          <w:bCs/>
          <w:i/>
          <w:color w:val="000000" w:themeColor="text1"/>
          <w:sz w:val="24"/>
          <w:szCs w:val="24"/>
        </w:rPr>
        <w:t xml:space="preserve"> DEMANDADA</w:t>
      </w:r>
      <w:r w:rsidR="00EC1C8B">
        <w:rPr>
          <w:rFonts w:ascii="Arial" w:eastAsia="Calibri" w:hAnsi="Arial" w:cs="Arial"/>
          <w:b/>
          <w:bCs/>
          <w:i/>
          <w:color w:val="000000" w:themeColor="text1"/>
          <w:sz w:val="24"/>
          <w:szCs w:val="24"/>
        </w:rPr>
        <w:t>S</w:t>
      </w:r>
      <w:r w:rsidR="001231C2">
        <w:rPr>
          <w:rFonts w:ascii="Arial" w:eastAsia="Calibri" w:hAnsi="Arial" w:cs="Arial"/>
          <w:bCs/>
          <w:i/>
          <w:color w:val="000000" w:themeColor="text1"/>
          <w:sz w:val="24"/>
          <w:szCs w:val="24"/>
        </w:rPr>
        <w:t xml:space="preserve">. </w:t>
      </w:r>
      <w:r w:rsidR="001231C2">
        <w:rPr>
          <w:rFonts w:ascii="Arial" w:eastAsia="Calibri" w:hAnsi="Arial" w:cs="Arial"/>
          <w:b/>
          <w:bCs/>
          <w:i/>
          <w:color w:val="000000" w:themeColor="text1"/>
          <w:sz w:val="24"/>
          <w:szCs w:val="24"/>
        </w:rPr>
        <w:t>CÚMPLASE</w:t>
      </w:r>
      <w:r w:rsidR="001231C2" w:rsidRPr="001231C2">
        <w:rPr>
          <w:rFonts w:ascii="Arial" w:eastAsia="Calibri" w:hAnsi="Arial" w:cs="Arial"/>
          <w:bCs/>
          <w:i/>
          <w:color w:val="000000" w:themeColor="text1"/>
          <w:sz w:val="24"/>
          <w:szCs w:val="24"/>
        </w:rPr>
        <w:t>.</w:t>
      </w:r>
      <w:r w:rsidRPr="009A0B72">
        <w:rPr>
          <w:rFonts w:ascii="Arial" w:eastAsia="Calibri" w:hAnsi="Arial" w:cs="Arial"/>
          <w:bCs/>
          <w:i/>
          <w:color w:val="000000" w:themeColor="text1"/>
          <w:sz w:val="24"/>
          <w:szCs w:val="24"/>
        </w:rPr>
        <w:t xml:space="preserve"> - - - -</w:t>
      </w:r>
      <w:r w:rsidR="00320DF4" w:rsidRPr="009A0B72">
        <w:rPr>
          <w:rFonts w:ascii="Arial" w:eastAsia="Calibri" w:hAnsi="Arial" w:cs="Arial"/>
          <w:bCs/>
          <w:i/>
          <w:color w:val="000000" w:themeColor="text1"/>
          <w:sz w:val="24"/>
          <w:szCs w:val="24"/>
        </w:rPr>
        <w:t>”</w:t>
      </w:r>
    </w:p>
    <w:p w:rsidR="00537F20" w:rsidRPr="00126E20" w:rsidRDefault="00537F20" w:rsidP="00320DF4">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537F20" w:rsidRPr="002F3390" w:rsidRDefault="009A0B72" w:rsidP="009D729A">
      <w:pPr>
        <w:spacing w:after="0" w:line="360" w:lineRule="auto"/>
        <w:ind w:firstLine="708"/>
        <w:jc w:val="both"/>
        <w:rPr>
          <w:rFonts w:ascii="Arial" w:hAnsi="Arial" w:cs="Arial"/>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w:t>
      </w:r>
      <w:r w:rsidR="003A165D">
        <w:rPr>
          <w:rFonts w:ascii="Arial" w:hAnsi="Arial" w:cs="Arial"/>
          <w:bCs/>
          <w:iCs/>
          <w:sz w:val="26"/>
          <w:szCs w:val="26"/>
        </w:rPr>
        <w:t>1</w:t>
      </w:r>
      <w:r>
        <w:rPr>
          <w:rFonts w:ascii="Arial" w:hAnsi="Arial" w:cs="Arial"/>
          <w:bCs/>
          <w:iCs/>
          <w:sz w:val="26"/>
          <w:szCs w:val="26"/>
        </w:rPr>
        <w:t xml:space="preserve">14 </w:t>
      </w:r>
      <w:proofErr w:type="spellStart"/>
      <w:r>
        <w:rPr>
          <w:rFonts w:ascii="Arial" w:hAnsi="Arial" w:cs="Arial"/>
          <w:bCs/>
          <w:iCs/>
          <w:sz w:val="26"/>
          <w:szCs w:val="26"/>
        </w:rPr>
        <w:t>Quáter</w:t>
      </w:r>
      <w:proofErr w:type="spellEnd"/>
      <w:r w:rsidR="009D729A">
        <w:rPr>
          <w:rFonts w:ascii="Arial" w:hAnsi="Arial" w:cs="Arial"/>
          <w:bCs/>
          <w:iCs/>
          <w:sz w:val="26"/>
          <w:szCs w:val="26"/>
        </w:rPr>
        <w:t>, Párrafo Tercero</w:t>
      </w:r>
      <w:r>
        <w:rPr>
          <w:rFonts w:ascii="Arial" w:hAnsi="Arial" w:cs="Arial"/>
          <w:bCs/>
          <w:iCs/>
          <w:sz w:val="26"/>
          <w:szCs w:val="26"/>
        </w:rPr>
        <w:t xml:space="preserve"> de la Constitución Política del Es</w:t>
      </w:r>
      <w:r w:rsidR="009D729A">
        <w:rPr>
          <w:rFonts w:ascii="Arial" w:hAnsi="Arial" w:cs="Arial"/>
          <w:bCs/>
          <w:iCs/>
          <w:sz w:val="26"/>
          <w:szCs w:val="26"/>
        </w:rPr>
        <w:t>tado Libre y Soberano de Oaxaca, Cuarto y Décimo Transitorio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20 veinte de octubre de 2017 dos mil diecisiete,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sentencia de</w:t>
      </w:r>
      <w:r w:rsidR="00537F20">
        <w:rPr>
          <w:rFonts w:ascii="Arial" w:hAnsi="Arial" w:cs="Arial"/>
          <w:bCs/>
          <w:iCs/>
          <w:sz w:val="26"/>
          <w:szCs w:val="26"/>
        </w:rPr>
        <w:t xml:space="preserve"> </w:t>
      </w:r>
      <w:r w:rsidR="00F131C0">
        <w:rPr>
          <w:rFonts w:ascii="Arial" w:hAnsi="Arial" w:cs="Arial"/>
          <w:bCs/>
          <w:iCs/>
          <w:sz w:val="26"/>
          <w:szCs w:val="26"/>
        </w:rPr>
        <w:t xml:space="preserve">7 siete de noviembre </w:t>
      </w:r>
      <w:r w:rsidR="00320DF4">
        <w:rPr>
          <w:rFonts w:ascii="Arial" w:hAnsi="Arial" w:cs="Arial"/>
          <w:bCs/>
          <w:iCs/>
          <w:sz w:val="26"/>
          <w:szCs w:val="26"/>
        </w:rPr>
        <w:t>de 2017 dos mil diecisiete</w:t>
      </w:r>
      <w:r w:rsidR="00537F20">
        <w:rPr>
          <w:rFonts w:ascii="Arial" w:hAnsi="Arial" w:cs="Arial"/>
          <w:bCs/>
          <w:iCs/>
          <w:sz w:val="26"/>
          <w:szCs w:val="26"/>
        </w:rPr>
        <w:t xml:space="preserve">, en el expediente </w:t>
      </w:r>
      <w:r w:rsidR="00F131C0">
        <w:rPr>
          <w:rFonts w:ascii="Arial" w:hAnsi="Arial" w:cs="Arial"/>
          <w:b/>
          <w:bCs/>
          <w:iCs/>
          <w:sz w:val="26"/>
          <w:szCs w:val="26"/>
        </w:rPr>
        <w:t>58/2017</w:t>
      </w:r>
      <w:r w:rsidR="00320DF4" w:rsidRPr="001231C2">
        <w:rPr>
          <w:rFonts w:ascii="Arial" w:hAnsi="Arial" w:cs="Arial"/>
          <w:bCs/>
          <w:iCs/>
          <w:sz w:val="26"/>
          <w:szCs w:val="26"/>
        </w:rPr>
        <w:t>,</w:t>
      </w:r>
      <w:r w:rsidR="00320DF4">
        <w:rPr>
          <w:rFonts w:ascii="Arial" w:hAnsi="Arial" w:cs="Arial"/>
          <w:b/>
          <w:bCs/>
          <w:iCs/>
          <w:sz w:val="26"/>
          <w:szCs w:val="26"/>
        </w:rPr>
        <w:t xml:space="preserve"> </w:t>
      </w:r>
      <w:r w:rsidR="002F3390">
        <w:rPr>
          <w:rFonts w:ascii="Arial" w:hAnsi="Arial" w:cs="Arial"/>
          <w:bCs/>
          <w:iCs/>
          <w:sz w:val="26"/>
          <w:szCs w:val="26"/>
        </w:rPr>
        <w:t xml:space="preserve">de la </w:t>
      </w:r>
      <w:r w:rsidR="00F131C0">
        <w:rPr>
          <w:rFonts w:ascii="Arial" w:hAnsi="Arial" w:cs="Arial"/>
          <w:bCs/>
          <w:iCs/>
          <w:sz w:val="26"/>
          <w:szCs w:val="26"/>
        </w:rPr>
        <w:t>Tercera</w:t>
      </w:r>
      <w:r w:rsidR="001231C2">
        <w:rPr>
          <w:rFonts w:ascii="Arial" w:hAnsi="Arial" w:cs="Arial"/>
          <w:bCs/>
          <w:iCs/>
          <w:sz w:val="26"/>
          <w:szCs w:val="26"/>
        </w:rPr>
        <w:t xml:space="preserve"> </w:t>
      </w:r>
      <w:r w:rsidR="002F3390">
        <w:rPr>
          <w:rFonts w:ascii="Arial" w:hAnsi="Arial" w:cs="Arial"/>
          <w:bCs/>
          <w:iCs/>
          <w:sz w:val="26"/>
          <w:szCs w:val="26"/>
        </w:rPr>
        <w:t>Sala Unitaria de Primera Instancia.</w:t>
      </w:r>
    </w:p>
    <w:p w:rsidR="001F32AA" w:rsidRPr="006E349D" w:rsidRDefault="00537F20" w:rsidP="001F32AA">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001F32AA" w:rsidRPr="006E349D">
        <w:rPr>
          <w:rFonts w:ascii="Arial" w:hAnsi="Arial" w:cs="Arial"/>
          <w:bCs/>
          <w:sz w:val="26"/>
          <w:szCs w:val="26"/>
        </w:rPr>
        <w:t>Los agravios hechos valer se encuentran expuestos en el escrito respectivo de</w:t>
      </w:r>
      <w:r w:rsidR="001F32AA">
        <w:rPr>
          <w:rFonts w:ascii="Arial" w:hAnsi="Arial" w:cs="Arial"/>
          <w:bCs/>
          <w:sz w:val="26"/>
          <w:szCs w:val="26"/>
        </w:rPr>
        <w:t>l</w:t>
      </w:r>
      <w:r w:rsidR="001F32AA" w:rsidRPr="006E349D">
        <w:rPr>
          <w:rFonts w:ascii="Arial" w:hAnsi="Arial" w:cs="Arial"/>
          <w:bCs/>
          <w:sz w:val="26"/>
          <w:szCs w:val="26"/>
        </w:rPr>
        <w:t xml:space="preserve"> recurrente, por lo que no existe necesidad de transcribirlos, </w:t>
      </w:r>
      <w:r w:rsidR="001F32AA">
        <w:rPr>
          <w:rFonts w:ascii="Arial" w:hAnsi="Arial" w:cs="Arial"/>
          <w:bCs/>
          <w:sz w:val="26"/>
          <w:szCs w:val="26"/>
        </w:rPr>
        <w:t xml:space="preserve">al no </w:t>
      </w:r>
      <w:r w:rsidR="001F32AA" w:rsidRPr="006E349D">
        <w:rPr>
          <w:rFonts w:ascii="Arial" w:hAnsi="Arial" w:cs="Arial"/>
          <w:bCs/>
          <w:sz w:val="26"/>
          <w:szCs w:val="26"/>
        </w:rPr>
        <w:t>transgre</w:t>
      </w:r>
      <w:r w:rsidR="001F32AA">
        <w:rPr>
          <w:rFonts w:ascii="Arial" w:hAnsi="Arial" w:cs="Arial"/>
          <w:bCs/>
          <w:sz w:val="26"/>
          <w:szCs w:val="26"/>
        </w:rPr>
        <w:t xml:space="preserve">dírsele </w:t>
      </w:r>
      <w:r w:rsidR="001F32AA" w:rsidRPr="006E349D">
        <w:rPr>
          <w:rFonts w:ascii="Arial" w:hAnsi="Arial" w:cs="Arial"/>
          <w:bCs/>
          <w:sz w:val="26"/>
          <w:szCs w:val="26"/>
        </w:rPr>
        <w:t xml:space="preserve">derecho </w:t>
      </w:r>
      <w:r w:rsidR="001F32AA" w:rsidRPr="006E349D">
        <w:rPr>
          <w:rFonts w:ascii="Arial" w:hAnsi="Arial" w:cs="Arial"/>
          <w:bCs/>
          <w:sz w:val="26"/>
          <w:szCs w:val="26"/>
        </w:rPr>
        <w:lastRenderedPageBreak/>
        <w:t>alguno, como tampoco se vulnera disposición expresa que imponga tal obligación</w:t>
      </w:r>
      <w:r w:rsidR="001F32AA" w:rsidRPr="006E349D">
        <w:rPr>
          <w:rFonts w:ascii="Arial" w:hAnsi="Arial" w:cs="Arial"/>
          <w:sz w:val="26"/>
          <w:szCs w:val="26"/>
        </w:rPr>
        <w:t>.</w:t>
      </w:r>
    </w:p>
    <w:p w:rsidR="00C33DF1" w:rsidRDefault="001F32AA" w:rsidP="00EE3713">
      <w:pPr>
        <w:spacing w:before="240" w:line="360" w:lineRule="auto"/>
        <w:ind w:firstLine="708"/>
        <w:jc w:val="both"/>
        <w:rPr>
          <w:rFonts w:ascii="Arial" w:hAnsi="Arial" w:cs="Arial"/>
          <w:bCs/>
          <w:sz w:val="26"/>
          <w:szCs w:val="26"/>
        </w:rPr>
      </w:pPr>
      <w:r w:rsidRPr="001F32AA">
        <w:rPr>
          <w:rFonts w:ascii="Arial" w:hAnsi="Arial" w:cs="Arial"/>
          <w:b/>
          <w:bCs/>
          <w:sz w:val="26"/>
          <w:szCs w:val="26"/>
        </w:rPr>
        <w:t>TERCERO</w:t>
      </w:r>
      <w:r>
        <w:rPr>
          <w:rFonts w:ascii="Arial" w:hAnsi="Arial" w:cs="Arial"/>
          <w:bCs/>
          <w:sz w:val="26"/>
          <w:szCs w:val="26"/>
        </w:rPr>
        <w:t>.</w:t>
      </w:r>
      <w:r w:rsidR="00EE3713">
        <w:rPr>
          <w:rFonts w:ascii="Arial" w:hAnsi="Arial" w:cs="Arial"/>
          <w:bCs/>
          <w:sz w:val="26"/>
          <w:szCs w:val="26"/>
        </w:rPr>
        <w:t xml:space="preserve"> </w:t>
      </w:r>
      <w:r w:rsidR="001231C2">
        <w:rPr>
          <w:rFonts w:ascii="Arial" w:hAnsi="Arial" w:cs="Arial"/>
          <w:bCs/>
          <w:sz w:val="26"/>
          <w:szCs w:val="26"/>
        </w:rPr>
        <w:t xml:space="preserve">Alega que </w:t>
      </w:r>
      <w:r w:rsidR="00F131C0">
        <w:rPr>
          <w:rFonts w:ascii="Arial" w:hAnsi="Arial" w:cs="Arial"/>
          <w:bCs/>
          <w:sz w:val="26"/>
          <w:szCs w:val="26"/>
        </w:rPr>
        <w:t>la primera instancia al emitir la sentencia hoy materia de revisión, omitió pronunciarse respeto a las manifestaciones</w:t>
      </w:r>
      <w:r w:rsidR="00C33DF1">
        <w:rPr>
          <w:rFonts w:ascii="Arial" w:hAnsi="Arial" w:cs="Arial"/>
          <w:bCs/>
          <w:sz w:val="26"/>
          <w:szCs w:val="26"/>
        </w:rPr>
        <w:t xml:space="preserve"> que realizó en su demandada, en cuanto a que las prestaciones que reclama, le deberán ser cubiertas desde el primero momento en que se le pague su pensión como jubilado, es decir, desde el 1 uno de enero de 2015 dos mil quince en forma retroactiva</w:t>
      </w:r>
      <w:r w:rsidR="00EE3713">
        <w:rPr>
          <w:rFonts w:ascii="Arial" w:hAnsi="Arial" w:cs="Arial"/>
          <w:bCs/>
          <w:sz w:val="26"/>
          <w:szCs w:val="26"/>
        </w:rPr>
        <w:t>; también indica que dicha petición la reitero en los alegatos que presento y que del mismo modo no fue tomado en consideración.</w:t>
      </w:r>
    </w:p>
    <w:p w:rsidR="00BF2B6B" w:rsidRDefault="00BF2B6B" w:rsidP="00BF2B6B">
      <w:pPr>
        <w:spacing w:line="360" w:lineRule="auto"/>
        <w:ind w:firstLine="708"/>
        <w:jc w:val="both"/>
        <w:rPr>
          <w:rFonts w:ascii="Arial" w:eastAsia="Calibri" w:hAnsi="Arial" w:cs="Arial"/>
          <w:bCs/>
          <w:sz w:val="26"/>
          <w:szCs w:val="26"/>
        </w:rPr>
      </w:pPr>
      <w:r>
        <w:rPr>
          <w:rFonts w:ascii="Arial" w:eastAsia="Calibri" w:hAnsi="Arial" w:cs="Arial"/>
          <w:bCs/>
          <w:sz w:val="26"/>
          <w:szCs w:val="26"/>
        </w:rPr>
        <w:t>Del análisis a las constancias que integran el expediente de primera instancia a las que se les otorga pleno valor probatorio de conformidad con lo dispuesto por la fracción I, del artículo 173 de la Ley de Justicia Administrativa para el Estado de Oaxaca, por tratarse de actuaciones judiciales, se advierte que el aquí recurrente en su escrito de demanda en el capítulo de pretensiones que se deducen del juicio, indicó:</w:t>
      </w:r>
    </w:p>
    <w:p w:rsidR="00BF2B6B" w:rsidRPr="0033638D" w:rsidRDefault="00BF2B6B" w:rsidP="00FE3945">
      <w:pPr>
        <w:spacing w:line="360" w:lineRule="auto"/>
        <w:ind w:left="1134" w:right="333"/>
        <w:jc w:val="both"/>
        <w:rPr>
          <w:rFonts w:ascii="Arial" w:eastAsia="Calibri" w:hAnsi="Arial" w:cs="Arial"/>
          <w:bCs/>
          <w:i/>
          <w:sz w:val="24"/>
          <w:szCs w:val="24"/>
        </w:rPr>
      </w:pPr>
      <w:r w:rsidRPr="0033638D">
        <w:rPr>
          <w:rFonts w:ascii="Arial" w:eastAsia="Calibri" w:hAnsi="Arial" w:cs="Arial"/>
          <w:bCs/>
          <w:sz w:val="24"/>
          <w:szCs w:val="24"/>
        </w:rPr>
        <w:t>“</w:t>
      </w:r>
      <w:r>
        <w:rPr>
          <w:rFonts w:ascii="Arial" w:eastAsia="Calibri" w:hAnsi="Arial" w:cs="Arial"/>
          <w:bCs/>
          <w:i/>
          <w:sz w:val="24"/>
          <w:szCs w:val="24"/>
        </w:rPr>
        <w:t>LA PRETENSIÓN QUE SE DEDUCE EN JUICIO.- La nulidad del acuerdo con</w:t>
      </w:r>
      <w:r w:rsidR="00FE3945">
        <w:rPr>
          <w:rFonts w:ascii="Arial" w:eastAsia="Calibri" w:hAnsi="Arial" w:cs="Arial"/>
          <w:bCs/>
          <w:i/>
          <w:sz w:val="24"/>
          <w:szCs w:val="24"/>
        </w:rPr>
        <w:t>tenido en el oficio número OP/DG/630/2017, de fecha 1º de marzo de 2017, dictado por el H. Consejo Directivo de la Oficina de Pensiones del Gobierno del Estado de Oaxaca, y en su lugar dicte otro en el que desincorpore de mi esfera jurídica el artículo 54 de la Ley de Pensiones para los trabajadores del Gobierno del Estado de Oaxaca, que resulta en su fracción I discriminatorio para los trabajadores de confianza y reciba las mismas prestaciones que los trabajadores de base, como son: previsión social múltiple, despensa, vida cara, quinquenios, aguinaldo, estimulo del día del jubilado, y canasta navideña. Desde luego estas prestaciones me deberán ser cubiertas desde el primero momento en que se me paga mi pensión como jubilado del gobierno del Estado, es decir desde el primero de enero del 2015 y hasta la fecha en forma retroactiva, pues desde esa fecha se me discrimina, no pagándome dichas prestaciones como si hubiera sido trabajador de base</w:t>
      </w:r>
      <w:r w:rsidRPr="0033638D">
        <w:rPr>
          <w:rFonts w:ascii="Arial" w:eastAsia="Calibri" w:hAnsi="Arial" w:cs="Arial"/>
          <w:bCs/>
          <w:i/>
          <w:sz w:val="24"/>
          <w:szCs w:val="24"/>
        </w:rPr>
        <w:t>.”</w:t>
      </w:r>
    </w:p>
    <w:p w:rsidR="00BF2B6B" w:rsidRDefault="00BF2B6B" w:rsidP="00BF2B6B">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Por su parte, en la sentencia materia del presente recurso de revisión, la primera instancia </w:t>
      </w:r>
      <w:r w:rsidR="00974560">
        <w:rPr>
          <w:rFonts w:ascii="Arial" w:eastAsia="Calibri" w:hAnsi="Arial" w:cs="Arial"/>
          <w:bCs/>
          <w:sz w:val="26"/>
          <w:szCs w:val="26"/>
        </w:rPr>
        <w:t xml:space="preserve">en el considerando cuarto al respecto </w:t>
      </w:r>
      <w:r>
        <w:rPr>
          <w:rFonts w:ascii="Arial" w:eastAsia="Calibri" w:hAnsi="Arial" w:cs="Arial"/>
          <w:bCs/>
          <w:sz w:val="26"/>
          <w:szCs w:val="26"/>
        </w:rPr>
        <w:t>puntualizó:</w:t>
      </w:r>
    </w:p>
    <w:p w:rsidR="00974560" w:rsidRDefault="00BF2B6B" w:rsidP="00974560">
      <w:pPr>
        <w:spacing w:line="360" w:lineRule="auto"/>
        <w:ind w:left="1134" w:right="333" w:firstLine="282"/>
        <w:jc w:val="both"/>
        <w:rPr>
          <w:rFonts w:ascii="Arial" w:eastAsia="Calibri" w:hAnsi="Arial" w:cs="Arial"/>
          <w:bCs/>
          <w:i/>
          <w:sz w:val="24"/>
          <w:szCs w:val="24"/>
        </w:rPr>
      </w:pPr>
      <w:r w:rsidRPr="0033638D">
        <w:rPr>
          <w:rFonts w:ascii="Arial" w:eastAsia="Calibri" w:hAnsi="Arial" w:cs="Arial"/>
          <w:bCs/>
          <w:sz w:val="24"/>
          <w:szCs w:val="24"/>
        </w:rPr>
        <w:t>“</w:t>
      </w:r>
      <w:r w:rsidR="00FE3945">
        <w:rPr>
          <w:rFonts w:ascii="Arial" w:eastAsia="Calibri" w:hAnsi="Arial" w:cs="Arial"/>
          <w:bCs/>
          <w:i/>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OP/DG/360/2017 de 2 dos de julio del 2015 dos mil quince, emitido por el Director General de la Oficina de Pensiones del Gobierno del Estado, al ejecutar </w:t>
      </w:r>
      <w:r w:rsidR="00974560">
        <w:rPr>
          <w:rFonts w:ascii="Arial" w:eastAsia="Calibri" w:hAnsi="Arial" w:cs="Arial"/>
          <w:bCs/>
          <w:i/>
          <w:sz w:val="24"/>
          <w:szCs w:val="24"/>
        </w:rPr>
        <w:t xml:space="preserve">el acuerdo del Consejo Directivo de la Oficina de Pensiones fundándose en el artículo 54, de la ley de pensiones vigente, en el que niega el pago de diversas prestaciones al actor por haber sido  trabajador de confianza, </w:t>
      </w:r>
      <w:r w:rsidR="00974560">
        <w:rPr>
          <w:rFonts w:ascii="Arial" w:eastAsia="Calibri" w:hAnsi="Arial" w:cs="Arial"/>
          <w:b/>
          <w:bCs/>
          <w:i/>
          <w:sz w:val="24"/>
          <w:szCs w:val="24"/>
        </w:rPr>
        <w:t xml:space="preserve">es violatorio de los derechos humanos contenido en la Constitución Federal y en los Tratados Internacionales, </w:t>
      </w:r>
      <w:r w:rsidR="00974560">
        <w:rPr>
          <w:rFonts w:ascii="Arial" w:eastAsia="Calibri" w:hAnsi="Arial" w:cs="Arial"/>
          <w:bCs/>
          <w:i/>
          <w:sz w:val="24"/>
          <w:szCs w:val="24"/>
        </w:rPr>
        <w:t>por ello, con la obligación de proteger y garantizar a los derechos humanos, procede aplicar el artículo 54, de la Ley de Pensiones para los Trabajadores del Gobierno del Estado, publicada en el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y otra análoga que atente contra la dignidad humana y tenga por objeto anular o menoscabar los derechos y libertades de las personas.</w:t>
      </w:r>
    </w:p>
    <w:p w:rsidR="00BF2B6B" w:rsidRPr="0033638D" w:rsidRDefault="00974560" w:rsidP="00974560">
      <w:pPr>
        <w:spacing w:line="360" w:lineRule="auto"/>
        <w:ind w:left="1134" w:right="333" w:firstLine="282"/>
        <w:jc w:val="both"/>
        <w:rPr>
          <w:rFonts w:ascii="Arial" w:eastAsia="Calibri" w:hAnsi="Arial" w:cs="Arial"/>
          <w:bCs/>
          <w:i/>
          <w:sz w:val="24"/>
          <w:szCs w:val="24"/>
        </w:rPr>
      </w:pPr>
      <w:r>
        <w:rPr>
          <w:rFonts w:ascii="Arial" w:eastAsia="Calibri" w:hAnsi="Arial" w:cs="Arial"/>
          <w:bCs/>
          <w:i/>
          <w:sz w:val="24"/>
          <w:szCs w:val="24"/>
        </w:rPr>
        <w:t xml:space="preserve">Finalmente, respecto al descuento del nueve por ciento, sobre la pensión por jubilación concedida a la </w:t>
      </w:r>
      <w:r>
        <w:rPr>
          <w:rFonts w:ascii="Arial" w:eastAsia="Calibri" w:hAnsi="Arial" w:cs="Arial"/>
          <w:bCs/>
          <w:i/>
          <w:sz w:val="24"/>
          <w:szCs w:val="24"/>
        </w:rPr>
        <w:lastRenderedPageBreak/>
        <w:t>parte actora, por concepto de cuota para integran el fondo de pensiones, ordenada por la enjuiciada en la resolución impugnada</w:t>
      </w:r>
      <w:r w:rsidR="001270BB">
        <w:rPr>
          <w:rFonts w:ascii="Arial" w:eastAsia="Calibri" w:hAnsi="Arial" w:cs="Arial"/>
          <w:bCs/>
          <w:i/>
          <w:sz w:val="24"/>
          <w:szCs w:val="24"/>
        </w:rPr>
        <w:t>, en cumplimiento a lo dispuesto por el artículo 6, fracción III, 18 párrafo segundo y transitorio octavo de la Ley de Pensiones para los Trabajadores del Gobierno del Estado, del que se duele el actor, cabe precisar, que dichos numerales ya han sido declarado</w:t>
      </w:r>
      <w:r w:rsidR="000A3347">
        <w:rPr>
          <w:rFonts w:ascii="Arial" w:eastAsia="Calibri" w:hAnsi="Arial" w:cs="Arial"/>
          <w:bCs/>
          <w:i/>
          <w:sz w:val="24"/>
          <w:szCs w:val="24"/>
        </w:rPr>
        <w:t>s</w:t>
      </w:r>
      <w:r w:rsidR="001270BB">
        <w:rPr>
          <w:rFonts w:ascii="Arial" w:eastAsia="Calibri" w:hAnsi="Arial" w:cs="Arial"/>
          <w:bCs/>
          <w:i/>
          <w:sz w:val="24"/>
          <w:szCs w:val="24"/>
        </w:rPr>
        <w:t xml:space="preserve"> inconvencionales e inconstitucionales, por jurisprudencia del Tribunal Colegiados en materias del Trabajo y Administrativa del Décimo Tercer Circuito, por lo que resulta improcedente el descuento del nueve por ciento de dicho concepto..</w:t>
      </w:r>
      <w:r>
        <w:rPr>
          <w:rFonts w:ascii="Arial" w:eastAsia="Calibri" w:hAnsi="Arial" w:cs="Arial"/>
          <w:bCs/>
          <w:i/>
          <w:sz w:val="24"/>
          <w:szCs w:val="24"/>
        </w:rPr>
        <w:t>.</w:t>
      </w:r>
      <w:r w:rsidR="00BF2B6B" w:rsidRPr="0033638D">
        <w:rPr>
          <w:rFonts w:ascii="Arial" w:eastAsia="Calibri" w:hAnsi="Arial" w:cs="Arial"/>
          <w:bCs/>
          <w:i/>
          <w:sz w:val="24"/>
          <w:szCs w:val="24"/>
        </w:rPr>
        <w:t>”</w:t>
      </w:r>
    </w:p>
    <w:p w:rsidR="00BF2B6B" w:rsidRDefault="00BF2B6B" w:rsidP="00BF2B6B">
      <w:pPr>
        <w:spacing w:line="360" w:lineRule="auto"/>
        <w:ind w:firstLine="708"/>
        <w:jc w:val="both"/>
        <w:rPr>
          <w:rFonts w:ascii="Arial" w:eastAsia="Calibri" w:hAnsi="Arial" w:cs="Arial"/>
          <w:bCs/>
          <w:sz w:val="26"/>
          <w:szCs w:val="26"/>
        </w:rPr>
      </w:pPr>
      <w:r>
        <w:rPr>
          <w:rFonts w:ascii="Arial" w:eastAsia="Calibri" w:hAnsi="Arial" w:cs="Arial"/>
          <w:bCs/>
          <w:sz w:val="26"/>
          <w:szCs w:val="26"/>
        </w:rPr>
        <w:t>Determinando en la parte final de dicho considerando:</w:t>
      </w:r>
    </w:p>
    <w:p w:rsidR="00974560" w:rsidRDefault="00BF2B6B" w:rsidP="00BF2B6B">
      <w:pPr>
        <w:spacing w:line="360" w:lineRule="auto"/>
        <w:ind w:left="1134" w:right="333"/>
        <w:jc w:val="both"/>
        <w:rPr>
          <w:rFonts w:ascii="Arial" w:eastAsia="Calibri" w:hAnsi="Arial" w:cs="Arial"/>
          <w:bCs/>
          <w:i/>
          <w:sz w:val="24"/>
          <w:szCs w:val="24"/>
        </w:rPr>
      </w:pPr>
      <w:r w:rsidRPr="0033638D">
        <w:rPr>
          <w:rFonts w:ascii="Arial" w:eastAsia="Calibri" w:hAnsi="Arial" w:cs="Arial"/>
          <w:bCs/>
          <w:sz w:val="24"/>
          <w:szCs w:val="24"/>
        </w:rPr>
        <w:t>“</w:t>
      </w:r>
      <w:r w:rsidR="00974560">
        <w:rPr>
          <w:rFonts w:ascii="Arial" w:eastAsia="Calibri" w:hAnsi="Arial" w:cs="Arial"/>
          <w:bCs/>
          <w:i/>
          <w:sz w:val="24"/>
          <w:szCs w:val="24"/>
        </w:rPr>
        <w:t>Por las elaboradas anotaciones</w:t>
      </w:r>
      <w:r w:rsidR="001270BB">
        <w:rPr>
          <w:rFonts w:ascii="Arial" w:eastAsia="Calibri" w:hAnsi="Arial" w:cs="Arial"/>
          <w:bCs/>
          <w:i/>
          <w:sz w:val="24"/>
          <w:szCs w:val="24"/>
        </w:rPr>
        <w:t xml:space="preserve">, procede declara </w:t>
      </w:r>
      <w:r w:rsidR="001270BB">
        <w:rPr>
          <w:rFonts w:ascii="Arial" w:eastAsia="Calibri" w:hAnsi="Arial" w:cs="Arial"/>
          <w:b/>
          <w:bCs/>
          <w:i/>
          <w:sz w:val="24"/>
          <w:szCs w:val="24"/>
        </w:rPr>
        <w:t xml:space="preserve">LA NULIDAD </w:t>
      </w:r>
      <w:r w:rsidR="001270BB">
        <w:rPr>
          <w:rFonts w:ascii="Arial" w:eastAsia="Calibri" w:hAnsi="Arial" w:cs="Arial"/>
          <w:bCs/>
          <w:i/>
          <w:sz w:val="24"/>
          <w:szCs w:val="24"/>
        </w:rPr>
        <w:t xml:space="preserve">de la resolución contenida en el oficio OP/DG/630/2017 de 1 uno de marzo del 2017 dos mil diecisiete, </w:t>
      </w:r>
      <w:r w:rsidR="001270BB">
        <w:rPr>
          <w:rFonts w:ascii="Arial" w:eastAsia="Calibri" w:hAnsi="Arial" w:cs="Arial"/>
          <w:b/>
          <w:bCs/>
          <w:i/>
          <w:sz w:val="24"/>
          <w:szCs w:val="24"/>
        </w:rPr>
        <w:t xml:space="preserve">PARA EFECTO </w:t>
      </w:r>
      <w:r w:rsidR="001270BB">
        <w:rPr>
          <w:rFonts w:ascii="Arial" w:eastAsia="Calibri" w:hAnsi="Arial" w:cs="Arial"/>
          <w:bCs/>
          <w:i/>
          <w:sz w:val="24"/>
          <w:szCs w:val="24"/>
        </w:rPr>
        <w:t>de que el CONSEJO DIRECTIVO DE PENSIONES DEL GOBIERNO DEL ESTADO DE OAXACA, dicte otra, en la que otorgue a la accionante la pensión por jubilación con las mismas prestaciones que percibe un trabajador de base, en términos del artículo 54 de la Ley de Pensiones para los Trabajadores del Gobierno del Estado, sin la aplicación del descuento a que se refieren los artículos 6, fracción III, 18, párrafo segundo y octavo transitorio de la ley relativa, por haber sido declarados inconvencionales e inconstitucionales en los términos apuntados, al incumplir con el requisito de validez del acto administrativo obliga la fracción V, del artículo 7 de la Ley de Justicia Administrativa para el Estado de Oaxaca.</w:t>
      </w:r>
      <w:r w:rsidR="00974560">
        <w:rPr>
          <w:rFonts w:ascii="Arial" w:eastAsia="Calibri" w:hAnsi="Arial" w:cs="Arial"/>
          <w:bCs/>
          <w:i/>
          <w:sz w:val="24"/>
          <w:szCs w:val="24"/>
        </w:rPr>
        <w:t xml:space="preserve"> </w:t>
      </w:r>
    </w:p>
    <w:p w:rsidR="001270BB" w:rsidRDefault="00BF2B6B" w:rsidP="001270BB">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lo puntualizado, se hace patente que la primera instancia fue omisa en </w:t>
      </w:r>
      <w:r w:rsidR="001270BB">
        <w:rPr>
          <w:rFonts w:ascii="Arial" w:eastAsia="Calibri" w:hAnsi="Arial" w:cs="Arial"/>
          <w:bCs/>
          <w:sz w:val="26"/>
          <w:szCs w:val="26"/>
        </w:rPr>
        <w:t>atender en su totalidad la</w:t>
      </w:r>
      <w:r>
        <w:rPr>
          <w:rFonts w:ascii="Arial" w:eastAsia="Calibri" w:hAnsi="Arial" w:cs="Arial"/>
          <w:bCs/>
          <w:sz w:val="26"/>
          <w:szCs w:val="26"/>
        </w:rPr>
        <w:t>s p</w:t>
      </w:r>
      <w:r w:rsidR="001270BB">
        <w:rPr>
          <w:rFonts w:ascii="Arial" w:eastAsia="Calibri" w:hAnsi="Arial" w:cs="Arial"/>
          <w:bCs/>
          <w:sz w:val="26"/>
          <w:szCs w:val="26"/>
        </w:rPr>
        <w:t xml:space="preserve">retensiones </w:t>
      </w:r>
      <w:r>
        <w:rPr>
          <w:rFonts w:ascii="Arial" w:eastAsia="Calibri" w:hAnsi="Arial" w:cs="Arial"/>
          <w:bCs/>
          <w:sz w:val="26"/>
          <w:szCs w:val="26"/>
        </w:rPr>
        <w:t xml:space="preserve">que </w:t>
      </w:r>
      <w:r w:rsidR="001270BB">
        <w:rPr>
          <w:rFonts w:ascii="Arial" w:eastAsia="Calibri" w:hAnsi="Arial" w:cs="Arial"/>
          <w:bCs/>
          <w:sz w:val="26"/>
          <w:szCs w:val="26"/>
        </w:rPr>
        <w:t xml:space="preserve">demandó </w:t>
      </w:r>
      <w:r>
        <w:rPr>
          <w:rFonts w:ascii="Arial" w:eastAsia="Calibri" w:hAnsi="Arial" w:cs="Arial"/>
          <w:bCs/>
          <w:sz w:val="26"/>
          <w:szCs w:val="26"/>
        </w:rPr>
        <w:t xml:space="preserve">el actor en su escrito de demanda, puesto que, sólo resolvió respecto </w:t>
      </w:r>
      <w:r w:rsidR="001270BB">
        <w:rPr>
          <w:rFonts w:ascii="Arial" w:eastAsia="Calibri" w:hAnsi="Arial" w:cs="Arial"/>
          <w:bCs/>
          <w:sz w:val="26"/>
          <w:szCs w:val="26"/>
        </w:rPr>
        <w:t>a la desaplicación del artículo 54 de la Ley de Pensiones para los Trabajadores del Gobierno del Estado de Oaxaca, pero soslayó pronunciarse respecto a la petición del pago de las prestaciones consistente en “</w:t>
      </w:r>
      <w:r w:rsidR="001270BB" w:rsidRPr="001270BB">
        <w:rPr>
          <w:rFonts w:ascii="Arial" w:eastAsia="Calibri" w:hAnsi="Arial" w:cs="Arial"/>
          <w:bCs/>
          <w:i/>
          <w:sz w:val="24"/>
          <w:szCs w:val="24"/>
        </w:rPr>
        <w:t>previsión social múltiple, despensa, vida cara, quinquenios, aguinaldo, estimulo del día del jubilado, y canasta navideña</w:t>
      </w:r>
      <w:r w:rsidR="001270BB">
        <w:rPr>
          <w:rFonts w:ascii="Arial" w:eastAsia="Calibri" w:hAnsi="Arial" w:cs="Arial"/>
          <w:bCs/>
          <w:sz w:val="26"/>
          <w:szCs w:val="26"/>
        </w:rPr>
        <w:t>” a partir del momento en que se realice el pago de su jubilación y hasta la fecha de forma retroactiva.</w:t>
      </w:r>
    </w:p>
    <w:p w:rsidR="00BF2B6B" w:rsidRDefault="00BF2B6B" w:rsidP="00BF2B6B">
      <w:pPr>
        <w:spacing w:line="360" w:lineRule="auto"/>
        <w:ind w:firstLine="708"/>
        <w:jc w:val="both"/>
        <w:rPr>
          <w:rFonts w:ascii="Arial" w:hAnsi="Arial" w:cs="Arial"/>
          <w:sz w:val="26"/>
          <w:szCs w:val="26"/>
        </w:rPr>
      </w:pPr>
      <w:r>
        <w:rPr>
          <w:rFonts w:ascii="Arial" w:eastAsia="Calibri" w:hAnsi="Arial" w:cs="Arial"/>
          <w:bCs/>
          <w:sz w:val="26"/>
          <w:szCs w:val="26"/>
        </w:rPr>
        <w:lastRenderedPageBreak/>
        <w:t xml:space="preserve">Razón por la cual ante la omisión de la primera instancia y con la finalidad de reparar el agravio </w:t>
      </w:r>
      <w:r>
        <w:rPr>
          <w:rFonts w:ascii="Arial" w:hAnsi="Arial" w:cs="Arial"/>
          <w:sz w:val="26"/>
          <w:szCs w:val="26"/>
        </w:rPr>
        <w:t xml:space="preserve">causado, esta Sala Superior </w:t>
      </w:r>
      <w:r w:rsidRPr="007E1BE6">
        <w:rPr>
          <w:rFonts w:ascii="Arial" w:hAnsi="Arial" w:cs="Arial"/>
          <w:b/>
          <w:sz w:val="26"/>
          <w:szCs w:val="26"/>
        </w:rPr>
        <w:t>reasume jurisdicción</w:t>
      </w:r>
      <w:r>
        <w:rPr>
          <w:rFonts w:ascii="Arial" w:hAnsi="Arial" w:cs="Arial"/>
          <w:sz w:val="26"/>
          <w:szCs w:val="26"/>
        </w:rPr>
        <w:t xml:space="preserve"> y procede al análisis de la cuestión omitida por la resolutora. Sirve de apoyo a lo anterior la Jurisprudencia sustentada por el Segundo </w:t>
      </w:r>
      <w:r w:rsidRPr="008E7581">
        <w:rPr>
          <w:rFonts w:ascii="Arial" w:hAnsi="Arial" w:cs="Arial"/>
          <w:sz w:val="26"/>
          <w:szCs w:val="26"/>
        </w:rPr>
        <w:t>Tribunal Colegiado d</w:t>
      </w:r>
      <w:r>
        <w:rPr>
          <w:rFonts w:ascii="Arial" w:hAnsi="Arial" w:cs="Arial"/>
          <w:sz w:val="26"/>
          <w:szCs w:val="26"/>
        </w:rPr>
        <w:t>el Décimo Circuito, que aparece publicada en la página 2075 de la Gaceta del Semanario Judicial de la Federación, Tomo XXII</w:t>
      </w:r>
      <w:r w:rsidRPr="008E7581">
        <w:rPr>
          <w:rFonts w:ascii="Arial" w:hAnsi="Arial" w:cs="Arial"/>
          <w:sz w:val="26"/>
          <w:szCs w:val="26"/>
        </w:rPr>
        <w:t xml:space="preserve">, </w:t>
      </w:r>
      <w:r>
        <w:rPr>
          <w:rFonts w:ascii="Arial" w:hAnsi="Arial" w:cs="Arial"/>
          <w:sz w:val="26"/>
          <w:szCs w:val="26"/>
        </w:rPr>
        <w:t xml:space="preserve">octubre </w:t>
      </w:r>
      <w:r w:rsidRPr="008E7581">
        <w:rPr>
          <w:rFonts w:ascii="Arial" w:hAnsi="Arial" w:cs="Arial"/>
          <w:sz w:val="26"/>
          <w:szCs w:val="26"/>
        </w:rPr>
        <w:t xml:space="preserve">de </w:t>
      </w:r>
      <w:r>
        <w:rPr>
          <w:rFonts w:ascii="Arial" w:hAnsi="Arial" w:cs="Arial"/>
          <w:sz w:val="26"/>
          <w:szCs w:val="26"/>
        </w:rPr>
        <w:t>2005, materia Civil, novena época, (registro 177094) de rubro y texto siguientes:</w:t>
      </w:r>
    </w:p>
    <w:p w:rsidR="00BF2B6B" w:rsidRPr="009C0F2E" w:rsidRDefault="00BF2B6B" w:rsidP="00BF2B6B">
      <w:pPr>
        <w:spacing w:line="360" w:lineRule="auto"/>
        <w:ind w:left="1134" w:right="495"/>
        <w:jc w:val="both"/>
        <w:rPr>
          <w:rFonts w:ascii="Arial" w:hAnsi="Arial" w:cs="Arial"/>
          <w:sz w:val="24"/>
          <w:szCs w:val="24"/>
        </w:rPr>
      </w:pPr>
      <w:r>
        <w:rPr>
          <w:rFonts w:ascii="Arial" w:hAnsi="Arial" w:cs="Arial"/>
          <w:sz w:val="24"/>
          <w:szCs w:val="24"/>
        </w:rPr>
        <w:t>“</w:t>
      </w:r>
      <w:r w:rsidRPr="00B479EB">
        <w:rPr>
          <w:rFonts w:ascii="Arial" w:hAnsi="Arial" w:cs="Arial"/>
          <w:b/>
          <w:i/>
          <w:sz w:val="24"/>
          <w:szCs w:val="24"/>
        </w:rPr>
        <w:t xml:space="preserve">AGRAVIOS EN LA APELACIÓN. AL NO EXISTIR REENVÍO EL AD QUEM DEBE REASUMIR JURISDICCIÓN Y ABORDAR OFICIOSAMENTE SU ANÁLISIS, SIN QUE ELLO IMPLIQUE SUPLENCIA DE AQUÉLLOS. </w:t>
      </w:r>
      <w:r w:rsidRPr="00B479EB">
        <w:rPr>
          <w:rFonts w:ascii="Arial" w:hAnsi="Arial" w:cs="Arial"/>
          <w:i/>
          <w:sz w:val="24"/>
          <w:szCs w:val="24"/>
        </w:rPr>
        <w:t>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implique suplencia de los agravios</w:t>
      </w:r>
      <w:r w:rsidRPr="009C0F2E">
        <w:rPr>
          <w:rFonts w:ascii="Arial" w:hAnsi="Arial" w:cs="Arial"/>
          <w:sz w:val="24"/>
          <w:szCs w:val="24"/>
        </w:rPr>
        <w:t>.</w:t>
      </w:r>
      <w:r>
        <w:rPr>
          <w:rFonts w:ascii="Arial" w:hAnsi="Arial" w:cs="Arial"/>
          <w:sz w:val="24"/>
          <w:szCs w:val="24"/>
        </w:rPr>
        <w:t>”</w:t>
      </w:r>
    </w:p>
    <w:p w:rsidR="001270BB" w:rsidRPr="00392471" w:rsidRDefault="00BF2B6B" w:rsidP="00BF2B6B">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Como ya quedó detallado en párrafos precedentes, el actor también solicitó </w:t>
      </w:r>
      <w:r w:rsidR="00A511F6">
        <w:rPr>
          <w:rFonts w:ascii="Arial" w:eastAsia="Calibri" w:hAnsi="Arial" w:cs="Arial"/>
          <w:bCs/>
          <w:sz w:val="26"/>
          <w:szCs w:val="26"/>
        </w:rPr>
        <w:t xml:space="preserve">se le realice el pago de </w:t>
      </w:r>
      <w:r w:rsidR="00A511F6" w:rsidRPr="00A511F6">
        <w:rPr>
          <w:rFonts w:ascii="Arial" w:eastAsia="Calibri" w:hAnsi="Arial" w:cs="Arial"/>
          <w:bCs/>
          <w:sz w:val="26"/>
          <w:szCs w:val="26"/>
        </w:rPr>
        <w:t>previsión social múltiple, despensa, vida cara, quinquenios, aguinaldo, estimulo del d</w:t>
      </w:r>
      <w:r w:rsidR="00A511F6">
        <w:rPr>
          <w:rFonts w:ascii="Arial" w:eastAsia="Calibri" w:hAnsi="Arial" w:cs="Arial"/>
          <w:bCs/>
          <w:sz w:val="26"/>
          <w:szCs w:val="26"/>
        </w:rPr>
        <w:t>ía del jubilado y canasta navideña, desde el primero momento en que se le pague su pensión, esto es, desde el 1 uno de enero de 2015 dos mil quince a la fecha</w:t>
      </w:r>
      <w:r w:rsidR="003E7C16">
        <w:rPr>
          <w:rFonts w:ascii="Arial" w:eastAsia="Calibri" w:hAnsi="Arial" w:cs="Arial"/>
          <w:bCs/>
          <w:sz w:val="26"/>
          <w:szCs w:val="26"/>
        </w:rPr>
        <w:t>, porque desde esa fecha no se le han pagado esas prestaciones</w:t>
      </w:r>
      <w:r w:rsidR="00392471">
        <w:rPr>
          <w:rFonts w:ascii="Arial" w:eastAsia="Calibri" w:hAnsi="Arial" w:cs="Arial"/>
          <w:bCs/>
          <w:sz w:val="26"/>
          <w:szCs w:val="26"/>
        </w:rPr>
        <w:t>, como lo precisó en el segundo inciso b) de los hechos de su demanda cuando dijo: “</w:t>
      </w:r>
      <w:r w:rsidR="00392471" w:rsidRPr="00392471">
        <w:rPr>
          <w:rFonts w:ascii="Arial" w:eastAsia="Calibri" w:hAnsi="Arial" w:cs="Arial"/>
          <w:bCs/>
          <w:i/>
          <w:sz w:val="24"/>
          <w:szCs w:val="24"/>
        </w:rPr>
        <w:t xml:space="preserve">b) Desde el primero de enero del 2015 y hasta la fecha se me otorga mi pensión por jubilación, sin los beneficios que a los trabajadores de base ahora </w:t>
      </w:r>
      <w:r w:rsidR="00392471" w:rsidRPr="00392471">
        <w:rPr>
          <w:rFonts w:ascii="Arial" w:eastAsia="Calibri" w:hAnsi="Arial" w:cs="Arial"/>
          <w:bCs/>
          <w:i/>
          <w:sz w:val="24"/>
          <w:szCs w:val="24"/>
        </w:rPr>
        <w:lastRenderedPageBreak/>
        <w:t>jubilados se les hace</w:t>
      </w:r>
      <w:r w:rsidR="00392471">
        <w:rPr>
          <w:rFonts w:ascii="Arial" w:eastAsia="Calibri" w:hAnsi="Arial" w:cs="Arial"/>
          <w:bCs/>
          <w:sz w:val="26"/>
          <w:szCs w:val="26"/>
        </w:rPr>
        <w:t>”; y la autoridad demandada ratificó al dar contestación a la demanda, cuando dijo: “</w:t>
      </w:r>
      <w:r w:rsidR="00392471" w:rsidRPr="00392471">
        <w:rPr>
          <w:rFonts w:ascii="Arial" w:eastAsia="Calibri" w:hAnsi="Arial" w:cs="Arial"/>
          <w:bCs/>
          <w:i/>
          <w:sz w:val="24"/>
          <w:szCs w:val="24"/>
        </w:rPr>
        <w:t xml:space="preserve">Por lo que toca a los incisos </w:t>
      </w:r>
      <w:r w:rsidR="00392471" w:rsidRPr="00392471">
        <w:rPr>
          <w:rFonts w:ascii="Arial" w:eastAsia="Calibri" w:hAnsi="Arial" w:cs="Arial"/>
          <w:b/>
          <w:bCs/>
          <w:i/>
          <w:sz w:val="24"/>
          <w:szCs w:val="24"/>
        </w:rPr>
        <w:t xml:space="preserve">b), b) y c) </w:t>
      </w:r>
      <w:r w:rsidR="00392471" w:rsidRPr="00392471">
        <w:rPr>
          <w:rFonts w:ascii="Arial" w:eastAsia="Calibri" w:hAnsi="Arial" w:cs="Arial"/>
          <w:bCs/>
          <w:i/>
          <w:sz w:val="24"/>
          <w:szCs w:val="24"/>
        </w:rPr>
        <w:t>del capítulo de hechos que se contesta, manifiesto que son ciertos.</w:t>
      </w:r>
      <w:r w:rsidR="00392471">
        <w:rPr>
          <w:rFonts w:ascii="Arial" w:eastAsia="Calibri" w:hAnsi="Arial" w:cs="Arial"/>
          <w:bCs/>
          <w:sz w:val="26"/>
          <w:szCs w:val="26"/>
        </w:rPr>
        <w:t>”; acreditándose también tal situación con los comprobantes de pago que exhibió el actor.</w:t>
      </w:r>
    </w:p>
    <w:p w:rsidR="003661DB" w:rsidRDefault="00392471" w:rsidP="00BF2B6B">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al haberse decretado la nulidad del acuerdo contenido en el oficio OP/DG/630/2017, por considerarse que la aplicación del art</w:t>
      </w:r>
      <w:r w:rsidR="003661DB">
        <w:rPr>
          <w:rFonts w:ascii="Arial" w:eastAsia="Calibri" w:hAnsi="Arial" w:cs="Arial"/>
          <w:bCs/>
          <w:sz w:val="26"/>
          <w:szCs w:val="26"/>
        </w:rPr>
        <w:t>ículo 54, de la Ley de Pensiones es violatorio de los derechos humanos contenidos en la Constitución y Tratados Internacionales y determinarse que dicho precepto legal, debe ser aplicado de manera extensiva a los trabajadores de confianza, para que reciban las mismas prestaciones que reciben los trabajadores de base jubilados</w:t>
      </w:r>
      <w:r w:rsidR="00EE3713">
        <w:rPr>
          <w:rFonts w:ascii="Arial" w:eastAsia="Calibri" w:hAnsi="Arial" w:cs="Arial"/>
          <w:bCs/>
          <w:sz w:val="26"/>
          <w:szCs w:val="26"/>
        </w:rPr>
        <w:t xml:space="preserve">; es procedente, </w:t>
      </w:r>
      <w:r w:rsidR="003661DB" w:rsidRPr="00EE3713">
        <w:rPr>
          <w:rFonts w:ascii="Arial" w:eastAsia="Calibri" w:hAnsi="Arial" w:cs="Arial"/>
          <w:b/>
          <w:bCs/>
          <w:sz w:val="26"/>
          <w:szCs w:val="26"/>
        </w:rPr>
        <w:t>ordenar se pague</w:t>
      </w:r>
      <w:r w:rsidR="003661DB">
        <w:rPr>
          <w:rFonts w:ascii="Arial" w:eastAsia="Calibri" w:hAnsi="Arial" w:cs="Arial"/>
          <w:bCs/>
          <w:sz w:val="26"/>
          <w:szCs w:val="26"/>
        </w:rPr>
        <w:t xml:space="preserve"> al actor </w:t>
      </w:r>
      <w:r w:rsidR="00810848">
        <w:rPr>
          <w:rFonts w:ascii="Arial" w:eastAsia="Calibri" w:hAnsi="Arial" w:cs="Arial"/>
          <w:bCs/>
          <w:sz w:val="26"/>
          <w:szCs w:val="26"/>
        </w:rPr>
        <w:t>**********</w:t>
      </w:r>
      <w:r w:rsidR="003661DB">
        <w:rPr>
          <w:rFonts w:ascii="Arial" w:eastAsia="Calibri" w:hAnsi="Arial" w:cs="Arial"/>
          <w:bCs/>
          <w:sz w:val="26"/>
          <w:szCs w:val="26"/>
        </w:rPr>
        <w:t xml:space="preserve">, las siguientes prestaciones contenidas en </w:t>
      </w:r>
      <w:r w:rsidR="00EE3713">
        <w:rPr>
          <w:rFonts w:ascii="Arial" w:eastAsia="Calibri" w:hAnsi="Arial" w:cs="Arial"/>
          <w:bCs/>
          <w:sz w:val="26"/>
          <w:szCs w:val="26"/>
        </w:rPr>
        <w:t xml:space="preserve">el </w:t>
      </w:r>
      <w:r w:rsidR="003661DB">
        <w:rPr>
          <w:rFonts w:ascii="Arial" w:eastAsia="Calibri" w:hAnsi="Arial" w:cs="Arial"/>
          <w:bCs/>
          <w:sz w:val="26"/>
          <w:szCs w:val="26"/>
        </w:rPr>
        <w:t>multicitado artículo 54</w:t>
      </w:r>
      <w:r w:rsidR="00EE3713">
        <w:rPr>
          <w:rFonts w:ascii="Arial" w:eastAsia="Calibri" w:hAnsi="Arial" w:cs="Arial"/>
          <w:bCs/>
          <w:sz w:val="26"/>
          <w:szCs w:val="26"/>
        </w:rPr>
        <w:t xml:space="preserve"> consistentes en</w:t>
      </w:r>
      <w:r w:rsidR="003661DB">
        <w:rPr>
          <w:rFonts w:ascii="Arial" w:eastAsia="Calibri" w:hAnsi="Arial" w:cs="Arial"/>
          <w:bCs/>
          <w:sz w:val="26"/>
          <w:szCs w:val="26"/>
        </w:rPr>
        <w:t xml:space="preserve">: previsión social múltiple, despensa, vida cara, quinquenios, aguinaldos, estímulos del día del jubilado y canasta navideña; esto, a partir del día en que se </w:t>
      </w:r>
      <w:r w:rsidR="00EE3713">
        <w:rPr>
          <w:rFonts w:ascii="Arial" w:eastAsia="Calibri" w:hAnsi="Arial" w:cs="Arial"/>
          <w:bCs/>
          <w:sz w:val="26"/>
          <w:szCs w:val="26"/>
        </w:rPr>
        <w:t xml:space="preserve">le </w:t>
      </w:r>
      <w:r w:rsidR="003661DB">
        <w:rPr>
          <w:rFonts w:ascii="Arial" w:eastAsia="Calibri" w:hAnsi="Arial" w:cs="Arial"/>
          <w:bCs/>
          <w:sz w:val="26"/>
          <w:szCs w:val="26"/>
        </w:rPr>
        <w:t>comenzó a realiz</w:t>
      </w:r>
      <w:r w:rsidR="00EE3713">
        <w:rPr>
          <w:rFonts w:ascii="Arial" w:eastAsia="Calibri" w:hAnsi="Arial" w:cs="Arial"/>
          <w:bCs/>
          <w:sz w:val="26"/>
          <w:szCs w:val="26"/>
        </w:rPr>
        <w:t>a</w:t>
      </w:r>
      <w:r w:rsidR="003661DB">
        <w:rPr>
          <w:rFonts w:ascii="Arial" w:eastAsia="Calibri" w:hAnsi="Arial" w:cs="Arial"/>
          <w:bCs/>
          <w:sz w:val="26"/>
          <w:szCs w:val="26"/>
        </w:rPr>
        <w:t xml:space="preserve">r el pago por jubilación </w:t>
      </w:r>
      <w:r w:rsidR="00EE3713">
        <w:rPr>
          <w:rFonts w:ascii="Arial" w:eastAsia="Calibri" w:hAnsi="Arial" w:cs="Arial"/>
          <w:bCs/>
          <w:sz w:val="26"/>
          <w:szCs w:val="26"/>
        </w:rPr>
        <w:t xml:space="preserve">que fue el 1 uno de enero 2015 dos mil quince, </w:t>
      </w:r>
      <w:r w:rsidR="003661DB">
        <w:rPr>
          <w:rFonts w:ascii="Arial" w:eastAsia="Calibri" w:hAnsi="Arial" w:cs="Arial"/>
          <w:bCs/>
          <w:sz w:val="26"/>
          <w:szCs w:val="26"/>
        </w:rPr>
        <w:t>acreditado en el recibo de pago de 1 uno de enero de 2015 dos mil quince al 31 treinta y uno de enero de 2015 dos mil quince</w:t>
      </w:r>
      <w:r w:rsidR="00EE3713">
        <w:rPr>
          <w:rFonts w:ascii="Arial" w:eastAsia="Calibri" w:hAnsi="Arial" w:cs="Arial"/>
          <w:bCs/>
          <w:sz w:val="26"/>
          <w:szCs w:val="26"/>
        </w:rPr>
        <w:t>,</w:t>
      </w:r>
      <w:r w:rsidR="003661DB">
        <w:rPr>
          <w:rFonts w:ascii="Arial" w:eastAsia="Calibri" w:hAnsi="Arial" w:cs="Arial"/>
          <w:bCs/>
          <w:sz w:val="26"/>
          <w:szCs w:val="26"/>
        </w:rPr>
        <w:t xml:space="preserve"> y hasta el último pago que se le haya realizado en esas condiciones.</w:t>
      </w:r>
    </w:p>
    <w:p w:rsidR="00537F20" w:rsidRDefault="00BF2B6B" w:rsidP="00EE3713">
      <w:pPr>
        <w:spacing w:line="360" w:lineRule="auto"/>
        <w:ind w:firstLine="708"/>
        <w:jc w:val="both"/>
        <w:rPr>
          <w:rFonts w:ascii="Arial" w:hAnsi="Arial" w:cs="Arial"/>
          <w:sz w:val="26"/>
          <w:szCs w:val="26"/>
          <w:lang w:val="es-MX"/>
        </w:rPr>
      </w:pPr>
      <w:r>
        <w:rPr>
          <w:rFonts w:ascii="Arial" w:hAnsi="Arial" w:cs="Arial"/>
          <w:bCs/>
          <w:sz w:val="26"/>
          <w:szCs w:val="26"/>
        </w:rPr>
        <w:t xml:space="preserve">En ese orden de ideas, se impone </w:t>
      </w:r>
      <w:r w:rsidRPr="006511E3">
        <w:rPr>
          <w:rFonts w:ascii="Arial" w:hAnsi="Arial" w:cs="Arial"/>
          <w:b/>
          <w:bCs/>
          <w:sz w:val="26"/>
          <w:szCs w:val="26"/>
        </w:rPr>
        <w:t>MODIFICAR</w:t>
      </w:r>
      <w:r w:rsidRPr="006511E3">
        <w:rPr>
          <w:rFonts w:ascii="Arial" w:hAnsi="Arial" w:cs="Arial"/>
          <w:bCs/>
          <w:sz w:val="26"/>
          <w:szCs w:val="26"/>
        </w:rPr>
        <w:t xml:space="preserve"> la sentencia recurrida</w:t>
      </w:r>
      <w:r>
        <w:rPr>
          <w:rFonts w:ascii="Arial" w:hAnsi="Arial" w:cs="Arial"/>
          <w:bCs/>
          <w:sz w:val="26"/>
          <w:szCs w:val="26"/>
        </w:rPr>
        <w:t>,</w:t>
      </w:r>
      <w:r w:rsidRPr="006511E3">
        <w:rPr>
          <w:rFonts w:ascii="Arial" w:hAnsi="Arial" w:cs="Arial"/>
          <w:bCs/>
          <w:sz w:val="26"/>
          <w:szCs w:val="26"/>
        </w:rPr>
        <w:t xml:space="preserve"> para el </w:t>
      </w:r>
      <w:r>
        <w:rPr>
          <w:rFonts w:ascii="Arial" w:hAnsi="Arial" w:cs="Arial"/>
          <w:bCs/>
          <w:sz w:val="26"/>
          <w:szCs w:val="26"/>
        </w:rPr>
        <w:t>efecto precisado</w:t>
      </w:r>
      <w:r w:rsidR="009A4FE3">
        <w:rPr>
          <w:rFonts w:ascii="Arial" w:hAnsi="Arial" w:cs="Arial"/>
          <w:color w:val="000000"/>
          <w:sz w:val="26"/>
          <w:szCs w:val="26"/>
          <w:lang w:val="es-MX"/>
        </w:rPr>
        <w:t xml:space="preserve">; </w:t>
      </w:r>
      <w:r w:rsidR="00A459DA" w:rsidRPr="00A459DA">
        <w:rPr>
          <w:rFonts w:ascii="Arial" w:hAnsi="Arial" w:cs="Arial"/>
          <w:color w:val="000000"/>
          <w:sz w:val="26"/>
          <w:szCs w:val="26"/>
          <w:lang w:val="es-MX"/>
        </w:rPr>
        <w:t>y, con fundamento en los artículos 207 y 208 de la Ley de Justicia Administrativa para el Estado, se</w:t>
      </w:r>
      <w:r w:rsidR="00537F20">
        <w:rPr>
          <w:rFonts w:ascii="Arial" w:hAnsi="Arial" w:cs="Arial"/>
          <w:sz w:val="26"/>
          <w:szCs w:val="26"/>
          <w:lang w:val="es-MX"/>
        </w:rPr>
        <w:t>:</w:t>
      </w:r>
    </w:p>
    <w:p w:rsidR="00537F20" w:rsidRDefault="00537F20" w:rsidP="00A459DA">
      <w:pPr>
        <w:spacing w:line="360" w:lineRule="auto"/>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547D6A" w:rsidRDefault="000406E0" w:rsidP="006F36B5">
      <w:pPr>
        <w:spacing w:line="360" w:lineRule="auto"/>
        <w:ind w:firstLine="708"/>
        <w:jc w:val="both"/>
        <w:rPr>
          <w:rFonts w:ascii="Arial" w:hAnsi="Arial" w:cs="Arial"/>
          <w:sz w:val="26"/>
          <w:szCs w:val="26"/>
        </w:rPr>
      </w:pPr>
      <w:r>
        <w:rPr>
          <w:rFonts w:ascii="Arial" w:hAnsi="Arial" w:cs="Arial"/>
          <w:b/>
          <w:sz w:val="26"/>
          <w:szCs w:val="26"/>
          <w:lang w:val="es-MX"/>
        </w:rPr>
        <w:t>PRIMERO.</w:t>
      </w:r>
      <w:r w:rsidR="00706941">
        <w:rPr>
          <w:rFonts w:ascii="Arial" w:hAnsi="Arial" w:cs="Arial"/>
          <w:b/>
          <w:sz w:val="26"/>
          <w:szCs w:val="26"/>
          <w:lang w:val="es-MX"/>
        </w:rPr>
        <w:t>-</w:t>
      </w:r>
      <w:r>
        <w:rPr>
          <w:rFonts w:ascii="Arial" w:hAnsi="Arial" w:cs="Arial"/>
          <w:b/>
          <w:sz w:val="26"/>
          <w:szCs w:val="26"/>
          <w:lang w:val="es-MX"/>
        </w:rPr>
        <w:t xml:space="preserve"> </w:t>
      </w:r>
      <w:r w:rsidR="00537F20">
        <w:rPr>
          <w:rFonts w:ascii="Arial" w:hAnsi="Arial" w:cs="Arial"/>
          <w:sz w:val="26"/>
          <w:szCs w:val="26"/>
          <w:lang w:val="es-MX"/>
        </w:rPr>
        <w:t xml:space="preserve">Se </w:t>
      </w:r>
      <w:r w:rsidR="00EE3713">
        <w:rPr>
          <w:rFonts w:ascii="Arial" w:hAnsi="Arial" w:cs="Arial"/>
          <w:b/>
          <w:sz w:val="26"/>
          <w:szCs w:val="26"/>
          <w:lang w:val="es-MX"/>
        </w:rPr>
        <w:t xml:space="preserve">MODIFICA </w:t>
      </w:r>
      <w:r>
        <w:rPr>
          <w:rFonts w:ascii="Arial" w:hAnsi="Arial" w:cs="Arial"/>
          <w:sz w:val="26"/>
          <w:szCs w:val="26"/>
        </w:rPr>
        <w:t xml:space="preserve">la </w:t>
      </w:r>
      <w:r w:rsidR="00FB1C84">
        <w:rPr>
          <w:rFonts w:ascii="Arial" w:hAnsi="Arial" w:cs="Arial"/>
          <w:sz w:val="26"/>
          <w:szCs w:val="26"/>
        </w:rPr>
        <w:t>sentencia recurrida</w:t>
      </w:r>
      <w:r w:rsidR="00080E02" w:rsidRPr="00EE3713">
        <w:rPr>
          <w:rFonts w:ascii="Arial" w:eastAsia="Calibri" w:hAnsi="Arial" w:cs="Arial"/>
          <w:bCs/>
          <w:color w:val="000000" w:themeColor="text1"/>
          <w:sz w:val="26"/>
          <w:szCs w:val="26"/>
        </w:rPr>
        <w:t>,</w:t>
      </w:r>
      <w:r w:rsidR="00080E02">
        <w:rPr>
          <w:rFonts w:ascii="Arial" w:eastAsia="Calibri" w:hAnsi="Arial" w:cs="Arial"/>
          <w:b/>
          <w:bCs/>
          <w:color w:val="000000" w:themeColor="text1"/>
          <w:sz w:val="26"/>
          <w:szCs w:val="26"/>
        </w:rPr>
        <w:t xml:space="preserve"> </w:t>
      </w:r>
      <w:r w:rsidR="00080E02">
        <w:rPr>
          <w:rFonts w:ascii="Arial" w:eastAsia="Calibri" w:hAnsi="Arial" w:cs="Arial"/>
          <w:bCs/>
          <w:color w:val="000000" w:themeColor="text1"/>
          <w:sz w:val="26"/>
          <w:szCs w:val="26"/>
        </w:rPr>
        <w:t xml:space="preserve">por las razones expuestas en el considerando </w:t>
      </w:r>
      <w:r w:rsidR="009A4FE3">
        <w:rPr>
          <w:rFonts w:ascii="Arial" w:eastAsia="Calibri" w:hAnsi="Arial" w:cs="Arial"/>
          <w:bCs/>
          <w:color w:val="000000" w:themeColor="text1"/>
          <w:sz w:val="26"/>
          <w:szCs w:val="26"/>
        </w:rPr>
        <w:t>que antecede</w:t>
      </w:r>
      <w:r w:rsidR="00080E02" w:rsidRPr="009A4FE3">
        <w:rPr>
          <w:rFonts w:ascii="Arial" w:eastAsia="Calibri" w:hAnsi="Arial" w:cs="Arial"/>
          <w:bCs/>
          <w:color w:val="000000" w:themeColor="text1"/>
          <w:sz w:val="26"/>
          <w:szCs w:val="26"/>
        </w:rPr>
        <w:t>.</w:t>
      </w:r>
    </w:p>
    <w:p w:rsidR="00547D6A" w:rsidRDefault="00537F20" w:rsidP="00547D6A">
      <w:pPr>
        <w:spacing w:line="360" w:lineRule="auto"/>
        <w:ind w:firstLine="708"/>
        <w:jc w:val="both"/>
        <w:rPr>
          <w:rFonts w:ascii="Arial" w:hAnsi="Arial" w:cs="Arial"/>
          <w:sz w:val="26"/>
          <w:szCs w:val="26"/>
        </w:rPr>
      </w:pPr>
      <w:r>
        <w:rPr>
          <w:rFonts w:ascii="Arial" w:hAnsi="Arial" w:cs="Arial"/>
          <w:b/>
          <w:sz w:val="26"/>
          <w:szCs w:val="26"/>
        </w:rPr>
        <w:t>SEGUNDO.</w:t>
      </w:r>
      <w:r w:rsidR="00706941">
        <w:rPr>
          <w:rFonts w:ascii="Arial" w:hAnsi="Arial" w:cs="Arial"/>
          <w:b/>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EE3713">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EE3713">
        <w:rPr>
          <w:rFonts w:ascii="Arial" w:hAnsi="Arial" w:cs="Arial"/>
          <w:sz w:val="26"/>
          <w:szCs w:val="26"/>
        </w:rPr>
        <w:t xml:space="preserve">Tercera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cuaderno de revisión como concluido.</w:t>
      </w:r>
    </w:p>
    <w:p w:rsidR="009A0B72" w:rsidRPr="00CB6405" w:rsidRDefault="009A0B72" w:rsidP="003A165D">
      <w:pPr>
        <w:spacing w:before="240" w:line="360" w:lineRule="auto"/>
        <w:ind w:firstLine="708"/>
        <w:jc w:val="both"/>
        <w:rPr>
          <w:rFonts w:ascii="Arial" w:hAnsi="Arial" w:cs="Arial"/>
          <w:sz w:val="26"/>
          <w:szCs w:val="26"/>
        </w:rPr>
      </w:pPr>
      <w:r w:rsidRPr="00CB6405">
        <w:rPr>
          <w:rFonts w:ascii="Arial" w:hAnsi="Arial" w:cs="Arial"/>
          <w:sz w:val="26"/>
          <w:szCs w:val="26"/>
        </w:rPr>
        <w:t xml:space="preserve">Por unanimidad de votos, lo resolvieron y firmaron los Magistrados </w:t>
      </w:r>
      <w:r w:rsidR="003A165D">
        <w:rPr>
          <w:rFonts w:ascii="Arial" w:hAnsi="Arial" w:cs="Arial"/>
          <w:sz w:val="26"/>
          <w:szCs w:val="26"/>
        </w:rPr>
        <w:t xml:space="preserve"> integrantes de la sala Superior del Tribunal de justicia Administrativa del Estado de Oaxaca, quienes actúan con </w:t>
      </w:r>
      <w:r w:rsidR="003A165D">
        <w:rPr>
          <w:rFonts w:ascii="Arial" w:hAnsi="Arial" w:cs="Arial"/>
          <w:sz w:val="26"/>
          <w:szCs w:val="26"/>
        </w:rPr>
        <w:lastRenderedPageBreak/>
        <w:t xml:space="preserve">la </w:t>
      </w:r>
      <w:r w:rsidRPr="00CB6405">
        <w:rPr>
          <w:rFonts w:ascii="Arial" w:hAnsi="Arial" w:cs="Arial"/>
          <w:sz w:val="26"/>
          <w:szCs w:val="26"/>
        </w:rPr>
        <w:t xml:space="preserve">Secretaria General de Acuerdos de este Tribunal, que autoriza y da fe.- </w:t>
      </w:r>
    </w:p>
    <w:p w:rsidR="009A0B72" w:rsidRDefault="009A0B72" w:rsidP="009A0B72">
      <w:pPr>
        <w:spacing w:line="360" w:lineRule="auto"/>
        <w:jc w:val="center"/>
        <w:rPr>
          <w:rFonts w:ascii="Arial" w:hAnsi="Arial" w:cs="Arial"/>
          <w:sz w:val="26"/>
          <w:szCs w:val="26"/>
        </w:rPr>
      </w:pPr>
    </w:p>
    <w:p w:rsidR="00547D6A" w:rsidRDefault="00547D6A" w:rsidP="009A0B72">
      <w:pPr>
        <w:spacing w:line="360" w:lineRule="auto"/>
        <w:jc w:val="center"/>
        <w:rPr>
          <w:rFonts w:ascii="Arial" w:hAnsi="Arial" w:cs="Arial"/>
          <w:sz w:val="26"/>
          <w:szCs w:val="26"/>
        </w:rPr>
      </w:pPr>
    </w:p>
    <w:p w:rsidR="003A165D" w:rsidRDefault="003A165D" w:rsidP="00547D6A">
      <w:pPr>
        <w:spacing w:line="360" w:lineRule="auto"/>
        <w:rPr>
          <w:rFonts w:ascii="Arial" w:hAnsi="Arial" w:cs="Arial"/>
          <w:sz w:val="26"/>
          <w:szCs w:val="26"/>
        </w:rPr>
      </w:pPr>
    </w:p>
    <w:p w:rsidR="009A0B72" w:rsidRPr="00CB6405" w:rsidRDefault="009A0B72" w:rsidP="003A165D">
      <w:pPr>
        <w:spacing w:after="0" w:line="240" w:lineRule="atLeast"/>
        <w:jc w:val="center"/>
        <w:rPr>
          <w:rFonts w:ascii="Arial" w:hAnsi="Arial" w:cs="Arial"/>
          <w:sz w:val="26"/>
          <w:szCs w:val="26"/>
        </w:rPr>
      </w:pPr>
      <w:r w:rsidRPr="00CB6405">
        <w:rPr>
          <w:rFonts w:ascii="Arial" w:hAnsi="Arial" w:cs="Arial"/>
          <w:sz w:val="26"/>
          <w:szCs w:val="26"/>
        </w:rPr>
        <w:t>MAGISTRADA MARÍA ELENA VILLA DE JARQUÍN</w:t>
      </w:r>
    </w:p>
    <w:p w:rsidR="009A0B72" w:rsidRPr="00CB6405" w:rsidRDefault="009A0B72" w:rsidP="003A165D">
      <w:pPr>
        <w:spacing w:after="0" w:line="240" w:lineRule="atLeast"/>
        <w:jc w:val="center"/>
        <w:rPr>
          <w:rFonts w:ascii="Arial" w:hAnsi="Arial" w:cs="Arial"/>
          <w:sz w:val="26"/>
          <w:szCs w:val="26"/>
        </w:rPr>
      </w:pPr>
      <w:r>
        <w:rPr>
          <w:rFonts w:ascii="Arial" w:hAnsi="Arial" w:cs="Arial"/>
          <w:sz w:val="26"/>
          <w:szCs w:val="26"/>
        </w:rPr>
        <w:t xml:space="preserve">ENCARGADA DEL DESPACHO DE LA </w:t>
      </w:r>
      <w:r w:rsidRPr="00CB6405">
        <w:rPr>
          <w:rFonts w:ascii="Arial" w:hAnsi="Arial" w:cs="Arial"/>
          <w:sz w:val="26"/>
          <w:szCs w:val="26"/>
        </w:rPr>
        <w:t>PRESIDENTA</w:t>
      </w:r>
    </w:p>
    <w:p w:rsidR="009A0B72" w:rsidRDefault="009A0B72" w:rsidP="009A0B72">
      <w:pPr>
        <w:spacing w:line="360" w:lineRule="auto"/>
        <w:jc w:val="center"/>
        <w:rPr>
          <w:rFonts w:ascii="Arial" w:hAnsi="Arial" w:cs="Arial"/>
          <w:sz w:val="26"/>
          <w:szCs w:val="26"/>
        </w:rPr>
      </w:pPr>
    </w:p>
    <w:p w:rsidR="00547D6A" w:rsidRDefault="00547D6A" w:rsidP="009A0B72">
      <w:pPr>
        <w:spacing w:line="360" w:lineRule="auto"/>
        <w:jc w:val="center"/>
        <w:rPr>
          <w:rFonts w:ascii="Arial" w:hAnsi="Arial" w:cs="Arial"/>
          <w:sz w:val="26"/>
          <w:szCs w:val="26"/>
        </w:rPr>
      </w:pPr>
    </w:p>
    <w:p w:rsidR="00547D6A" w:rsidRDefault="00547D6A" w:rsidP="009A0B72">
      <w:pPr>
        <w:spacing w:line="360" w:lineRule="auto"/>
        <w:jc w:val="center"/>
        <w:rPr>
          <w:rFonts w:ascii="Arial" w:hAnsi="Arial" w:cs="Arial"/>
          <w:sz w:val="26"/>
          <w:szCs w:val="26"/>
        </w:rPr>
      </w:pPr>
    </w:p>
    <w:p w:rsidR="009A0B72" w:rsidRPr="00CB6405" w:rsidRDefault="009A0B72" w:rsidP="009A0B72">
      <w:pPr>
        <w:tabs>
          <w:tab w:val="left" w:pos="1680"/>
          <w:tab w:val="center" w:pos="4277"/>
        </w:tabs>
        <w:spacing w:line="360" w:lineRule="auto"/>
        <w:jc w:val="center"/>
        <w:rPr>
          <w:rFonts w:ascii="Arial" w:hAnsi="Arial" w:cs="Arial"/>
          <w:sz w:val="26"/>
          <w:szCs w:val="26"/>
        </w:rPr>
      </w:pPr>
      <w:r w:rsidRPr="00CB6405">
        <w:rPr>
          <w:rFonts w:ascii="Arial" w:hAnsi="Arial" w:cs="Arial"/>
          <w:sz w:val="26"/>
          <w:szCs w:val="26"/>
        </w:rPr>
        <w:t>MAGISTRADO HUGO VILLEGAS AQUINO</w:t>
      </w:r>
    </w:p>
    <w:p w:rsidR="009A0B72" w:rsidRDefault="009A0B72" w:rsidP="009A0B72">
      <w:pPr>
        <w:spacing w:line="360" w:lineRule="auto"/>
        <w:jc w:val="center"/>
        <w:rPr>
          <w:rFonts w:ascii="Arial" w:hAnsi="Arial" w:cs="Arial"/>
          <w:sz w:val="26"/>
          <w:szCs w:val="26"/>
        </w:rPr>
      </w:pPr>
    </w:p>
    <w:p w:rsidR="00547D6A" w:rsidRDefault="00547D6A" w:rsidP="009A0B72">
      <w:pPr>
        <w:spacing w:line="360" w:lineRule="auto"/>
        <w:jc w:val="center"/>
        <w:rPr>
          <w:rFonts w:ascii="Arial" w:hAnsi="Arial" w:cs="Arial"/>
          <w:sz w:val="26"/>
          <w:szCs w:val="26"/>
        </w:rPr>
      </w:pPr>
    </w:p>
    <w:p w:rsidR="00547D6A" w:rsidRPr="00CB6405" w:rsidRDefault="00547D6A" w:rsidP="009A0B72">
      <w:pPr>
        <w:spacing w:line="360" w:lineRule="auto"/>
        <w:jc w:val="center"/>
        <w:rPr>
          <w:rFonts w:ascii="Arial" w:hAnsi="Arial" w:cs="Arial"/>
          <w:sz w:val="26"/>
          <w:szCs w:val="26"/>
        </w:rPr>
      </w:pPr>
    </w:p>
    <w:p w:rsidR="009A0B72" w:rsidRPr="00CB6405" w:rsidRDefault="009A0B72" w:rsidP="009A0B72">
      <w:pPr>
        <w:spacing w:line="360" w:lineRule="auto"/>
        <w:jc w:val="center"/>
        <w:rPr>
          <w:rFonts w:ascii="Arial" w:hAnsi="Arial" w:cs="Arial"/>
          <w:sz w:val="26"/>
          <w:szCs w:val="26"/>
        </w:rPr>
      </w:pPr>
      <w:r w:rsidRPr="00CB6405">
        <w:rPr>
          <w:rFonts w:ascii="Arial" w:hAnsi="Arial" w:cs="Arial"/>
          <w:sz w:val="26"/>
          <w:szCs w:val="26"/>
        </w:rPr>
        <w:t>MAGISTRADO ADRIÁN QUIROGA AVENDAÑO</w:t>
      </w:r>
    </w:p>
    <w:p w:rsidR="009A0B72" w:rsidRDefault="009A0B72" w:rsidP="009A0B72">
      <w:pPr>
        <w:spacing w:line="360" w:lineRule="auto"/>
        <w:jc w:val="center"/>
        <w:rPr>
          <w:rFonts w:ascii="Arial" w:hAnsi="Arial" w:cs="Arial"/>
          <w:sz w:val="26"/>
          <w:szCs w:val="26"/>
        </w:rPr>
      </w:pPr>
    </w:p>
    <w:p w:rsidR="00547D6A" w:rsidRDefault="00547D6A" w:rsidP="009A0B72">
      <w:pPr>
        <w:spacing w:line="360" w:lineRule="auto"/>
        <w:jc w:val="center"/>
        <w:rPr>
          <w:rFonts w:ascii="Arial" w:hAnsi="Arial" w:cs="Arial"/>
          <w:sz w:val="26"/>
          <w:szCs w:val="26"/>
        </w:rPr>
      </w:pPr>
    </w:p>
    <w:p w:rsidR="00547D6A" w:rsidRDefault="00547D6A" w:rsidP="009A0B72">
      <w:pPr>
        <w:spacing w:line="360" w:lineRule="auto"/>
        <w:jc w:val="center"/>
        <w:rPr>
          <w:rFonts w:ascii="Arial" w:hAnsi="Arial" w:cs="Arial"/>
          <w:sz w:val="26"/>
          <w:szCs w:val="26"/>
        </w:rPr>
      </w:pPr>
    </w:p>
    <w:p w:rsidR="009A0B72" w:rsidRPr="00CB6405" w:rsidRDefault="009A0B72" w:rsidP="009A0B72">
      <w:pPr>
        <w:spacing w:line="360" w:lineRule="auto"/>
        <w:jc w:val="center"/>
        <w:rPr>
          <w:rFonts w:ascii="Arial" w:hAnsi="Arial" w:cs="Arial"/>
          <w:sz w:val="26"/>
          <w:szCs w:val="26"/>
        </w:rPr>
      </w:pPr>
      <w:r w:rsidRPr="00CB6405">
        <w:rPr>
          <w:rFonts w:ascii="Arial" w:hAnsi="Arial" w:cs="Arial"/>
          <w:sz w:val="26"/>
          <w:szCs w:val="26"/>
        </w:rPr>
        <w:t>MAGISTRADO ENRIQUE PACHECO MARTÍNEZ</w:t>
      </w:r>
    </w:p>
    <w:p w:rsidR="009A0B72" w:rsidRDefault="009A0B72" w:rsidP="009A0B72">
      <w:pPr>
        <w:spacing w:line="360" w:lineRule="auto"/>
        <w:jc w:val="center"/>
        <w:rPr>
          <w:rFonts w:ascii="Arial" w:hAnsi="Arial" w:cs="Arial"/>
          <w:sz w:val="26"/>
          <w:szCs w:val="26"/>
        </w:rPr>
      </w:pPr>
    </w:p>
    <w:p w:rsidR="00547D6A" w:rsidRDefault="00547D6A" w:rsidP="009A0B72">
      <w:pPr>
        <w:spacing w:line="360" w:lineRule="auto"/>
        <w:jc w:val="center"/>
        <w:rPr>
          <w:rFonts w:ascii="Arial" w:hAnsi="Arial" w:cs="Arial"/>
          <w:sz w:val="26"/>
          <w:szCs w:val="26"/>
        </w:rPr>
      </w:pPr>
    </w:p>
    <w:p w:rsidR="00547D6A" w:rsidRPr="00CB6405" w:rsidRDefault="00547D6A" w:rsidP="009A0B72">
      <w:pPr>
        <w:spacing w:line="360" w:lineRule="auto"/>
        <w:jc w:val="center"/>
        <w:rPr>
          <w:rFonts w:ascii="Arial" w:hAnsi="Arial" w:cs="Arial"/>
          <w:sz w:val="26"/>
          <w:szCs w:val="26"/>
        </w:rPr>
      </w:pPr>
    </w:p>
    <w:p w:rsidR="009A0B72" w:rsidRPr="003A165D" w:rsidRDefault="003A165D" w:rsidP="003A165D">
      <w:pPr>
        <w:spacing w:after="0"/>
        <w:jc w:val="center"/>
        <w:rPr>
          <w:rFonts w:ascii="Arial" w:hAnsi="Arial" w:cs="Arial"/>
          <w:sz w:val="26"/>
          <w:szCs w:val="26"/>
        </w:rPr>
      </w:pPr>
      <w:r w:rsidRPr="003A165D">
        <w:rPr>
          <w:rFonts w:ascii="Arial" w:hAnsi="Arial" w:cs="Arial"/>
          <w:sz w:val="26"/>
          <w:szCs w:val="26"/>
        </w:rPr>
        <w:t>LICENCIADA</w:t>
      </w:r>
      <w:r w:rsidR="009A0B72" w:rsidRPr="003A165D">
        <w:rPr>
          <w:rFonts w:ascii="Arial" w:hAnsi="Arial" w:cs="Arial"/>
          <w:sz w:val="26"/>
          <w:szCs w:val="26"/>
        </w:rPr>
        <w:t xml:space="preserve"> SANDRA PÉREZ CRUZ</w:t>
      </w:r>
    </w:p>
    <w:p w:rsidR="009A0B72" w:rsidRPr="003A165D" w:rsidRDefault="009A0B72" w:rsidP="003A165D">
      <w:pPr>
        <w:spacing w:after="0"/>
        <w:jc w:val="center"/>
        <w:rPr>
          <w:sz w:val="26"/>
          <w:szCs w:val="26"/>
        </w:rPr>
      </w:pPr>
      <w:r w:rsidRPr="003A165D">
        <w:rPr>
          <w:rFonts w:ascii="Arial" w:hAnsi="Arial" w:cs="Arial"/>
          <w:sz w:val="26"/>
          <w:szCs w:val="26"/>
        </w:rPr>
        <w:t>SECRETARIA GENERAL DE ACUERDOS</w:t>
      </w:r>
    </w:p>
    <w:sectPr w:rsidR="009A0B72" w:rsidRPr="003A165D" w:rsidSect="00BF63C2">
      <w:headerReference w:type="even" r:id="rId9"/>
      <w:headerReference w:type="default" r:id="rId10"/>
      <w:footerReference w:type="default" r:id="rId11"/>
      <w:pgSz w:w="12240" w:h="20160" w:code="5"/>
      <w:pgMar w:top="1134"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6F" w:rsidRDefault="00FE616F">
      <w:pPr>
        <w:spacing w:after="0" w:line="240" w:lineRule="auto"/>
      </w:pPr>
      <w:r>
        <w:separator/>
      </w:r>
    </w:p>
  </w:endnote>
  <w:endnote w:type="continuationSeparator" w:id="0">
    <w:p w:rsidR="00FE616F" w:rsidRDefault="00FE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78" w:rsidRDefault="00A04078">
    <w:pPr>
      <w:pStyle w:val="Piedepgina"/>
    </w:pPr>
    <w:r>
      <w:rPr>
        <w:noProof/>
        <w:lang w:val="es-MX" w:eastAsia="es-MX"/>
      </w:rPr>
      <mc:AlternateContent>
        <mc:Choice Requires="wps">
          <w:drawing>
            <wp:anchor distT="0" distB="0" distL="114300" distR="114300" simplePos="0" relativeHeight="251659264" behindDoc="0" locked="0" layoutInCell="1" allowOverlap="1" wp14:anchorId="0647887C" wp14:editId="014BABE2">
              <wp:simplePos x="0" y="0"/>
              <wp:positionH relativeFrom="column">
                <wp:posOffset>-1219835</wp:posOffset>
              </wp:positionH>
              <wp:positionV relativeFrom="paragraph">
                <wp:posOffset>-4621530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04078" w:rsidRDefault="00A04078" w:rsidP="00A0407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6.05pt;margin-top:-363.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">
              <v:textbox>
                <w:txbxContent>
                  <w:p w:rsidR="00A04078" w:rsidRDefault="00A04078" w:rsidP="00A0407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6F" w:rsidRDefault="00FE616F">
      <w:pPr>
        <w:spacing w:after="0" w:line="240" w:lineRule="auto"/>
      </w:pPr>
      <w:r>
        <w:separator/>
      </w:r>
    </w:p>
  </w:footnote>
  <w:footnote w:type="continuationSeparator" w:id="0">
    <w:p w:rsidR="00FE616F" w:rsidRDefault="00FE6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E2D2F" w:rsidRDefault="001E2D2F">
        <w:pPr>
          <w:pStyle w:val="Encabezado"/>
          <w:jc w:val="center"/>
        </w:pPr>
        <w:r>
          <w:fldChar w:fldCharType="begin"/>
        </w:r>
        <w:r>
          <w:instrText>PAGE   \* MERGEFORMAT</w:instrText>
        </w:r>
        <w:r>
          <w:fldChar w:fldCharType="separate"/>
        </w:r>
        <w:r>
          <w:rPr>
            <w:noProof/>
          </w:rPr>
          <w:t>4</w:t>
        </w:r>
        <w:r>
          <w:fldChar w:fldCharType="end"/>
        </w:r>
      </w:p>
    </w:sdtContent>
  </w:sdt>
  <w:p w:rsidR="001E2D2F" w:rsidRDefault="001E2D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2F" w:rsidRDefault="001E2D2F" w:rsidP="00A0407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F89"/>
    <w:multiLevelType w:val="hybridMultilevel"/>
    <w:tmpl w:val="D62047FA"/>
    <w:lvl w:ilvl="0" w:tplc="5CCC8EB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FB6529F"/>
    <w:multiLevelType w:val="hybridMultilevel"/>
    <w:tmpl w:val="6D3C0080"/>
    <w:lvl w:ilvl="0" w:tplc="CDB07AE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1323193"/>
    <w:multiLevelType w:val="hybridMultilevel"/>
    <w:tmpl w:val="4D5C47C2"/>
    <w:lvl w:ilvl="0" w:tplc="8CF2BC5A">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25597434"/>
    <w:multiLevelType w:val="hybridMultilevel"/>
    <w:tmpl w:val="A558D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4762F"/>
    <w:multiLevelType w:val="hybridMultilevel"/>
    <w:tmpl w:val="A574D052"/>
    <w:lvl w:ilvl="0" w:tplc="AC2A6FA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34CF336A"/>
    <w:multiLevelType w:val="hybridMultilevel"/>
    <w:tmpl w:val="2DE63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37472E"/>
    <w:multiLevelType w:val="hybridMultilevel"/>
    <w:tmpl w:val="C9EA93D4"/>
    <w:lvl w:ilvl="0" w:tplc="A26ED2D4">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EA15CB8"/>
    <w:multiLevelType w:val="hybridMultilevel"/>
    <w:tmpl w:val="A3407CC2"/>
    <w:lvl w:ilvl="0" w:tplc="5ACCB6A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9632EC7"/>
    <w:multiLevelType w:val="hybridMultilevel"/>
    <w:tmpl w:val="F5124660"/>
    <w:lvl w:ilvl="0" w:tplc="BB8EBD2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7785DFA"/>
    <w:multiLevelType w:val="hybridMultilevel"/>
    <w:tmpl w:val="E79A8B78"/>
    <w:lvl w:ilvl="0" w:tplc="1564085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893362B"/>
    <w:multiLevelType w:val="hybridMultilevel"/>
    <w:tmpl w:val="32006FE0"/>
    <w:lvl w:ilvl="0" w:tplc="97D0B3B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6FBF41AC"/>
    <w:multiLevelType w:val="hybridMultilevel"/>
    <w:tmpl w:val="A46EC258"/>
    <w:lvl w:ilvl="0" w:tplc="041057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10"/>
  </w:num>
  <w:num w:numId="5">
    <w:abstractNumId w:val="7"/>
  </w:num>
  <w:num w:numId="6">
    <w:abstractNumId w:val="2"/>
  </w:num>
  <w:num w:numId="7">
    <w:abstractNumId w:val="6"/>
  </w:num>
  <w:num w:numId="8">
    <w:abstractNumId w:val="8"/>
  </w:num>
  <w:num w:numId="9">
    <w:abstractNumId w:val="9"/>
  </w:num>
  <w:num w:numId="10">
    <w:abstractNumId w:val="1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0"/>
    <w:rsid w:val="000035ED"/>
    <w:rsid w:val="0000428C"/>
    <w:rsid w:val="00004C6F"/>
    <w:rsid w:val="000065AB"/>
    <w:rsid w:val="00011D43"/>
    <w:rsid w:val="000176B7"/>
    <w:rsid w:val="00017DFA"/>
    <w:rsid w:val="0002269E"/>
    <w:rsid w:val="00024099"/>
    <w:rsid w:val="00024ABF"/>
    <w:rsid w:val="00024E37"/>
    <w:rsid w:val="00026BB2"/>
    <w:rsid w:val="00027ED3"/>
    <w:rsid w:val="00030E2D"/>
    <w:rsid w:val="00031EDB"/>
    <w:rsid w:val="000329A8"/>
    <w:rsid w:val="000363A4"/>
    <w:rsid w:val="0003645C"/>
    <w:rsid w:val="000406E0"/>
    <w:rsid w:val="00043353"/>
    <w:rsid w:val="00043FF5"/>
    <w:rsid w:val="00047925"/>
    <w:rsid w:val="0005230A"/>
    <w:rsid w:val="000538F2"/>
    <w:rsid w:val="00063002"/>
    <w:rsid w:val="00064BE0"/>
    <w:rsid w:val="00064CCB"/>
    <w:rsid w:val="00067DF3"/>
    <w:rsid w:val="00072792"/>
    <w:rsid w:val="00080D2C"/>
    <w:rsid w:val="00080E02"/>
    <w:rsid w:val="00080F43"/>
    <w:rsid w:val="00081F62"/>
    <w:rsid w:val="00084277"/>
    <w:rsid w:val="000859E0"/>
    <w:rsid w:val="00085AA9"/>
    <w:rsid w:val="000878CA"/>
    <w:rsid w:val="00090755"/>
    <w:rsid w:val="000918E6"/>
    <w:rsid w:val="00092298"/>
    <w:rsid w:val="0009294A"/>
    <w:rsid w:val="00093715"/>
    <w:rsid w:val="00094DCA"/>
    <w:rsid w:val="00096653"/>
    <w:rsid w:val="000A14FF"/>
    <w:rsid w:val="000A2E3B"/>
    <w:rsid w:val="000A3347"/>
    <w:rsid w:val="000A448B"/>
    <w:rsid w:val="000A5810"/>
    <w:rsid w:val="000A770C"/>
    <w:rsid w:val="000A7C2F"/>
    <w:rsid w:val="000A7DA3"/>
    <w:rsid w:val="000B4778"/>
    <w:rsid w:val="000B792F"/>
    <w:rsid w:val="000C0F78"/>
    <w:rsid w:val="000C249C"/>
    <w:rsid w:val="000C38F2"/>
    <w:rsid w:val="000C637B"/>
    <w:rsid w:val="000C6F13"/>
    <w:rsid w:val="000C7979"/>
    <w:rsid w:val="000D247E"/>
    <w:rsid w:val="000E2620"/>
    <w:rsid w:val="000E2F7C"/>
    <w:rsid w:val="000E4E11"/>
    <w:rsid w:val="0010624D"/>
    <w:rsid w:val="00107FE1"/>
    <w:rsid w:val="00114F6B"/>
    <w:rsid w:val="00115D71"/>
    <w:rsid w:val="00121D72"/>
    <w:rsid w:val="001231C2"/>
    <w:rsid w:val="0012334A"/>
    <w:rsid w:val="001259F1"/>
    <w:rsid w:val="001270BB"/>
    <w:rsid w:val="00132283"/>
    <w:rsid w:val="00137F02"/>
    <w:rsid w:val="00137FF6"/>
    <w:rsid w:val="001406E4"/>
    <w:rsid w:val="001465E1"/>
    <w:rsid w:val="00154235"/>
    <w:rsid w:val="0015510F"/>
    <w:rsid w:val="00160547"/>
    <w:rsid w:val="00160C14"/>
    <w:rsid w:val="00161424"/>
    <w:rsid w:val="00161EB2"/>
    <w:rsid w:val="001711A9"/>
    <w:rsid w:val="001764F6"/>
    <w:rsid w:val="0018017B"/>
    <w:rsid w:val="001806EA"/>
    <w:rsid w:val="00181118"/>
    <w:rsid w:val="0019177B"/>
    <w:rsid w:val="001A6920"/>
    <w:rsid w:val="001B3D37"/>
    <w:rsid w:val="001D1E37"/>
    <w:rsid w:val="001D569B"/>
    <w:rsid w:val="001E27FB"/>
    <w:rsid w:val="001E2D2F"/>
    <w:rsid w:val="001E4071"/>
    <w:rsid w:val="001E41CC"/>
    <w:rsid w:val="001E6559"/>
    <w:rsid w:val="001F32AA"/>
    <w:rsid w:val="00201E56"/>
    <w:rsid w:val="00210DC3"/>
    <w:rsid w:val="00211055"/>
    <w:rsid w:val="002150C9"/>
    <w:rsid w:val="00215A51"/>
    <w:rsid w:val="002171F0"/>
    <w:rsid w:val="00221ADD"/>
    <w:rsid w:val="00222B56"/>
    <w:rsid w:val="0022771E"/>
    <w:rsid w:val="00227B1C"/>
    <w:rsid w:val="0023102C"/>
    <w:rsid w:val="00233466"/>
    <w:rsid w:val="00233939"/>
    <w:rsid w:val="00233CBA"/>
    <w:rsid w:val="00233FA2"/>
    <w:rsid w:val="0024339E"/>
    <w:rsid w:val="0024487A"/>
    <w:rsid w:val="00244B18"/>
    <w:rsid w:val="0024787C"/>
    <w:rsid w:val="0025423C"/>
    <w:rsid w:val="00254AAC"/>
    <w:rsid w:val="00255EA7"/>
    <w:rsid w:val="00257424"/>
    <w:rsid w:val="00257926"/>
    <w:rsid w:val="002642AF"/>
    <w:rsid w:val="00264B40"/>
    <w:rsid w:val="00265077"/>
    <w:rsid w:val="002666A0"/>
    <w:rsid w:val="00270344"/>
    <w:rsid w:val="0027454B"/>
    <w:rsid w:val="002750CE"/>
    <w:rsid w:val="00276023"/>
    <w:rsid w:val="002765CE"/>
    <w:rsid w:val="0028315F"/>
    <w:rsid w:val="0028345C"/>
    <w:rsid w:val="002869D2"/>
    <w:rsid w:val="002911D7"/>
    <w:rsid w:val="002939A9"/>
    <w:rsid w:val="00294052"/>
    <w:rsid w:val="00296316"/>
    <w:rsid w:val="00296921"/>
    <w:rsid w:val="00297362"/>
    <w:rsid w:val="002A0470"/>
    <w:rsid w:val="002A5B00"/>
    <w:rsid w:val="002A74B0"/>
    <w:rsid w:val="002A7B0A"/>
    <w:rsid w:val="002B011D"/>
    <w:rsid w:val="002B2880"/>
    <w:rsid w:val="002E2846"/>
    <w:rsid w:val="002E5C88"/>
    <w:rsid w:val="002E6757"/>
    <w:rsid w:val="002F0C57"/>
    <w:rsid w:val="002F13A4"/>
    <w:rsid w:val="002F3390"/>
    <w:rsid w:val="002F79E2"/>
    <w:rsid w:val="00301D59"/>
    <w:rsid w:val="003035B9"/>
    <w:rsid w:val="0030458F"/>
    <w:rsid w:val="00314F86"/>
    <w:rsid w:val="00320DF4"/>
    <w:rsid w:val="00321057"/>
    <w:rsid w:val="00322323"/>
    <w:rsid w:val="00322738"/>
    <w:rsid w:val="00326D29"/>
    <w:rsid w:val="00326ECE"/>
    <w:rsid w:val="0033148D"/>
    <w:rsid w:val="00332CEE"/>
    <w:rsid w:val="00333BCE"/>
    <w:rsid w:val="00334A12"/>
    <w:rsid w:val="003435E7"/>
    <w:rsid w:val="00347466"/>
    <w:rsid w:val="0035288A"/>
    <w:rsid w:val="00352D97"/>
    <w:rsid w:val="00354163"/>
    <w:rsid w:val="0035457D"/>
    <w:rsid w:val="00357B20"/>
    <w:rsid w:val="00360A91"/>
    <w:rsid w:val="00363046"/>
    <w:rsid w:val="0036401D"/>
    <w:rsid w:val="003650BD"/>
    <w:rsid w:val="003661DB"/>
    <w:rsid w:val="00372885"/>
    <w:rsid w:val="00373E2F"/>
    <w:rsid w:val="00381731"/>
    <w:rsid w:val="00392471"/>
    <w:rsid w:val="00393570"/>
    <w:rsid w:val="00396A94"/>
    <w:rsid w:val="003A165D"/>
    <w:rsid w:val="003A1EA4"/>
    <w:rsid w:val="003A47CC"/>
    <w:rsid w:val="003A540D"/>
    <w:rsid w:val="003C2BE5"/>
    <w:rsid w:val="003C362B"/>
    <w:rsid w:val="003C5439"/>
    <w:rsid w:val="003C7508"/>
    <w:rsid w:val="003D0E28"/>
    <w:rsid w:val="003D1201"/>
    <w:rsid w:val="003D237D"/>
    <w:rsid w:val="003D2880"/>
    <w:rsid w:val="003D5F1F"/>
    <w:rsid w:val="003E2707"/>
    <w:rsid w:val="003E6A17"/>
    <w:rsid w:val="003E73B3"/>
    <w:rsid w:val="003E7C16"/>
    <w:rsid w:val="003F391B"/>
    <w:rsid w:val="003F69AC"/>
    <w:rsid w:val="003F6C0F"/>
    <w:rsid w:val="003F7128"/>
    <w:rsid w:val="003F7F5A"/>
    <w:rsid w:val="00401915"/>
    <w:rsid w:val="004031CE"/>
    <w:rsid w:val="004035A9"/>
    <w:rsid w:val="00404C33"/>
    <w:rsid w:val="00405307"/>
    <w:rsid w:val="0041514E"/>
    <w:rsid w:val="00416AB2"/>
    <w:rsid w:val="00416B19"/>
    <w:rsid w:val="00416BBC"/>
    <w:rsid w:val="004210E4"/>
    <w:rsid w:val="004223CF"/>
    <w:rsid w:val="00423714"/>
    <w:rsid w:val="0042545C"/>
    <w:rsid w:val="004316A0"/>
    <w:rsid w:val="00432B57"/>
    <w:rsid w:val="00441026"/>
    <w:rsid w:val="00441B3C"/>
    <w:rsid w:val="00441CDB"/>
    <w:rsid w:val="004467FE"/>
    <w:rsid w:val="00451A31"/>
    <w:rsid w:val="004531D3"/>
    <w:rsid w:val="004537BA"/>
    <w:rsid w:val="00460D5F"/>
    <w:rsid w:val="00463EB3"/>
    <w:rsid w:val="00474E2A"/>
    <w:rsid w:val="004827C3"/>
    <w:rsid w:val="00483CF8"/>
    <w:rsid w:val="00483FE2"/>
    <w:rsid w:val="004855A5"/>
    <w:rsid w:val="004866D4"/>
    <w:rsid w:val="00490B06"/>
    <w:rsid w:val="0049122F"/>
    <w:rsid w:val="00491421"/>
    <w:rsid w:val="00491882"/>
    <w:rsid w:val="0049188D"/>
    <w:rsid w:val="004A3DE4"/>
    <w:rsid w:val="004A4A1D"/>
    <w:rsid w:val="004A589F"/>
    <w:rsid w:val="004A5D72"/>
    <w:rsid w:val="004B3A3E"/>
    <w:rsid w:val="004B4A91"/>
    <w:rsid w:val="004B534E"/>
    <w:rsid w:val="004C115D"/>
    <w:rsid w:val="004C24C6"/>
    <w:rsid w:val="004D1AD0"/>
    <w:rsid w:val="004D32B2"/>
    <w:rsid w:val="004D32C8"/>
    <w:rsid w:val="004D63AF"/>
    <w:rsid w:val="004E0786"/>
    <w:rsid w:val="004F034F"/>
    <w:rsid w:val="004F6DA5"/>
    <w:rsid w:val="00500E57"/>
    <w:rsid w:val="005027E4"/>
    <w:rsid w:val="0050495F"/>
    <w:rsid w:val="00505C3A"/>
    <w:rsid w:val="00506F2E"/>
    <w:rsid w:val="00513867"/>
    <w:rsid w:val="005146FE"/>
    <w:rsid w:val="00515C0F"/>
    <w:rsid w:val="00516D91"/>
    <w:rsid w:val="005173CD"/>
    <w:rsid w:val="00522602"/>
    <w:rsid w:val="005234A5"/>
    <w:rsid w:val="00523548"/>
    <w:rsid w:val="00523F9C"/>
    <w:rsid w:val="00525316"/>
    <w:rsid w:val="005254D5"/>
    <w:rsid w:val="00526896"/>
    <w:rsid w:val="00526DF9"/>
    <w:rsid w:val="00527854"/>
    <w:rsid w:val="00531AEA"/>
    <w:rsid w:val="00533204"/>
    <w:rsid w:val="00537EE5"/>
    <w:rsid w:val="00537F20"/>
    <w:rsid w:val="00542FD6"/>
    <w:rsid w:val="00544554"/>
    <w:rsid w:val="00544975"/>
    <w:rsid w:val="00545E4A"/>
    <w:rsid w:val="00547D6A"/>
    <w:rsid w:val="00551F16"/>
    <w:rsid w:val="0055440C"/>
    <w:rsid w:val="00564106"/>
    <w:rsid w:val="00566F72"/>
    <w:rsid w:val="005670ED"/>
    <w:rsid w:val="00567E05"/>
    <w:rsid w:val="0057046C"/>
    <w:rsid w:val="00573780"/>
    <w:rsid w:val="005856EB"/>
    <w:rsid w:val="0058610D"/>
    <w:rsid w:val="00590C63"/>
    <w:rsid w:val="00591224"/>
    <w:rsid w:val="005969B0"/>
    <w:rsid w:val="005A23D2"/>
    <w:rsid w:val="005A370A"/>
    <w:rsid w:val="005A3D8F"/>
    <w:rsid w:val="005A6FC5"/>
    <w:rsid w:val="005B7C00"/>
    <w:rsid w:val="005C1409"/>
    <w:rsid w:val="005C28AB"/>
    <w:rsid w:val="005C2BCD"/>
    <w:rsid w:val="005C54E9"/>
    <w:rsid w:val="005C5C01"/>
    <w:rsid w:val="005D05AA"/>
    <w:rsid w:val="005D2C26"/>
    <w:rsid w:val="005D4561"/>
    <w:rsid w:val="005E23CD"/>
    <w:rsid w:val="005E2535"/>
    <w:rsid w:val="005F1059"/>
    <w:rsid w:val="005F2290"/>
    <w:rsid w:val="005F3958"/>
    <w:rsid w:val="005F76D8"/>
    <w:rsid w:val="005F7E16"/>
    <w:rsid w:val="00600B62"/>
    <w:rsid w:val="0060481C"/>
    <w:rsid w:val="006052B1"/>
    <w:rsid w:val="00606045"/>
    <w:rsid w:val="00612584"/>
    <w:rsid w:val="006146F4"/>
    <w:rsid w:val="00620F17"/>
    <w:rsid w:val="00622030"/>
    <w:rsid w:val="006232A8"/>
    <w:rsid w:val="00623445"/>
    <w:rsid w:val="00623D69"/>
    <w:rsid w:val="0062433F"/>
    <w:rsid w:val="0062572D"/>
    <w:rsid w:val="0063059C"/>
    <w:rsid w:val="00630A3E"/>
    <w:rsid w:val="00630C7D"/>
    <w:rsid w:val="00636697"/>
    <w:rsid w:val="0063709C"/>
    <w:rsid w:val="006371F3"/>
    <w:rsid w:val="00641937"/>
    <w:rsid w:val="00642FBC"/>
    <w:rsid w:val="00644CC9"/>
    <w:rsid w:val="0065284A"/>
    <w:rsid w:val="006537EB"/>
    <w:rsid w:val="0066276B"/>
    <w:rsid w:val="006629A5"/>
    <w:rsid w:val="00662A88"/>
    <w:rsid w:val="00664629"/>
    <w:rsid w:val="00670FEE"/>
    <w:rsid w:val="0067120A"/>
    <w:rsid w:val="006723AD"/>
    <w:rsid w:val="006758A6"/>
    <w:rsid w:val="00676946"/>
    <w:rsid w:val="006813B5"/>
    <w:rsid w:val="00682BBB"/>
    <w:rsid w:val="00683D51"/>
    <w:rsid w:val="00685C1D"/>
    <w:rsid w:val="006878D8"/>
    <w:rsid w:val="006901B2"/>
    <w:rsid w:val="00694CB4"/>
    <w:rsid w:val="00695061"/>
    <w:rsid w:val="00696E44"/>
    <w:rsid w:val="006973B4"/>
    <w:rsid w:val="006A2E45"/>
    <w:rsid w:val="006A4096"/>
    <w:rsid w:val="006A470A"/>
    <w:rsid w:val="006A585F"/>
    <w:rsid w:val="006B2F41"/>
    <w:rsid w:val="006B38FB"/>
    <w:rsid w:val="006B51A7"/>
    <w:rsid w:val="006C2346"/>
    <w:rsid w:val="006C7326"/>
    <w:rsid w:val="006D3FDA"/>
    <w:rsid w:val="006D4287"/>
    <w:rsid w:val="006D6734"/>
    <w:rsid w:val="006D6F92"/>
    <w:rsid w:val="006E0F70"/>
    <w:rsid w:val="006E145D"/>
    <w:rsid w:val="006E1A90"/>
    <w:rsid w:val="006E720D"/>
    <w:rsid w:val="006E7E94"/>
    <w:rsid w:val="006F36B5"/>
    <w:rsid w:val="006F70AB"/>
    <w:rsid w:val="00703C51"/>
    <w:rsid w:val="00706459"/>
    <w:rsid w:val="00706941"/>
    <w:rsid w:val="007167BA"/>
    <w:rsid w:val="007222D1"/>
    <w:rsid w:val="0072358E"/>
    <w:rsid w:val="00723673"/>
    <w:rsid w:val="00725B7E"/>
    <w:rsid w:val="00732225"/>
    <w:rsid w:val="007331F2"/>
    <w:rsid w:val="00735CB6"/>
    <w:rsid w:val="0074020C"/>
    <w:rsid w:val="00740872"/>
    <w:rsid w:val="00741174"/>
    <w:rsid w:val="007427F8"/>
    <w:rsid w:val="00746762"/>
    <w:rsid w:val="00756CD7"/>
    <w:rsid w:val="00762569"/>
    <w:rsid w:val="00780F07"/>
    <w:rsid w:val="00782AB7"/>
    <w:rsid w:val="00784B4A"/>
    <w:rsid w:val="00786764"/>
    <w:rsid w:val="007948C9"/>
    <w:rsid w:val="007A14B4"/>
    <w:rsid w:val="007A2E35"/>
    <w:rsid w:val="007A5A3B"/>
    <w:rsid w:val="007B7C7B"/>
    <w:rsid w:val="007C1588"/>
    <w:rsid w:val="007C3E5F"/>
    <w:rsid w:val="007C5043"/>
    <w:rsid w:val="007C7EFE"/>
    <w:rsid w:val="007D2D7D"/>
    <w:rsid w:val="007E0C69"/>
    <w:rsid w:val="007E283D"/>
    <w:rsid w:val="007E382A"/>
    <w:rsid w:val="007E62F9"/>
    <w:rsid w:val="007E636D"/>
    <w:rsid w:val="007F4200"/>
    <w:rsid w:val="007F4A16"/>
    <w:rsid w:val="007F749C"/>
    <w:rsid w:val="008005B7"/>
    <w:rsid w:val="00801667"/>
    <w:rsid w:val="00802C18"/>
    <w:rsid w:val="00807478"/>
    <w:rsid w:val="00810848"/>
    <w:rsid w:val="008140DA"/>
    <w:rsid w:val="00820A85"/>
    <w:rsid w:val="008227DA"/>
    <w:rsid w:val="00826B6E"/>
    <w:rsid w:val="008309C1"/>
    <w:rsid w:val="00835101"/>
    <w:rsid w:val="00835273"/>
    <w:rsid w:val="008364F5"/>
    <w:rsid w:val="008413B8"/>
    <w:rsid w:val="008415A9"/>
    <w:rsid w:val="00842D26"/>
    <w:rsid w:val="0084380C"/>
    <w:rsid w:val="00863EF0"/>
    <w:rsid w:val="008745D1"/>
    <w:rsid w:val="0087623C"/>
    <w:rsid w:val="0087699D"/>
    <w:rsid w:val="008775F1"/>
    <w:rsid w:val="00877A84"/>
    <w:rsid w:val="00884F3E"/>
    <w:rsid w:val="0088680F"/>
    <w:rsid w:val="00886AB4"/>
    <w:rsid w:val="008870FC"/>
    <w:rsid w:val="0088779E"/>
    <w:rsid w:val="008907CE"/>
    <w:rsid w:val="00893DEC"/>
    <w:rsid w:val="00895A96"/>
    <w:rsid w:val="008A317C"/>
    <w:rsid w:val="008B5B18"/>
    <w:rsid w:val="008B63B8"/>
    <w:rsid w:val="008B7ABE"/>
    <w:rsid w:val="008C1C59"/>
    <w:rsid w:val="008C7607"/>
    <w:rsid w:val="008D08D4"/>
    <w:rsid w:val="008D63B8"/>
    <w:rsid w:val="008E0C9E"/>
    <w:rsid w:val="008E36AB"/>
    <w:rsid w:val="008E582A"/>
    <w:rsid w:val="008E5B1B"/>
    <w:rsid w:val="008E6935"/>
    <w:rsid w:val="008F0251"/>
    <w:rsid w:val="008F1B0B"/>
    <w:rsid w:val="008F53E5"/>
    <w:rsid w:val="008F71C4"/>
    <w:rsid w:val="00902A68"/>
    <w:rsid w:val="00902C72"/>
    <w:rsid w:val="0090342B"/>
    <w:rsid w:val="0090344D"/>
    <w:rsid w:val="0090736A"/>
    <w:rsid w:val="00910C84"/>
    <w:rsid w:val="009170ED"/>
    <w:rsid w:val="0092114B"/>
    <w:rsid w:val="00927A4B"/>
    <w:rsid w:val="00933138"/>
    <w:rsid w:val="00934551"/>
    <w:rsid w:val="0093506A"/>
    <w:rsid w:val="009444BC"/>
    <w:rsid w:val="00946938"/>
    <w:rsid w:val="00952292"/>
    <w:rsid w:val="00955E11"/>
    <w:rsid w:val="00957346"/>
    <w:rsid w:val="00957905"/>
    <w:rsid w:val="00963687"/>
    <w:rsid w:val="009709B0"/>
    <w:rsid w:val="00972D3F"/>
    <w:rsid w:val="00974546"/>
    <w:rsid w:val="00974560"/>
    <w:rsid w:val="0097729C"/>
    <w:rsid w:val="00982710"/>
    <w:rsid w:val="00984E80"/>
    <w:rsid w:val="0099309E"/>
    <w:rsid w:val="00997B84"/>
    <w:rsid w:val="009A0B72"/>
    <w:rsid w:val="009A129B"/>
    <w:rsid w:val="009A4FE3"/>
    <w:rsid w:val="009A5E2D"/>
    <w:rsid w:val="009A7F81"/>
    <w:rsid w:val="009B4C78"/>
    <w:rsid w:val="009C11D7"/>
    <w:rsid w:val="009C123D"/>
    <w:rsid w:val="009C7874"/>
    <w:rsid w:val="009D213B"/>
    <w:rsid w:val="009D6917"/>
    <w:rsid w:val="009D729A"/>
    <w:rsid w:val="009D79F4"/>
    <w:rsid w:val="009E2B12"/>
    <w:rsid w:val="009E5A8C"/>
    <w:rsid w:val="009E5C53"/>
    <w:rsid w:val="009F475B"/>
    <w:rsid w:val="009F4969"/>
    <w:rsid w:val="009F6D84"/>
    <w:rsid w:val="00A00ABD"/>
    <w:rsid w:val="00A00E59"/>
    <w:rsid w:val="00A04078"/>
    <w:rsid w:val="00A0676D"/>
    <w:rsid w:val="00A14543"/>
    <w:rsid w:val="00A20CD4"/>
    <w:rsid w:val="00A21993"/>
    <w:rsid w:val="00A24D35"/>
    <w:rsid w:val="00A25CFE"/>
    <w:rsid w:val="00A25D2E"/>
    <w:rsid w:val="00A267B8"/>
    <w:rsid w:val="00A3494B"/>
    <w:rsid w:val="00A36C6D"/>
    <w:rsid w:val="00A415BE"/>
    <w:rsid w:val="00A459DA"/>
    <w:rsid w:val="00A511F6"/>
    <w:rsid w:val="00A51D8F"/>
    <w:rsid w:val="00A52423"/>
    <w:rsid w:val="00A5357F"/>
    <w:rsid w:val="00A54E90"/>
    <w:rsid w:val="00A553C0"/>
    <w:rsid w:val="00A57C2B"/>
    <w:rsid w:val="00A61CE7"/>
    <w:rsid w:val="00A6270F"/>
    <w:rsid w:val="00A65113"/>
    <w:rsid w:val="00A657E7"/>
    <w:rsid w:val="00A70956"/>
    <w:rsid w:val="00A71E11"/>
    <w:rsid w:val="00A74E53"/>
    <w:rsid w:val="00A80582"/>
    <w:rsid w:val="00A82D83"/>
    <w:rsid w:val="00A82FB3"/>
    <w:rsid w:val="00A8727D"/>
    <w:rsid w:val="00A96946"/>
    <w:rsid w:val="00A96BB4"/>
    <w:rsid w:val="00A972F4"/>
    <w:rsid w:val="00A97DB3"/>
    <w:rsid w:val="00AB1CC1"/>
    <w:rsid w:val="00AC024E"/>
    <w:rsid w:val="00AC1DF7"/>
    <w:rsid w:val="00AC29C4"/>
    <w:rsid w:val="00AC7CF0"/>
    <w:rsid w:val="00AD25D7"/>
    <w:rsid w:val="00AD2A26"/>
    <w:rsid w:val="00AD51B3"/>
    <w:rsid w:val="00AD5BFB"/>
    <w:rsid w:val="00AD6410"/>
    <w:rsid w:val="00AE0D48"/>
    <w:rsid w:val="00AE44C6"/>
    <w:rsid w:val="00AE5042"/>
    <w:rsid w:val="00B00073"/>
    <w:rsid w:val="00B13132"/>
    <w:rsid w:val="00B2503B"/>
    <w:rsid w:val="00B3348F"/>
    <w:rsid w:val="00B36C79"/>
    <w:rsid w:val="00B40101"/>
    <w:rsid w:val="00B50AE1"/>
    <w:rsid w:val="00B516E9"/>
    <w:rsid w:val="00B523EA"/>
    <w:rsid w:val="00B52E8F"/>
    <w:rsid w:val="00B65589"/>
    <w:rsid w:val="00B65E57"/>
    <w:rsid w:val="00B662A7"/>
    <w:rsid w:val="00B67646"/>
    <w:rsid w:val="00B712B3"/>
    <w:rsid w:val="00B7180B"/>
    <w:rsid w:val="00B71B80"/>
    <w:rsid w:val="00B76DDD"/>
    <w:rsid w:val="00B80380"/>
    <w:rsid w:val="00B819C0"/>
    <w:rsid w:val="00B962C0"/>
    <w:rsid w:val="00BA4DBE"/>
    <w:rsid w:val="00BB771F"/>
    <w:rsid w:val="00BC2233"/>
    <w:rsid w:val="00BC38B0"/>
    <w:rsid w:val="00BD0D86"/>
    <w:rsid w:val="00BD4FCF"/>
    <w:rsid w:val="00BE399D"/>
    <w:rsid w:val="00BE74E0"/>
    <w:rsid w:val="00BF2B6B"/>
    <w:rsid w:val="00BF48E8"/>
    <w:rsid w:val="00BF4DE8"/>
    <w:rsid w:val="00BF4F7F"/>
    <w:rsid w:val="00BF63C2"/>
    <w:rsid w:val="00BF6454"/>
    <w:rsid w:val="00C00B66"/>
    <w:rsid w:val="00C0263C"/>
    <w:rsid w:val="00C05A73"/>
    <w:rsid w:val="00C11C32"/>
    <w:rsid w:val="00C12712"/>
    <w:rsid w:val="00C22BFA"/>
    <w:rsid w:val="00C2606A"/>
    <w:rsid w:val="00C27B2C"/>
    <w:rsid w:val="00C33731"/>
    <w:rsid w:val="00C33DF1"/>
    <w:rsid w:val="00C407BF"/>
    <w:rsid w:val="00C44EAB"/>
    <w:rsid w:val="00C61F21"/>
    <w:rsid w:val="00C651CD"/>
    <w:rsid w:val="00C65514"/>
    <w:rsid w:val="00C65CB9"/>
    <w:rsid w:val="00C65E78"/>
    <w:rsid w:val="00C70BBD"/>
    <w:rsid w:val="00C7329C"/>
    <w:rsid w:val="00C734A2"/>
    <w:rsid w:val="00C7369A"/>
    <w:rsid w:val="00C75156"/>
    <w:rsid w:val="00C768F2"/>
    <w:rsid w:val="00C853BC"/>
    <w:rsid w:val="00C860F5"/>
    <w:rsid w:val="00C86547"/>
    <w:rsid w:val="00C87E6C"/>
    <w:rsid w:val="00C91E75"/>
    <w:rsid w:val="00C93535"/>
    <w:rsid w:val="00C96304"/>
    <w:rsid w:val="00CA2227"/>
    <w:rsid w:val="00CA4C73"/>
    <w:rsid w:val="00CA681B"/>
    <w:rsid w:val="00CB1066"/>
    <w:rsid w:val="00CC0BEB"/>
    <w:rsid w:val="00CC35E6"/>
    <w:rsid w:val="00CC41C0"/>
    <w:rsid w:val="00CC4DD7"/>
    <w:rsid w:val="00CC7347"/>
    <w:rsid w:val="00CD24B9"/>
    <w:rsid w:val="00CD309F"/>
    <w:rsid w:val="00CD37C9"/>
    <w:rsid w:val="00CD37E0"/>
    <w:rsid w:val="00CE2385"/>
    <w:rsid w:val="00CE297B"/>
    <w:rsid w:val="00CE2EAE"/>
    <w:rsid w:val="00CE547F"/>
    <w:rsid w:val="00CF448D"/>
    <w:rsid w:val="00CF70F5"/>
    <w:rsid w:val="00CF7B23"/>
    <w:rsid w:val="00D016CB"/>
    <w:rsid w:val="00D021C8"/>
    <w:rsid w:val="00D02EE9"/>
    <w:rsid w:val="00D02EEB"/>
    <w:rsid w:val="00D10BC2"/>
    <w:rsid w:val="00D14D4A"/>
    <w:rsid w:val="00D14FD4"/>
    <w:rsid w:val="00D16853"/>
    <w:rsid w:val="00D16CF5"/>
    <w:rsid w:val="00D233F5"/>
    <w:rsid w:val="00D23579"/>
    <w:rsid w:val="00D2414F"/>
    <w:rsid w:val="00D258F0"/>
    <w:rsid w:val="00D2720B"/>
    <w:rsid w:val="00D32509"/>
    <w:rsid w:val="00D36DA7"/>
    <w:rsid w:val="00D37638"/>
    <w:rsid w:val="00D42641"/>
    <w:rsid w:val="00D4385B"/>
    <w:rsid w:val="00D51D4F"/>
    <w:rsid w:val="00D53EC1"/>
    <w:rsid w:val="00D55567"/>
    <w:rsid w:val="00D614E6"/>
    <w:rsid w:val="00D61CC6"/>
    <w:rsid w:val="00D67A05"/>
    <w:rsid w:val="00D70F11"/>
    <w:rsid w:val="00D758EB"/>
    <w:rsid w:val="00D766B2"/>
    <w:rsid w:val="00D851C9"/>
    <w:rsid w:val="00D86B4D"/>
    <w:rsid w:val="00D8780D"/>
    <w:rsid w:val="00D907DF"/>
    <w:rsid w:val="00D9127C"/>
    <w:rsid w:val="00D9314A"/>
    <w:rsid w:val="00D94BBB"/>
    <w:rsid w:val="00D95506"/>
    <w:rsid w:val="00DA0FD8"/>
    <w:rsid w:val="00DA64F1"/>
    <w:rsid w:val="00DA6721"/>
    <w:rsid w:val="00DA7608"/>
    <w:rsid w:val="00DB103F"/>
    <w:rsid w:val="00DB19FE"/>
    <w:rsid w:val="00DB2FFD"/>
    <w:rsid w:val="00DB54A2"/>
    <w:rsid w:val="00DB6835"/>
    <w:rsid w:val="00DB73D3"/>
    <w:rsid w:val="00DC1E31"/>
    <w:rsid w:val="00DC4307"/>
    <w:rsid w:val="00DC5AB5"/>
    <w:rsid w:val="00DC69BF"/>
    <w:rsid w:val="00DC708B"/>
    <w:rsid w:val="00DC716B"/>
    <w:rsid w:val="00DD3A21"/>
    <w:rsid w:val="00DD4C02"/>
    <w:rsid w:val="00DE18EC"/>
    <w:rsid w:val="00DE365C"/>
    <w:rsid w:val="00E03834"/>
    <w:rsid w:val="00E06F11"/>
    <w:rsid w:val="00E11D23"/>
    <w:rsid w:val="00E12515"/>
    <w:rsid w:val="00E13106"/>
    <w:rsid w:val="00E22EBF"/>
    <w:rsid w:val="00E25B2D"/>
    <w:rsid w:val="00E30DFF"/>
    <w:rsid w:val="00E330C6"/>
    <w:rsid w:val="00E335E2"/>
    <w:rsid w:val="00E3378C"/>
    <w:rsid w:val="00E40E73"/>
    <w:rsid w:val="00E44665"/>
    <w:rsid w:val="00E45272"/>
    <w:rsid w:val="00E467DB"/>
    <w:rsid w:val="00E46C28"/>
    <w:rsid w:val="00E51DE5"/>
    <w:rsid w:val="00E55C30"/>
    <w:rsid w:val="00E62003"/>
    <w:rsid w:val="00E66CB8"/>
    <w:rsid w:val="00E7320F"/>
    <w:rsid w:val="00E74DF8"/>
    <w:rsid w:val="00E7534E"/>
    <w:rsid w:val="00E77050"/>
    <w:rsid w:val="00E77BAD"/>
    <w:rsid w:val="00E81CB5"/>
    <w:rsid w:val="00E96158"/>
    <w:rsid w:val="00EA0357"/>
    <w:rsid w:val="00EA6CAD"/>
    <w:rsid w:val="00EA6EE7"/>
    <w:rsid w:val="00EB0333"/>
    <w:rsid w:val="00EB0AA8"/>
    <w:rsid w:val="00EB15FF"/>
    <w:rsid w:val="00EB41F7"/>
    <w:rsid w:val="00EB432A"/>
    <w:rsid w:val="00EC1C8B"/>
    <w:rsid w:val="00EC4359"/>
    <w:rsid w:val="00ED07D8"/>
    <w:rsid w:val="00ED1F02"/>
    <w:rsid w:val="00ED31DC"/>
    <w:rsid w:val="00ED32AF"/>
    <w:rsid w:val="00ED75EF"/>
    <w:rsid w:val="00EE3713"/>
    <w:rsid w:val="00EE3D56"/>
    <w:rsid w:val="00EE487A"/>
    <w:rsid w:val="00EE7973"/>
    <w:rsid w:val="00EF340B"/>
    <w:rsid w:val="00EF6200"/>
    <w:rsid w:val="00F00F4C"/>
    <w:rsid w:val="00F10B47"/>
    <w:rsid w:val="00F131C0"/>
    <w:rsid w:val="00F20C81"/>
    <w:rsid w:val="00F24143"/>
    <w:rsid w:val="00F26A01"/>
    <w:rsid w:val="00F32997"/>
    <w:rsid w:val="00F333A8"/>
    <w:rsid w:val="00F377D0"/>
    <w:rsid w:val="00F422CF"/>
    <w:rsid w:val="00F47460"/>
    <w:rsid w:val="00F52306"/>
    <w:rsid w:val="00F5351F"/>
    <w:rsid w:val="00F55EFF"/>
    <w:rsid w:val="00F57072"/>
    <w:rsid w:val="00F57458"/>
    <w:rsid w:val="00F5798D"/>
    <w:rsid w:val="00F6029D"/>
    <w:rsid w:val="00F62829"/>
    <w:rsid w:val="00F7200A"/>
    <w:rsid w:val="00F73DAF"/>
    <w:rsid w:val="00F74AE3"/>
    <w:rsid w:val="00F77DC7"/>
    <w:rsid w:val="00F844FB"/>
    <w:rsid w:val="00F862C9"/>
    <w:rsid w:val="00F877F4"/>
    <w:rsid w:val="00F91F93"/>
    <w:rsid w:val="00F93AA8"/>
    <w:rsid w:val="00F9482E"/>
    <w:rsid w:val="00F95459"/>
    <w:rsid w:val="00F965DE"/>
    <w:rsid w:val="00FA5199"/>
    <w:rsid w:val="00FB12C2"/>
    <w:rsid w:val="00FB1C84"/>
    <w:rsid w:val="00FB2F2C"/>
    <w:rsid w:val="00FB774D"/>
    <w:rsid w:val="00FC4137"/>
    <w:rsid w:val="00FD2B65"/>
    <w:rsid w:val="00FE3945"/>
    <w:rsid w:val="00FE5524"/>
    <w:rsid w:val="00FE616F"/>
    <w:rsid w:val="00FF0101"/>
    <w:rsid w:val="00FF135A"/>
    <w:rsid w:val="00FF184E"/>
    <w:rsid w:val="00FF1932"/>
    <w:rsid w:val="00FF5CCC"/>
    <w:rsid w:val="00FF6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7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7F2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537F20"/>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096653"/>
    <w:pPr>
      <w:ind w:left="720"/>
      <w:contextualSpacing/>
    </w:pPr>
  </w:style>
  <w:style w:type="paragraph" w:styleId="NormalWeb">
    <w:name w:val="Normal (Web)"/>
    <w:basedOn w:val="Normal"/>
    <w:uiPriority w:val="99"/>
    <w:semiHidden/>
    <w:unhideWhenUsed/>
    <w:rsid w:val="00DC1E3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6D6F92"/>
    <w:pPr>
      <w:spacing w:after="0" w:line="240" w:lineRule="auto"/>
    </w:pPr>
    <w:rPr>
      <w:lang w:val="es-ES"/>
    </w:rPr>
  </w:style>
  <w:style w:type="paragraph" w:styleId="Textodeglobo">
    <w:name w:val="Balloon Text"/>
    <w:basedOn w:val="Normal"/>
    <w:link w:val="TextodegloboCar"/>
    <w:uiPriority w:val="99"/>
    <w:semiHidden/>
    <w:unhideWhenUsed/>
    <w:rsid w:val="00161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424"/>
    <w:rPr>
      <w:rFonts w:ascii="Segoe UI" w:hAnsi="Segoe UI" w:cs="Segoe UI"/>
      <w:sz w:val="18"/>
      <w:szCs w:val="18"/>
      <w:lang w:val="es-ES"/>
    </w:rPr>
  </w:style>
  <w:style w:type="paragraph" w:customStyle="1" w:styleId="parrafo">
    <w:name w:val="parrafo"/>
    <w:basedOn w:val="Normal"/>
    <w:rsid w:val="0023393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2F0C57"/>
  </w:style>
  <w:style w:type="paragraph" w:styleId="Piedepgina">
    <w:name w:val="footer"/>
    <w:basedOn w:val="Normal"/>
    <w:link w:val="PiedepginaCar"/>
    <w:uiPriority w:val="99"/>
    <w:unhideWhenUsed/>
    <w:rsid w:val="00364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01D"/>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7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7F2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537F20"/>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096653"/>
    <w:pPr>
      <w:ind w:left="720"/>
      <w:contextualSpacing/>
    </w:pPr>
  </w:style>
  <w:style w:type="paragraph" w:styleId="NormalWeb">
    <w:name w:val="Normal (Web)"/>
    <w:basedOn w:val="Normal"/>
    <w:uiPriority w:val="99"/>
    <w:semiHidden/>
    <w:unhideWhenUsed/>
    <w:rsid w:val="00DC1E3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6D6F92"/>
    <w:pPr>
      <w:spacing w:after="0" w:line="240" w:lineRule="auto"/>
    </w:pPr>
    <w:rPr>
      <w:lang w:val="es-ES"/>
    </w:rPr>
  </w:style>
  <w:style w:type="paragraph" w:styleId="Textodeglobo">
    <w:name w:val="Balloon Text"/>
    <w:basedOn w:val="Normal"/>
    <w:link w:val="TextodegloboCar"/>
    <w:uiPriority w:val="99"/>
    <w:semiHidden/>
    <w:unhideWhenUsed/>
    <w:rsid w:val="00161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424"/>
    <w:rPr>
      <w:rFonts w:ascii="Segoe UI" w:hAnsi="Segoe UI" w:cs="Segoe UI"/>
      <w:sz w:val="18"/>
      <w:szCs w:val="18"/>
      <w:lang w:val="es-ES"/>
    </w:rPr>
  </w:style>
  <w:style w:type="paragraph" w:customStyle="1" w:styleId="parrafo">
    <w:name w:val="parrafo"/>
    <w:basedOn w:val="Normal"/>
    <w:rsid w:val="0023393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2F0C57"/>
  </w:style>
  <w:style w:type="paragraph" w:styleId="Piedepgina">
    <w:name w:val="footer"/>
    <w:basedOn w:val="Normal"/>
    <w:link w:val="PiedepginaCar"/>
    <w:uiPriority w:val="99"/>
    <w:unhideWhenUsed/>
    <w:rsid w:val="00364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01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994">
      <w:bodyDiv w:val="1"/>
      <w:marLeft w:val="0"/>
      <w:marRight w:val="0"/>
      <w:marTop w:val="0"/>
      <w:marBottom w:val="0"/>
      <w:divBdr>
        <w:top w:val="none" w:sz="0" w:space="0" w:color="auto"/>
        <w:left w:val="none" w:sz="0" w:space="0" w:color="auto"/>
        <w:bottom w:val="none" w:sz="0" w:space="0" w:color="auto"/>
        <w:right w:val="none" w:sz="0" w:space="0" w:color="auto"/>
      </w:divBdr>
    </w:div>
    <w:div w:id="838695383">
      <w:bodyDiv w:val="1"/>
      <w:marLeft w:val="0"/>
      <w:marRight w:val="0"/>
      <w:marTop w:val="0"/>
      <w:marBottom w:val="0"/>
      <w:divBdr>
        <w:top w:val="none" w:sz="0" w:space="0" w:color="auto"/>
        <w:left w:val="none" w:sz="0" w:space="0" w:color="auto"/>
        <w:bottom w:val="none" w:sz="0" w:space="0" w:color="auto"/>
        <w:right w:val="none" w:sz="0" w:space="0" w:color="auto"/>
      </w:divBdr>
    </w:div>
    <w:div w:id="1241057677">
      <w:bodyDiv w:val="1"/>
      <w:marLeft w:val="0"/>
      <w:marRight w:val="0"/>
      <w:marTop w:val="0"/>
      <w:marBottom w:val="0"/>
      <w:divBdr>
        <w:top w:val="none" w:sz="0" w:space="0" w:color="auto"/>
        <w:left w:val="none" w:sz="0" w:space="0" w:color="auto"/>
        <w:bottom w:val="none" w:sz="0" w:space="0" w:color="auto"/>
        <w:right w:val="none" w:sz="0" w:space="0" w:color="auto"/>
      </w:divBdr>
    </w:div>
    <w:div w:id="1605961022">
      <w:bodyDiv w:val="1"/>
      <w:marLeft w:val="0"/>
      <w:marRight w:val="0"/>
      <w:marTop w:val="0"/>
      <w:marBottom w:val="0"/>
      <w:divBdr>
        <w:top w:val="none" w:sz="0" w:space="0" w:color="auto"/>
        <w:left w:val="none" w:sz="0" w:space="0" w:color="auto"/>
        <w:bottom w:val="none" w:sz="0" w:space="0" w:color="auto"/>
        <w:right w:val="none" w:sz="0" w:space="0" w:color="auto"/>
      </w:divBdr>
    </w:div>
    <w:div w:id="21362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5B76-6D9C-4375-ADD5-A851C593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8</Pages>
  <Words>2281</Words>
  <Characters>12546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Enlace</dc:creator>
  <cp:lastModifiedBy>TCA-Personal</cp:lastModifiedBy>
  <cp:revision>34</cp:revision>
  <cp:lastPrinted>2018-05-04T16:54:00Z</cp:lastPrinted>
  <dcterms:created xsi:type="dcterms:W3CDTF">2018-03-08T17:13:00Z</dcterms:created>
  <dcterms:modified xsi:type="dcterms:W3CDTF">2018-12-10T16:58:00Z</dcterms:modified>
</cp:coreProperties>
</file>