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1119" w:right="497" w:hanging="1119"/>
              <w:jc w:val="both"/>
              <w:rPr>
                <w:rFonts w:ascii="Arial" w:hAnsi="Arial" w:cs="Arial"/>
                <w:b/>
                <w:iCs/>
                <w:caps/>
                <w:sz w:val="26"/>
                <w:szCs w:val="26"/>
              </w:rPr>
            </w:pPr>
            <w:r w:rsidRPr="001872CB">
              <w:rPr>
                <w:rFonts w:ascii="Arial" w:hAnsi="Arial" w:cs="Arial"/>
                <w:b/>
                <w:i/>
                <w:iCs/>
                <w:caps/>
                <w:sz w:val="26"/>
                <w:szCs w:val="26"/>
                <w:lang w:val="es-ES"/>
              </w:rPr>
              <w:t xml:space="preserve">               </w:t>
            </w:r>
            <w:r w:rsidRPr="001872CB">
              <w:rPr>
                <w:rFonts w:ascii="Arial" w:hAnsi="Arial" w:cs="Arial"/>
                <w:b/>
                <w:iCs/>
                <w:caps/>
                <w:sz w:val="26"/>
                <w:szCs w:val="26"/>
                <w:lang w:val="es-ES"/>
              </w:rPr>
              <w:t>SALA SUPERIOR DEL TRIBUNAL DE justicia administrativa DEL ESTADO de oaxaca.</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720D4C">
              <w:rPr>
                <w:rFonts w:ascii="Arial" w:eastAsia="PMingLiU" w:hAnsi="Arial" w:cs="Arial"/>
                <w:b/>
                <w:iCs/>
                <w:caps/>
                <w:sz w:val="26"/>
                <w:szCs w:val="26"/>
                <w:lang w:val="es-PE" w:eastAsia="zh-TW"/>
              </w:rPr>
              <w:t xml:space="preserve">         RECURSO DE REVISIÓN: </w:t>
            </w:r>
            <w:r w:rsidR="005C55F9">
              <w:rPr>
                <w:rFonts w:ascii="Arial" w:eastAsia="PMingLiU" w:hAnsi="Arial" w:cs="Arial"/>
                <w:b/>
                <w:iCs/>
                <w:caps/>
                <w:sz w:val="26"/>
                <w:szCs w:val="26"/>
                <w:lang w:val="es-PE" w:eastAsia="zh-TW"/>
              </w:rPr>
              <w:t>0067</w:t>
            </w:r>
            <w:r w:rsidR="00A811FD">
              <w:rPr>
                <w:rFonts w:ascii="Arial" w:eastAsia="PMingLiU" w:hAnsi="Arial" w:cs="Arial"/>
                <w:b/>
                <w:iCs/>
                <w:caps/>
                <w:sz w:val="26"/>
                <w:szCs w:val="26"/>
                <w:lang w:val="es-PE" w:eastAsia="zh-TW"/>
              </w:rPr>
              <w:t>/2019</w:t>
            </w:r>
            <w:r>
              <w:rPr>
                <w:rFonts w:ascii="Arial" w:eastAsia="PMingLiU" w:hAnsi="Arial" w:cs="Arial"/>
                <w:b/>
                <w:iCs/>
                <w:caps/>
                <w:sz w:val="26"/>
                <w:szCs w:val="26"/>
                <w:lang w:val="es-PE" w:eastAsia="zh-TW"/>
              </w:rPr>
              <w:t>.</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EXPEDIENTE</w:t>
            </w:r>
            <w:r w:rsidRPr="001872CB">
              <w:rPr>
                <w:rFonts w:ascii="Arial" w:eastAsia="PMingLiU" w:hAnsi="Arial" w:cs="Arial"/>
                <w:b/>
                <w:iCs/>
                <w:caps/>
                <w:sz w:val="26"/>
                <w:szCs w:val="26"/>
                <w:lang w:val="es-ES" w:eastAsia="zh-TW"/>
              </w:rPr>
              <w:t>:</w:t>
            </w:r>
            <w:r w:rsidRPr="001872CB">
              <w:rPr>
                <w:rFonts w:ascii="Arial" w:eastAsia="PMingLiU" w:hAnsi="Arial" w:cs="Arial"/>
                <w:b/>
                <w:iCs/>
                <w:caps/>
                <w:sz w:val="26"/>
                <w:szCs w:val="26"/>
                <w:lang w:val="es-PE" w:eastAsia="zh-TW"/>
              </w:rPr>
              <w:t xml:space="preserve"> </w:t>
            </w:r>
            <w:r w:rsidR="002C5A0C">
              <w:rPr>
                <w:rFonts w:ascii="Arial" w:eastAsia="PMingLiU" w:hAnsi="Arial" w:cs="Arial"/>
                <w:b/>
                <w:iCs/>
                <w:caps/>
                <w:sz w:val="26"/>
                <w:szCs w:val="26"/>
                <w:lang w:val="es-PE" w:eastAsia="zh-TW"/>
              </w:rPr>
              <w:t>0</w:t>
            </w:r>
            <w:r w:rsidR="005C55F9">
              <w:rPr>
                <w:rFonts w:ascii="Arial" w:eastAsia="PMingLiU" w:hAnsi="Arial" w:cs="Arial"/>
                <w:b/>
                <w:iCs/>
                <w:caps/>
                <w:sz w:val="26"/>
                <w:szCs w:val="26"/>
                <w:lang w:val="es-PE" w:eastAsia="zh-TW"/>
              </w:rPr>
              <w:t>082/2018</w:t>
            </w:r>
            <w:r w:rsidR="001D6A01">
              <w:rPr>
                <w:rFonts w:ascii="Arial" w:eastAsia="PMingLiU" w:hAnsi="Arial" w:cs="Arial"/>
                <w:b/>
                <w:iCs/>
                <w:caps/>
                <w:sz w:val="26"/>
                <w:szCs w:val="26"/>
                <w:lang w:val="es-PE" w:eastAsia="zh-TW"/>
              </w:rPr>
              <w:t xml:space="preserve"> de la </w:t>
            </w:r>
            <w:r w:rsidR="005C55F9">
              <w:rPr>
                <w:rFonts w:ascii="Arial" w:eastAsia="PMingLiU" w:hAnsi="Arial" w:cs="Arial"/>
                <w:b/>
                <w:iCs/>
                <w:caps/>
                <w:sz w:val="26"/>
                <w:szCs w:val="26"/>
                <w:lang w:val="es-PE" w:eastAsia="zh-TW"/>
              </w:rPr>
              <w:t>PRIMERA</w:t>
            </w:r>
            <w:r w:rsidRPr="001872CB">
              <w:rPr>
                <w:rFonts w:ascii="Arial" w:eastAsia="PMingLiU" w:hAnsi="Arial" w:cs="Arial"/>
                <w:b/>
                <w:iCs/>
                <w:caps/>
                <w:sz w:val="26"/>
                <w:szCs w:val="26"/>
                <w:lang w:val="es-PE" w:eastAsia="zh-TW"/>
              </w:rPr>
              <w:t xml:space="preserve"> sala unitaria DE PRIMERA INSTANCIA.</w:t>
            </w:r>
          </w:p>
          <w:p w:rsidR="00E228E5" w:rsidRPr="001872CB" w:rsidRDefault="00E228E5" w:rsidP="004E12FB">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4A6259">
              <w:rPr>
                <w:rFonts w:ascii="Arial" w:eastAsia="PMingLiU" w:hAnsi="Arial" w:cs="Arial"/>
                <w:b/>
                <w:iCs/>
                <w:caps/>
                <w:sz w:val="26"/>
                <w:szCs w:val="26"/>
                <w:lang w:val="es-PE" w:eastAsia="zh-TW"/>
              </w:rPr>
              <w:t xml:space="preserve"> </w:t>
            </w:r>
            <w:r w:rsidRPr="001872CB">
              <w:rPr>
                <w:rFonts w:ascii="Arial" w:eastAsia="PMingLiU" w:hAnsi="Arial" w:cs="Arial"/>
                <w:b/>
                <w:iCs/>
                <w:caps/>
                <w:sz w:val="26"/>
                <w:szCs w:val="26"/>
                <w:lang w:val="es-PE" w:eastAsia="zh-TW"/>
              </w:rPr>
              <w:t xml:space="preserve">ponente: magISTRADo </w:t>
            </w:r>
            <w:r w:rsidRPr="001872CB">
              <w:rPr>
                <w:rFonts w:ascii="Arial" w:eastAsia="PMingLiU" w:hAnsi="Arial" w:cs="Arial"/>
                <w:b/>
                <w:iCs/>
                <w:sz w:val="26"/>
                <w:szCs w:val="26"/>
                <w:lang w:val="es-PE" w:eastAsia="zh-TW"/>
              </w:rPr>
              <w:t xml:space="preserve">ADRIÁN </w:t>
            </w:r>
            <w:r w:rsidRPr="001872CB">
              <w:rPr>
                <w:rFonts w:ascii="Arial" w:eastAsia="PMingLiU" w:hAnsi="Arial" w:cs="Arial"/>
                <w:b/>
                <w:iCs/>
                <w:caps/>
                <w:sz w:val="26"/>
                <w:szCs w:val="26"/>
                <w:lang w:val="es-PE" w:eastAsia="zh-TW"/>
              </w:rPr>
              <w:t>quiroga avendaño.</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Cs/>
                <w:caps/>
                <w:sz w:val="26"/>
                <w:szCs w:val="26"/>
                <w:lang w:val="es-ES"/>
              </w:rPr>
            </w:pPr>
            <w:r w:rsidRPr="001872CB">
              <w:rPr>
                <w:rFonts w:ascii="Arial" w:hAnsi="Arial" w:cs="Arial"/>
                <w:b/>
                <w:i/>
                <w:iCs/>
                <w:caps/>
                <w:sz w:val="26"/>
                <w:szCs w:val="26"/>
                <w:lang w:val="es-ES"/>
              </w:rPr>
              <w:t xml:space="preserve">                                   </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
                <w:iCs/>
                <w:caps/>
                <w:sz w:val="26"/>
                <w:szCs w:val="26"/>
                <w:lang w:val="es-ES"/>
              </w:rPr>
            </w:pPr>
          </w:p>
        </w:tc>
      </w:tr>
    </w:tbl>
    <w:p w:rsidR="00E228E5" w:rsidRPr="001872CB" w:rsidRDefault="0006161B" w:rsidP="00E228E5">
      <w:pPr>
        <w:spacing w:after="0" w:line="360" w:lineRule="auto"/>
        <w:jc w:val="both"/>
        <w:rPr>
          <w:rFonts w:ascii="Arial" w:hAnsi="Arial" w:cs="Arial"/>
          <w:b/>
          <w:sz w:val="26"/>
          <w:szCs w:val="26"/>
          <w:lang w:val="es-ES"/>
        </w:rPr>
      </w:pPr>
      <w:r>
        <w:rPr>
          <w:rFonts w:ascii="Arial" w:hAnsi="Arial" w:cs="Arial"/>
          <w:b/>
          <w:sz w:val="26"/>
          <w:szCs w:val="26"/>
          <w:lang w:val="es-ES"/>
        </w:rPr>
        <w:t>OAXACA DE JUÁREZ, OAXACA, DIECISÉIS DE OCTUBRE DE</w:t>
      </w:r>
      <w:r w:rsidR="00E228E5" w:rsidRPr="001872CB">
        <w:rPr>
          <w:rFonts w:ascii="Arial" w:hAnsi="Arial" w:cs="Arial"/>
          <w:b/>
          <w:sz w:val="26"/>
          <w:szCs w:val="26"/>
          <w:lang w:val="es-ES"/>
        </w:rPr>
        <w:t xml:space="preserve"> DOS MIL DIEC</w:t>
      </w:r>
      <w:r w:rsidR="00C17B37">
        <w:rPr>
          <w:rFonts w:ascii="Arial" w:hAnsi="Arial" w:cs="Arial"/>
          <w:b/>
          <w:sz w:val="26"/>
          <w:szCs w:val="26"/>
          <w:lang w:val="es-ES"/>
        </w:rPr>
        <w:t>INUEVE</w:t>
      </w:r>
      <w:r w:rsidR="00E228E5" w:rsidRPr="001872CB">
        <w:rPr>
          <w:rFonts w:ascii="Arial" w:hAnsi="Arial" w:cs="Arial"/>
          <w:b/>
          <w:sz w:val="26"/>
          <w:szCs w:val="26"/>
          <w:lang w:val="es-ES"/>
        </w:rPr>
        <w:t xml:space="preserve">. </w:t>
      </w:r>
    </w:p>
    <w:p w:rsidR="0006161B" w:rsidRDefault="00E228E5" w:rsidP="0006161B">
      <w:pPr>
        <w:spacing w:after="0" w:line="360" w:lineRule="auto"/>
        <w:ind w:firstLine="709"/>
        <w:jc w:val="both"/>
        <w:rPr>
          <w:rFonts w:ascii="Arial" w:hAnsi="Arial" w:cs="Arial"/>
          <w:sz w:val="26"/>
          <w:szCs w:val="26"/>
        </w:rPr>
      </w:pPr>
      <w:r w:rsidRPr="00AC5004">
        <w:rPr>
          <w:rFonts w:ascii="Arial" w:eastAsia="Calibri" w:hAnsi="Arial" w:cs="Arial"/>
          <w:sz w:val="26"/>
          <w:szCs w:val="26"/>
        </w:rPr>
        <w:t>Por recibido</w:t>
      </w:r>
      <w:r>
        <w:rPr>
          <w:rFonts w:ascii="Arial" w:eastAsia="Calibri" w:hAnsi="Arial" w:cs="Arial"/>
          <w:sz w:val="26"/>
          <w:szCs w:val="26"/>
        </w:rPr>
        <w:t xml:space="preserve"> </w:t>
      </w:r>
      <w:r w:rsidR="002C5A0C">
        <w:rPr>
          <w:rFonts w:ascii="Arial" w:eastAsia="Calibri" w:hAnsi="Arial" w:cs="Arial"/>
          <w:sz w:val="26"/>
          <w:szCs w:val="26"/>
        </w:rPr>
        <w:t>el</w:t>
      </w:r>
      <w:r w:rsidRPr="00AC5004">
        <w:rPr>
          <w:rFonts w:ascii="Arial" w:eastAsia="Calibri" w:hAnsi="Arial" w:cs="Arial"/>
          <w:sz w:val="26"/>
          <w:szCs w:val="26"/>
        </w:rPr>
        <w:t xml:space="preserve"> Cuaderno de Revisión </w:t>
      </w:r>
      <w:r w:rsidR="005C55F9">
        <w:rPr>
          <w:rFonts w:ascii="Arial" w:eastAsia="PMingLiU" w:hAnsi="Arial" w:cs="Arial"/>
          <w:b/>
          <w:iCs/>
          <w:caps/>
          <w:sz w:val="26"/>
          <w:szCs w:val="26"/>
          <w:lang w:val="es-PE" w:eastAsia="zh-TW"/>
        </w:rPr>
        <w:t>0067</w:t>
      </w:r>
      <w:r w:rsidR="00A811FD">
        <w:rPr>
          <w:rFonts w:ascii="Arial" w:eastAsia="PMingLiU" w:hAnsi="Arial" w:cs="Arial"/>
          <w:b/>
          <w:iCs/>
          <w:caps/>
          <w:sz w:val="26"/>
          <w:szCs w:val="26"/>
          <w:lang w:val="es-PE" w:eastAsia="zh-TW"/>
        </w:rPr>
        <w:t xml:space="preserve">/2019 </w:t>
      </w:r>
      <w:r w:rsidRPr="00AC5004">
        <w:rPr>
          <w:rFonts w:ascii="Arial" w:eastAsia="Calibri" w:hAnsi="Arial" w:cs="Arial"/>
          <w:sz w:val="26"/>
          <w:szCs w:val="26"/>
        </w:rPr>
        <w:t xml:space="preserve">que remite la Secretaría </w:t>
      </w:r>
      <w:r w:rsidR="00A811FD">
        <w:rPr>
          <w:rFonts w:ascii="Arial" w:eastAsia="Calibri" w:hAnsi="Arial" w:cs="Arial"/>
          <w:sz w:val="26"/>
          <w:szCs w:val="26"/>
        </w:rPr>
        <w:t xml:space="preserve">General de Acuerdos, con motivo </w:t>
      </w:r>
      <w:r w:rsidRPr="00AC5004">
        <w:rPr>
          <w:rFonts w:ascii="Arial" w:eastAsia="Calibri" w:hAnsi="Arial" w:cs="Arial"/>
          <w:sz w:val="26"/>
          <w:szCs w:val="26"/>
        </w:rPr>
        <w:t>de</w:t>
      </w:r>
      <w:r w:rsidR="002C5A0C">
        <w:rPr>
          <w:rFonts w:ascii="Arial" w:eastAsia="Calibri" w:hAnsi="Arial" w:cs="Arial"/>
          <w:sz w:val="26"/>
          <w:szCs w:val="26"/>
        </w:rPr>
        <w:t xml:space="preserve">l </w:t>
      </w:r>
      <w:r w:rsidRPr="00AC5004">
        <w:rPr>
          <w:rFonts w:ascii="Arial" w:eastAsia="Calibri" w:hAnsi="Arial" w:cs="Arial"/>
          <w:sz w:val="26"/>
          <w:szCs w:val="26"/>
        </w:rPr>
        <w:t>recurso de revisión interpuesto</w:t>
      </w:r>
      <w:r w:rsidR="005C55F9">
        <w:rPr>
          <w:rFonts w:ascii="Arial" w:eastAsia="Calibri" w:hAnsi="Arial" w:cs="Arial"/>
          <w:sz w:val="26"/>
          <w:szCs w:val="26"/>
        </w:rPr>
        <w:t xml:space="preserve"> por </w:t>
      </w:r>
      <w:r w:rsidR="005C55F9">
        <w:rPr>
          <w:rFonts w:ascii="Arial" w:eastAsia="Calibri" w:hAnsi="Arial" w:cs="Arial"/>
          <w:b/>
          <w:sz w:val="26"/>
          <w:szCs w:val="26"/>
        </w:rPr>
        <w:t xml:space="preserve">LEONCIO MACEDONIO LÓPEZ </w:t>
      </w:r>
      <w:proofErr w:type="spellStart"/>
      <w:r w:rsidR="005C55F9">
        <w:rPr>
          <w:rFonts w:ascii="Arial" w:eastAsia="Calibri" w:hAnsi="Arial" w:cs="Arial"/>
          <w:b/>
          <w:sz w:val="26"/>
          <w:szCs w:val="26"/>
        </w:rPr>
        <w:t>LÓPEZ</w:t>
      </w:r>
      <w:proofErr w:type="spellEnd"/>
      <w:r w:rsidR="005C55F9">
        <w:rPr>
          <w:rFonts w:ascii="Arial" w:eastAsia="Calibri" w:hAnsi="Arial" w:cs="Arial"/>
          <w:b/>
          <w:sz w:val="26"/>
          <w:szCs w:val="26"/>
        </w:rPr>
        <w:t xml:space="preserve">, </w:t>
      </w:r>
      <w:r w:rsidR="005C55F9">
        <w:rPr>
          <w:rFonts w:ascii="Arial" w:hAnsi="Arial" w:cs="Arial"/>
          <w:b/>
          <w:sz w:val="26"/>
          <w:szCs w:val="26"/>
        </w:rPr>
        <w:t>POLICÍA VIAL ESTATAL, DE LA DIRECCIÓN GENERAL DE POLICÍA VIAL ESTATAL</w:t>
      </w:r>
      <w:r w:rsidR="0018401E" w:rsidRPr="002C5A0C">
        <w:rPr>
          <w:rFonts w:ascii="Arial" w:hAnsi="Arial" w:cs="Arial"/>
          <w:b/>
          <w:bCs/>
          <w:color w:val="000000"/>
          <w:sz w:val="26"/>
          <w:szCs w:val="26"/>
        </w:rPr>
        <w:t>,</w:t>
      </w:r>
      <w:r w:rsidR="0018401E">
        <w:rPr>
          <w:rFonts w:ascii="Arial" w:hAnsi="Arial" w:cs="Arial"/>
          <w:b/>
          <w:bCs/>
          <w:color w:val="000000"/>
          <w:sz w:val="26"/>
          <w:szCs w:val="26"/>
        </w:rPr>
        <w:t xml:space="preserve"> </w:t>
      </w:r>
      <w:r>
        <w:rPr>
          <w:rFonts w:ascii="Arial" w:eastAsia="Calibri" w:hAnsi="Arial" w:cs="Arial"/>
          <w:sz w:val="26"/>
          <w:szCs w:val="26"/>
        </w:rPr>
        <w:t xml:space="preserve">en contra </w:t>
      </w:r>
      <w:r w:rsidRPr="00AC5004">
        <w:rPr>
          <w:rFonts w:ascii="Arial" w:eastAsia="Calibri" w:hAnsi="Arial" w:cs="Arial"/>
          <w:sz w:val="26"/>
          <w:szCs w:val="26"/>
        </w:rPr>
        <w:t>de</w:t>
      </w:r>
      <w:r w:rsidR="00793AA8">
        <w:rPr>
          <w:rFonts w:ascii="Arial" w:eastAsia="Calibri" w:hAnsi="Arial" w:cs="Arial"/>
          <w:sz w:val="26"/>
          <w:szCs w:val="26"/>
        </w:rPr>
        <w:t xml:space="preserve"> la </w:t>
      </w:r>
      <w:r w:rsidR="00A811FD">
        <w:rPr>
          <w:rFonts w:ascii="Arial" w:eastAsia="Calibri" w:hAnsi="Arial" w:cs="Arial"/>
          <w:sz w:val="26"/>
          <w:szCs w:val="26"/>
        </w:rPr>
        <w:t xml:space="preserve">sentencia de fecha </w:t>
      </w:r>
      <w:r w:rsidR="005C55F9">
        <w:rPr>
          <w:rFonts w:ascii="Arial" w:eastAsia="Calibri" w:hAnsi="Arial" w:cs="Arial"/>
          <w:sz w:val="26"/>
          <w:szCs w:val="26"/>
        </w:rPr>
        <w:t xml:space="preserve">28 veintiocho de enero </w:t>
      </w:r>
      <w:r w:rsidR="002C5A0C">
        <w:rPr>
          <w:rFonts w:ascii="Arial" w:eastAsia="Calibri" w:hAnsi="Arial" w:cs="Arial"/>
          <w:sz w:val="26"/>
          <w:szCs w:val="26"/>
        </w:rPr>
        <w:t>de 2019 dos mil diecinueve</w:t>
      </w:r>
      <w:r>
        <w:rPr>
          <w:rFonts w:ascii="Arial" w:eastAsia="Calibri" w:hAnsi="Arial" w:cs="Arial"/>
          <w:sz w:val="26"/>
          <w:szCs w:val="26"/>
        </w:rPr>
        <w:t>, dictad</w:t>
      </w:r>
      <w:r w:rsidR="0018401E">
        <w:rPr>
          <w:rFonts w:ascii="Arial" w:eastAsia="Calibri" w:hAnsi="Arial" w:cs="Arial"/>
          <w:sz w:val="26"/>
          <w:szCs w:val="26"/>
        </w:rPr>
        <w:t>a</w:t>
      </w:r>
      <w:r>
        <w:rPr>
          <w:rFonts w:ascii="Arial" w:eastAsia="Calibri" w:hAnsi="Arial" w:cs="Arial"/>
          <w:sz w:val="26"/>
          <w:szCs w:val="26"/>
        </w:rPr>
        <w:t xml:space="preserve"> por </w:t>
      </w:r>
      <w:r w:rsidR="005C55F9">
        <w:rPr>
          <w:rFonts w:ascii="Arial" w:eastAsia="Calibri" w:hAnsi="Arial" w:cs="Arial"/>
          <w:sz w:val="26"/>
          <w:szCs w:val="26"/>
        </w:rPr>
        <w:t>la</w:t>
      </w:r>
      <w:r w:rsidRPr="00AC5004">
        <w:rPr>
          <w:rFonts w:ascii="Arial" w:eastAsia="Calibri" w:hAnsi="Arial" w:cs="Arial"/>
          <w:sz w:val="26"/>
          <w:szCs w:val="26"/>
        </w:rPr>
        <w:t xml:space="preserve"> </w:t>
      </w:r>
      <w:r w:rsidR="0018401E">
        <w:rPr>
          <w:rFonts w:ascii="Arial" w:eastAsia="Calibri" w:hAnsi="Arial" w:cs="Arial"/>
          <w:sz w:val="26"/>
          <w:szCs w:val="26"/>
        </w:rPr>
        <w:t>M</w:t>
      </w:r>
      <w:r w:rsidR="00793AA8">
        <w:rPr>
          <w:rFonts w:ascii="Arial" w:eastAsia="Calibri" w:hAnsi="Arial" w:cs="Arial"/>
          <w:sz w:val="26"/>
          <w:szCs w:val="26"/>
        </w:rPr>
        <w:t>agistrad</w:t>
      </w:r>
      <w:r w:rsidR="005C55F9">
        <w:rPr>
          <w:rFonts w:ascii="Arial" w:eastAsia="Calibri" w:hAnsi="Arial" w:cs="Arial"/>
          <w:sz w:val="26"/>
          <w:szCs w:val="26"/>
        </w:rPr>
        <w:t>a</w:t>
      </w:r>
      <w:r w:rsidR="00793AA8">
        <w:rPr>
          <w:rFonts w:ascii="Arial" w:eastAsia="Calibri" w:hAnsi="Arial" w:cs="Arial"/>
          <w:sz w:val="26"/>
          <w:szCs w:val="26"/>
        </w:rPr>
        <w:t xml:space="preserve"> de la </w:t>
      </w:r>
      <w:r w:rsidR="005C55F9">
        <w:rPr>
          <w:rFonts w:ascii="Arial" w:eastAsia="Calibri" w:hAnsi="Arial" w:cs="Arial"/>
          <w:sz w:val="26"/>
          <w:szCs w:val="26"/>
        </w:rPr>
        <w:t>Primera</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ribunal</w:t>
      </w:r>
      <w:r w:rsidR="0018401E">
        <w:rPr>
          <w:rFonts w:ascii="Arial" w:eastAsia="Calibri" w:hAnsi="Arial" w:cs="Arial"/>
          <w:sz w:val="26"/>
          <w:szCs w:val="26"/>
        </w:rPr>
        <w:t>,</w:t>
      </w:r>
      <w:r>
        <w:rPr>
          <w:rFonts w:ascii="Arial" w:eastAsia="Calibri" w:hAnsi="Arial" w:cs="Arial"/>
          <w:sz w:val="26"/>
          <w:szCs w:val="26"/>
        </w:rPr>
        <w:t xml:space="preserve"> en el juicio de nulidad </w:t>
      </w:r>
      <w:r w:rsidR="005C55F9">
        <w:rPr>
          <w:rFonts w:ascii="Arial" w:eastAsia="Calibri" w:hAnsi="Arial" w:cs="Arial"/>
          <w:b/>
          <w:sz w:val="26"/>
          <w:szCs w:val="26"/>
        </w:rPr>
        <w:t>0082</w:t>
      </w:r>
      <w:r w:rsidR="00536001">
        <w:rPr>
          <w:rFonts w:ascii="Arial" w:eastAsia="Calibri" w:hAnsi="Arial" w:cs="Arial"/>
          <w:b/>
          <w:sz w:val="26"/>
          <w:szCs w:val="26"/>
        </w:rPr>
        <w:t>/201</w:t>
      </w:r>
      <w:r w:rsidR="005C55F9">
        <w:rPr>
          <w:rFonts w:ascii="Arial" w:eastAsia="Calibri" w:hAnsi="Arial" w:cs="Arial"/>
          <w:b/>
          <w:sz w:val="26"/>
          <w:szCs w:val="26"/>
        </w:rPr>
        <w:t>8</w:t>
      </w:r>
      <w:r w:rsidRPr="00B86A29">
        <w:rPr>
          <w:rFonts w:ascii="Arial" w:eastAsia="Calibri"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 xml:space="preserve">relativo al juicio promovido por </w:t>
      </w:r>
      <w:r w:rsidR="00496189">
        <w:rPr>
          <w:rFonts w:ascii="Arial" w:hAnsi="Arial" w:cs="Arial"/>
          <w:bCs/>
          <w:i/>
          <w:color w:val="000000"/>
        </w:rPr>
        <w:t>**********</w:t>
      </w:r>
      <w:r w:rsidR="00757317">
        <w:rPr>
          <w:rFonts w:ascii="Arial" w:eastAsia="Calibri" w:hAnsi="Arial" w:cs="Arial"/>
          <w:b/>
          <w:sz w:val="26"/>
          <w:szCs w:val="26"/>
        </w:rPr>
        <w:t>,</w:t>
      </w:r>
      <w:r w:rsidR="00793AA8">
        <w:rPr>
          <w:rFonts w:ascii="Arial" w:eastAsia="Calibri" w:hAnsi="Arial" w:cs="Arial"/>
          <w:b/>
          <w:sz w:val="26"/>
          <w:szCs w:val="26"/>
        </w:rPr>
        <w:t xml:space="preserve"> </w:t>
      </w:r>
      <w:r w:rsidRPr="00AC5004">
        <w:rPr>
          <w:rFonts w:ascii="Arial" w:eastAsia="Calibri" w:hAnsi="Arial" w:cs="Arial"/>
          <w:sz w:val="26"/>
          <w:szCs w:val="26"/>
        </w:rPr>
        <w:t>en contra del</w:t>
      </w:r>
      <w:r>
        <w:rPr>
          <w:rFonts w:ascii="Arial" w:eastAsia="Calibri" w:hAnsi="Arial" w:cs="Arial"/>
          <w:b/>
          <w:sz w:val="26"/>
          <w:szCs w:val="26"/>
        </w:rPr>
        <w:t xml:space="preserve"> </w:t>
      </w:r>
      <w:r w:rsidR="008C2095">
        <w:rPr>
          <w:rFonts w:ascii="Arial" w:eastAsia="Calibri" w:hAnsi="Arial" w:cs="Arial"/>
          <w:b/>
          <w:sz w:val="26"/>
          <w:szCs w:val="26"/>
        </w:rPr>
        <w:t>RECURRENTE</w:t>
      </w:r>
      <w:r w:rsidR="001E3EFF">
        <w:rPr>
          <w:rFonts w:ascii="Arial" w:eastAsia="Calibri" w:hAnsi="Arial" w:cs="Arial"/>
          <w:b/>
          <w:sz w:val="26"/>
          <w:szCs w:val="26"/>
        </w:rPr>
        <w:t xml:space="preserve">, </w:t>
      </w:r>
      <w:r w:rsidR="008C2095" w:rsidRPr="00266CFB">
        <w:rPr>
          <w:rFonts w:ascii="Arial" w:hAnsi="Arial" w:cs="Arial"/>
          <w:sz w:val="26"/>
          <w:szCs w:val="26"/>
        </w:rPr>
        <w:t>por lo que con fundamento en los artículos 236 y 237 de la Ley de Procedimiento y Justicia Administrativa para el Estado de Oaxaca, se admite.  En consecuencia, se procede a dictar resolución en los siguientes términos</w:t>
      </w:r>
      <w:r w:rsidR="008C2095">
        <w:rPr>
          <w:rFonts w:ascii="Arial" w:hAnsi="Arial" w:cs="Arial"/>
          <w:sz w:val="26"/>
          <w:szCs w:val="26"/>
        </w:rPr>
        <w:t>:</w:t>
      </w:r>
    </w:p>
    <w:p w:rsidR="0006161B" w:rsidRDefault="0006161B" w:rsidP="0006161B">
      <w:pPr>
        <w:spacing w:after="0" w:line="360" w:lineRule="auto"/>
        <w:ind w:firstLine="709"/>
        <w:jc w:val="both"/>
        <w:rPr>
          <w:rFonts w:ascii="Arial" w:eastAsia="Calibri" w:hAnsi="Arial" w:cs="Arial"/>
          <w:sz w:val="26"/>
          <w:szCs w:val="26"/>
        </w:rPr>
      </w:pPr>
    </w:p>
    <w:p w:rsidR="0006161B" w:rsidRDefault="00E228E5" w:rsidP="0006161B">
      <w:pPr>
        <w:spacing w:after="0" w:line="360" w:lineRule="auto"/>
        <w:jc w:val="center"/>
        <w:rPr>
          <w:rFonts w:ascii="Arial" w:hAnsi="Arial" w:cs="Arial"/>
          <w:b/>
          <w:bCs/>
          <w:sz w:val="26"/>
          <w:szCs w:val="26"/>
          <w:lang w:val="es-ES"/>
        </w:rPr>
      </w:pPr>
      <w:r w:rsidRPr="001872CB">
        <w:rPr>
          <w:rFonts w:ascii="Arial" w:hAnsi="Arial" w:cs="Arial"/>
          <w:b/>
          <w:bCs/>
          <w:sz w:val="26"/>
          <w:szCs w:val="26"/>
          <w:lang w:val="es-ES"/>
        </w:rPr>
        <w:t>R E S U L T A N D O</w:t>
      </w:r>
    </w:p>
    <w:p w:rsidR="0006161B" w:rsidRDefault="0006161B" w:rsidP="0006161B">
      <w:pPr>
        <w:spacing w:after="0" w:line="360" w:lineRule="auto"/>
        <w:jc w:val="center"/>
        <w:rPr>
          <w:rFonts w:ascii="Arial" w:hAnsi="Arial" w:cs="Arial"/>
          <w:b/>
          <w:bCs/>
          <w:sz w:val="26"/>
          <w:szCs w:val="26"/>
          <w:lang w:val="es-ES"/>
        </w:rPr>
      </w:pPr>
    </w:p>
    <w:p w:rsidR="0006161B" w:rsidRDefault="00E228E5" w:rsidP="0006161B">
      <w:pPr>
        <w:spacing w:after="0" w:line="360" w:lineRule="auto"/>
        <w:ind w:firstLine="709"/>
        <w:jc w:val="both"/>
        <w:rPr>
          <w:rFonts w:ascii="Arial" w:hAnsi="Arial" w:cs="Arial"/>
          <w:sz w:val="26"/>
          <w:szCs w:val="26"/>
          <w:lang w:val="es-ES"/>
        </w:rPr>
      </w:pPr>
      <w:r w:rsidRPr="001872CB">
        <w:rPr>
          <w:rFonts w:ascii="Arial" w:hAnsi="Arial" w:cs="Arial"/>
          <w:b/>
          <w:bCs/>
          <w:sz w:val="26"/>
          <w:szCs w:val="26"/>
          <w:lang w:val="es-ES"/>
        </w:rPr>
        <w:t xml:space="preserve">PRIMERO. </w:t>
      </w:r>
      <w:r w:rsidR="00305B9A">
        <w:rPr>
          <w:rFonts w:ascii="Arial" w:hAnsi="Arial" w:cs="Arial"/>
          <w:sz w:val="26"/>
          <w:szCs w:val="26"/>
          <w:lang w:val="es-ES"/>
        </w:rPr>
        <w:t xml:space="preserve">Inconforme con la </w:t>
      </w:r>
      <w:r w:rsidR="005571DA">
        <w:rPr>
          <w:rFonts w:ascii="Arial" w:hAnsi="Arial" w:cs="Arial"/>
          <w:sz w:val="26"/>
          <w:szCs w:val="26"/>
          <w:lang w:val="es-ES"/>
        </w:rPr>
        <w:t xml:space="preserve">sentencia de </w:t>
      </w:r>
      <w:r w:rsidR="00A64F8F">
        <w:rPr>
          <w:rFonts w:ascii="Arial" w:eastAsia="Calibri" w:hAnsi="Arial" w:cs="Arial"/>
          <w:sz w:val="26"/>
          <w:szCs w:val="26"/>
        </w:rPr>
        <w:t>28 veintiocho de enero de 2019 dos mil diecinueve</w:t>
      </w:r>
      <w:r w:rsidRPr="001872CB">
        <w:rPr>
          <w:rFonts w:ascii="Arial" w:hAnsi="Arial" w:cs="Arial"/>
          <w:sz w:val="26"/>
          <w:szCs w:val="26"/>
          <w:lang w:val="es-ES"/>
        </w:rPr>
        <w:t>, dict</w:t>
      </w:r>
      <w:r w:rsidR="00305B9A">
        <w:rPr>
          <w:rFonts w:ascii="Arial" w:hAnsi="Arial" w:cs="Arial"/>
          <w:sz w:val="26"/>
          <w:szCs w:val="26"/>
          <w:lang w:val="es-ES"/>
        </w:rPr>
        <w:t xml:space="preserve">ada por </w:t>
      </w:r>
      <w:r w:rsidR="00A64F8F">
        <w:rPr>
          <w:rFonts w:ascii="Arial" w:eastAsia="Calibri" w:hAnsi="Arial" w:cs="Arial"/>
          <w:sz w:val="26"/>
          <w:szCs w:val="26"/>
        </w:rPr>
        <w:t>la</w:t>
      </w:r>
      <w:r w:rsidR="00A64F8F" w:rsidRPr="00AC5004">
        <w:rPr>
          <w:rFonts w:ascii="Arial" w:eastAsia="Calibri" w:hAnsi="Arial" w:cs="Arial"/>
          <w:sz w:val="26"/>
          <w:szCs w:val="26"/>
        </w:rPr>
        <w:t xml:space="preserve"> </w:t>
      </w:r>
      <w:r w:rsidR="00A64F8F">
        <w:rPr>
          <w:rFonts w:ascii="Arial" w:eastAsia="Calibri" w:hAnsi="Arial" w:cs="Arial"/>
          <w:sz w:val="26"/>
          <w:szCs w:val="26"/>
        </w:rPr>
        <w:t>Magistrada de la Primera</w:t>
      </w:r>
      <w:r w:rsidR="00A64F8F" w:rsidRPr="00AC5004">
        <w:rPr>
          <w:rFonts w:ascii="Arial" w:eastAsia="Calibri" w:hAnsi="Arial" w:cs="Arial"/>
          <w:sz w:val="26"/>
          <w:szCs w:val="26"/>
        </w:rPr>
        <w:t xml:space="preserve"> </w:t>
      </w:r>
      <w:r w:rsidRPr="001872CB">
        <w:rPr>
          <w:rFonts w:ascii="Arial" w:hAnsi="Arial" w:cs="Arial"/>
          <w:sz w:val="26"/>
          <w:szCs w:val="26"/>
          <w:lang w:val="es-ES"/>
        </w:rPr>
        <w:t>Sala Unitaria de Primer</w:t>
      </w:r>
      <w:r>
        <w:rPr>
          <w:rFonts w:ascii="Arial" w:hAnsi="Arial" w:cs="Arial"/>
          <w:sz w:val="26"/>
          <w:szCs w:val="26"/>
          <w:lang w:val="es-ES"/>
        </w:rPr>
        <w:t xml:space="preserve">a Instancia de este Tribunal, </w:t>
      </w:r>
      <w:r w:rsidR="00A64F8F">
        <w:rPr>
          <w:rFonts w:ascii="Arial" w:eastAsia="Calibri" w:hAnsi="Arial" w:cs="Arial"/>
          <w:b/>
          <w:sz w:val="26"/>
          <w:szCs w:val="26"/>
        </w:rPr>
        <w:t xml:space="preserve">LEONCIO MACEDONIO LÓPEZ </w:t>
      </w:r>
      <w:proofErr w:type="spellStart"/>
      <w:r w:rsidR="00A64F8F">
        <w:rPr>
          <w:rFonts w:ascii="Arial" w:eastAsia="Calibri" w:hAnsi="Arial" w:cs="Arial"/>
          <w:b/>
          <w:sz w:val="26"/>
          <w:szCs w:val="26"/>
        </w:rPr>
        <w:t>LÓPEZ</w:t>
      </w:r>
      <w:proofErr w:type="spellEnd"/>
      <w:r w:rsidR="00A64F8F">
        <w:rPr>
          <w:rFonts w:ascii="Arial" w:eastAsia="Calibri" w:hAnsi="Arial" w:cs="Arial"/>
          <w:b/>
          <w:sz w:val="26"/>
          <w:szCs w:val="26"/>
        </w:rPr>
        <w:t xml:space="preserve">, </w:t>
      </w:r>
      <w:r w:rsidR="00A64F8F">
        <w:rPr>
          <w:rFonts w:ascii="Arial" w:hAnsi="Arial" w:cs="Arial"/>
          <w:b/>
          <w:sz w:val="26"/>
          <w:szCs w:val="26"/>
        </w:rPr>
        <w:t>POLICÍA VIAL ESTATAL, DE LA DIRECCIÓN GENERAL DE POLICÍA VIAL ESTATAL</w:t>
      </w:r>
      <w:r w:rsidR="00792424">
        <w:rPr>
          <w:rFonts w:ascii="Arial" w:hAnsi="Arial" w:cs="Arial"/>
          <w:b/>
          <w:bCs/>
          <w:color w:val="000000"/>
          <w:sz w:val="26"/>
          <w:szCs w:val="26"/>
        </w:rPr>
        <w:t xml:space="preserve">, </w:t>
      </w:r>
      <w:r w:rsidR="00E14490">
        <w:rPr>
          <w:rFonts w:ascii="Arial" w:hAnsi="Arial" w:cs="Arial"/>
          <w:sz w:val="26"/>
          <w:szCs w:val="26"/>
          <w:lang w:val="es-ES"/>
        </w:rPr>
        <w:t>interpuso</w:t>
      </w:r>
      <w:r>
        <w:rPr>
          <w:rFonts w:ascii="Arial" w:hAnsi="Arial" w:cs="Arial"/>
          <w:sz w:val="26"/>
          <w:szCs w:val="26"/>
          <w:lang w:val="es-ES"/>
        </w:rPr>
        <w:t xml:space="preserve"> </w:t>
      </w:r>
      <w:r w:rsidRPr="001872CB">
        <w:rPr>
          <w:rFonts w:ascii="Arial" w:hAnsi="Arial" w:cs="Arial"/>
          <w:sz w:val="26"/>
          <w:szCs w:val="26"/>
          <w:lang w:val="es-ES"/>
        </w:rPr>
        <w:t>en s</w:t>
      </w:r>
      <w:r w:rsidR="0006161B">
        <w:rPr>
          <w:rFonts w:ascii="Arial" w:hAnsi="Arial" w:cs="Arial"/>
          <w:sz w:val="26"/>
          <w:szCs w:val="26"/>
          <w:lang w:val="es-ES"/>
        </w:rPr>
        <w:t>u contra recurso de revisión.</w:t>
      </w:r>
    </w:p>
    <w:p w:rsidR="0006161B" w:rsidRDefault="0006161B" w:rsidP="0006161B">
      <w:pPr>
        <w:spacing w:after="0" w:line="360" w:lineRule="auto"/>
        <w:ind w:firstLine="709"/>
        <w:jc w:val="both"/>
        <w:rPr>
          <w:rFonts w:ascii="Arial" w:hAnsi="Arial" w:cs="Arial"/>
          <w:sz w:val="26"/>
          <w:szCs w:val="26"/>
          <w:lang w:val="es-ES"/>
        </w:rPr>
      </w:pPr>
    </w:p>
    <w:p w:rsidR="0006161B" w:rsidRDefault="0028071E" w:rsidP="0006161B">
      <w:pPr>
        <w:spacing w:after="0" w:line="360" w:lineRule="auto"/>
        <w:ind w:firstLine="709"/>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 xml:space="preserve">Los puntos resolutivos de la </w:t>
      </w:r>
      <w:r w:rsidR="00345802">
        <w:rPr>
          <w:rFonts w:ascii="Arial" w:hAnsi="Arial" w:cs="Arial"/>
          <w:sz w:val="26"/>
          <w:szCs w:val="26"/>
        </w:rPr>
        <w:t>sentencia</w:t>
      </w:r>
      <w:r w:rsidR="00792424">
        <w:rPr>
          <w:rFonts w:ascii="Arial" w:hAnsi="Arial" w:cs="Arial"/>
          <w:sz w:val="26"/>
          <w:szCs w:val="26"/>
        </w:rPr>
        <w:t xml:space="preserve"> </w:t>
      </w:r>
      <w:r>
        <w:rPr>
          <w:rFonts w:ascii="Arial" w:hAnsi="Arial" w:cs="Arial"/>
          <w:sz w:val="26"/>
          <w:szCs w:val="26"/>
        </w:rPr>
        <w:t>recurrida</w:t>
      </w:r>
      <w:r w:rsidR="00345802">
        <w:rPr>
          <w:rFonts w:ascii="Arial" w:hAnsi="Arial" w:cs="Arial"/>
          <w:sz w:val="26"/>
          <w:szCs w:val="26"/>
        </w:rPr>
        <w:t>,</w:t>
      </w:r>
      <w:r>
        <w:rPr>
          <w:rFonts w:ascii="Arial" w:hAnsi="Arial" w:cs="Arial"/>
          <w:sz w:val="26"/>
          <w:szCs w:val="26"/>
        </w:rPr>
        <w:t xml:space="preserve"> son los siguientes:</w:t>
      </w:r>
    </w:p>
    <w:p w:rsidR="0006161B" w:rsidRDefault="0006161B" w:rsidP="0006161B">
      <w:pPr>
        <w:spacing w:after="0" w:line="360" w:lineRule="auto"/>
        <w:ind w:firstLine="709"/>
        <w:jc w:val="both"/>
        <w:rPr>
          <w:rFonts w:ascii="Arial" w:hAnsi="Arial" w:cs="Arial"/>
          <w:sz w:val="26"/>
          <w:szCs w:val="26"/>
        </w:rPr>
      </w:pPr>
    </w:p>
    <w:p w:rsidR="0002147F" w:rsidRDefault="0006161B" w:rsidP="001A0AD3">
      <w:pPr>
        <w:spacing w:after="0" w:line="360" w:lineRule="auto"/>
        <w:ind w:left="1134" w:right="900"/>
        <w:jc w:val="both"/>
        <w:rPr>
          <w:rFonts w:ascii="Arial" w:eastAsia="Calibri" w:hAnsi="Arial" w:cs="Arial"/>
          <w:bCs/>
          <w:i/>
          <w:color w:val="000000" w:themeColor="text1"/>
        </w:rPr>
      </w:pPr>
      <w:r>
        <w:rPr>
          <w:rFonts w:ascii="Arial" w:eastAsia="Calibri" w:hAnsi="Arial" w:cs="Arial"/>
          <w:bCs/>
          <w:color w:val="000000" w:themeColor="text1"/>
        </w:rPr>
        <w:t xml:space="preserve"> </w:t>
      </w:r>
      <w:r w:rsidR="0028071E">
        <w:rPr>
          <w:rFonts w:ascii="Arial" w:eastAsia="Calibri" w:hAnsi="Arial" w:cs="Arial"/>
          <w:bCs/>
          <w:color w:val="000000" w:themeColor="text1"/>
        </w:rPr>
        <w:t>“</w:t>
      </w:r>
      <w:r w:rsidR="0028071E" w:rsidRPr="0002147F">
        <w:rPr>
          <w:rFonts w:ascii="Arial" w:eastAsia="Calibri" w:hAnsi="Arial" w:cs="Arial"/>
          <w:b/>
          <w:bCs/>
          <w:i/>
          <w:color w:val="000000" w:themeColor="text1"/>
        </w:rPr>
        <w:t xml:space="preserve">PRIMERO.- </w:t>
      </w:r>
      <w:r w:rsidR="0028071E" w:rsidRPr="0002147F">
        <w:rPr>
          <w:rFonts w:ascii="Arial" w:eastAsia="Calibri" w:hAnsi="Arial" w:cs="Arial"/>
          <w:bCs/>
          <w:i/>
          <w:color w:val="000000" w:themeColor="text1"/>
        </w:rPr>
        <w:t xml:space="preserve">Esta </w:t>
      </w:r>
      <w:r w:rsidR="00A64F8F">
        <w:rPr>
          <w:rFonts w:ascii="Arial" w:eastAsia="Calibri" w:hAnsi="Arial" w:cs="Arial"/>
          <w:bCs/>
          <w:i/>
          <w:color w:val="000000" w:themeColor="text1"/>
        </w:rPr>
        <w:t>Primera Sala Unitaria del Tribunal de Justicia Administrativa del Estado de Oaxaca, es competente para conocer y resolver el presente juicio</w:t>
      </w:r>
      <w:r w:rsidR="00E14490">
        <w:rPr>
          <w:rFonts w:ascii="Arial" w:eastAsia="Calibri" w:hAnsi="Arial" w:cs="Arial"/>
          <w:bCs/>
          <w:i/>
          <w:color w:val="000000" w:themeColor="text1"/>
        </w:rPr>
        <w:t xml:space="preserve">.- - - - - - - - - - - - - - - - - </w:t>
      </w:r>
      <w:r w:rsidR="0002147F" w:rsidRPr="0002147F">
        <w:rPr>
          <w:rFonts w:ascii="Arial" w:eastAsia="Calibri" w:hAnsi="Arial" w:cs="Arial"/>
          <w:bCs/>
          <w:i/>
          <w:color w:val="000000" w:themeColor="text1"/>
        </w:rPr>
        <w:t xml:space="preserve">- </w:t>
      </w:r>
      <w:r w:rsidR="0028071E" w:rsidRPr="0002147F">
        <w:rPr>
          <w:rFonts w:ascii="Arial" w:eastAsia="Calibri" w:hAnsi="Arial" w:cs="Arial"/>
          <w:b/>
          <w:bCs/>
          <w:i/>
          <w:color w:val="000000" w:themeColor="text1"/>
        </w:rPr>
        <w:lastRenderedPageBreak/>
        <w:t>SEGUNDO.-</w:t>
      </w:r>
      <w:r w:rsidR="0002147F" w:rsidRPr="0002147F">
        <w:rPr>
          <w:rFonts w:ascii="Arial" w:eastAsia="Calibri" w:hAnsi="Arial" w:cs="Arial"/>
          <w:b/>
          <w:bCs/>
          <w:i/>
          <w:color w:val="000000" w:themeColor="text1"/>
        </w:rPr>
        <w:t xml:space="preserve"> </w:t>
      </w:r>
      <w:r w:rsidR="00A64F8F">
        <w:rPr>
          <w:rFonts w:ascii="Arial" w:eastAsia="Calibri" w:hAnsi="Arial" w:cs="Arial"/>
          <w:bCs/>
          <w:i/>
          <w:color w:val="000000" w:themeColor="text1"/>
        </w:rPr>
        <w:t>La personalidad de las partes quedó acreditada dentro del considerando SEGUNDO de la presente resolución</w:t>
      </w:r>
      <w:r w:rsidR="001A0AD3">
        <w:rPr>
          <w:rFonts w:ascii="Arial" w:eastAsia="Calibri" w:hAnsi="Arial" w:cs="Arial"/>
          <w:bCs/>
          <w:i/>
          <w:color w:val="000000" w:themeColor="text1"/>
        </w:rPr>
        <w:t xml:space="preserve">.- </w:t>
      </w:r>
    </w:p>
    <w:p w:rsidR="00E228E5" w:rsidRDefault="0028071E" w:rsidP="008A1687">
      <w:pPr>
        <w:spacing w:after="120" w:line="360" w:lineRule="auto"/>
        <w:ind w:left="1134" w:right="758"/>
        <w:jc w:val="both"/>
        <w:rPr>
          <w:rFonts w:ascii="Arial" w:eastAsia="Calibri" w:hAnsi="Arial" w:cs="Arial"/>
          <w:bCs/>
          <w:i/>
          <w:color w:val="000000" w:themeColor="text1"/>
        </w:rPr>
      </w:pPr>
      <w:r w:rsidRPr="0028071E">
        <w:rPr>
          <w:rFonts w:ascii="Arial" w:eastAsia="Calibri" w:hAnsi="Arial" w:cs="Arial"/>
          <w:b/>
          <w:bCs/>
          <w:i/>
          <w:color w:val="000000" w:themeColor="text1"/>
        </w:rPr>
        <w:t>TERCERO.-</w:t>
      </w:r>
      <w:r>
        <w:rPr>
          <w:rFonts w:ascii="Arial" w:eastAsia="Calibri" w:hAnsi="Arial" w:cs="Arial"/>
          <w:bCs/>
          <w:i/>
          <w:color w:val="000000" w:themeColor="text1"/>
        </w:rPr>
        <w:t xml:space="preserve"> </w:t>
      </w:r>
      <w:r w:rsidR="00A64F8F">
        <w:rPr>
          <w:rFonts w:ascii="Arial" w:eastAsia="Calibri" w:hAnsi="Arial" w:cs="Arial"/>
          <w:bCs/>
          <w:i/>
          <w:color w:val="000000" w:themeColor="text1"/>
        </w:rPr>
        <w:t xml:space="preserve">Esta Sala advierte que, en el presente juicio no se </w:t>
      </w:r>
      <w:r w:rsidR="008A1687">
        <w:rPr>
          <w:rFonts w:ascii="Arial" w:eastAsia="Calibri" w:hAnsi="Arial" w:cs="Arial"/>
          <w:bCs/>
          <w:i/>
          <w:color w:val="000000" w:themeColor="text1"/>
        </w:rPr>
        <w:t xml:space="preserve">configura alguna causal de improcedencia o sobreseimiento expuesto en el considerando TERCERO, por lo tanto, </w:t>
      </w:r>
      <w:r w:rsidR="008A1687">
        <w:rPr>
          <w:rFonts w:ascii="Arial" w:eastAsia="Calibri" w:hAnsi="Arial" w:cs="Arial"/>
          <w:b/>
          <w:bCs/>
          <w:i/>
          <w:color w:val="000000" w:themeColor="text1"/>
        </w:rPr>
        <w:t>NO SE SOBRESEE</w:t>
      </w:r>
      <w:r w:rsidR="008A1687">
        <w:rPr>
          <w:rFonts w:ascii="Arial" w:eastAsia="Calibri" w:hAnsi="Arial" w:cs="Arial"/>
          <w:bCs/>
          <w:i/>
          <w:color w:val="000000" w:themeColor="text1"/>
        </w:rPr>
        <w:t xml:space="preserve">.- </w:t>
      </w:r>
      <w:r w:rsidR="00E14490">
        <w:rPr>
          <w:rFonts w:ascii="Arial" w:eastAsia="Calibri" w:hAnsi="Arial" w:cs="Arial"/>
          <w:bCs/>
          <w:i/>
          <w:color w:val="000000" w:themeColor="text1"/>
        </w:rPr>
        <w:t xml:space="preserve">- - - - - - - - - - - - - - - - - - - - - - - - - - - - - - - - - - - - - </w:t>
      </w:r>
      <w:r w:rsidR="00E14490">
        <w:rPr>
          <w:rFonts w:ascii="Arial" w:eastAsia="Calibri" w:hAnsi="Arial" w:cs="Arial"/>
          <w:b/>
          <w:bCs/>
          <w:i/>
          <w:color w:val="000000" w:themeColor="text1"/>
        </w:rPr>
        <w:t xml:space="preserve">CUARTO.- </w:t>
      </w:r>
      <w:r w:rsidR="001A0AD3">
        <w:rPr>
          <w:rFonts w:ascii="Arial" w:eastAsia="Calibri" w:hAnsi="Arial" w:cs="Arial"/>
          <w:bCs/>
          <w:i/>
          <w:color w:val="000000" w:themeColor="text1"/>
        </w:rPr>
        <w:t xml:space="preserve">Se declara la </w:t>
      </w:r>
      <w:r w:rsidR="008A1687">
        <w:rPr>
          <w:rFonts w:ascii="Arial" w:eastAsia="Calibri" w:hAnsi="Arial" w:cs="Arial"/>
          <w:bCs/>
          <w:i/>
          <w:color w:val="000000" w:themeColor="text1"/>
        </w:rPr>
        <w:t xml:space="preserve">nulidad lisa y llana del acta de infracción con número de folio </w:t>
      </w:r>
      <w:r w:rsidR="00496189">
        <w:rPr>
          <w:rFonts w:ascii="Arial" w:hAnsi="Arial" w:cs="Arial"/>
          <w:bCs/>
          <w:i/>
          <w:color w:val="000000"/>
        </w:rPr>
        <w:t>**********</w:t>
      </w:r>
      <w:r w:rsidR="008A1687">
        <w:rPr>
          <w:rFonts w:ascii="Arial" w:eastAsia="Calibri" w:hAnsi="Arial" w:cs="Arial"/>
          <w:bCs/>
          <w:i/>
          <w:color w:val="000000" w:themeColor="text1"/>
        </w:rPr>
        <w:t xml:space="preserve"> de fecha veintinueve de agosto de dos mil dieciocho (29/08/2018), LEONCIO</w:t>
      </w:r>
      <w:r w:rsidR="000A1BAF">
        <w:rPr>
          <w:rFonts w:ascii="Arial" w:eastAsia="Calibri" w:hAnsi="Arial" w:cs="Arial"/>
          <w:bCs/>
          <w:i/>
          <w:color w:val="000000" w:themeColor="text1"/>
        </w:rPr>
        <w:t xml:space="preserve"> MACEDONIO LÓPEZ </w:t>
      </w:r>
      <w:proofErr w:type="spellStart"/>
      <w:r w:rsidR="000A1BAF">
        <w:rPr>
          <w:rFonts w:ascii="Arial" w:eastAsia="Calibri" w:hAnsi="Arial" w:cs="Arial"/>
          <w:bCs/>
          <w:i/>
          <w:color w:val="000000" w:themeColor="text1"/>
        </w:rPr>
        <w:t>LÓPEZ</w:t>
      </w:r>
      <w:proofErr w:type="spellEnd"/>
      <w:r w:rsidR="000A1BAF">
        <w:rPr>
          <w:rFonts w:ascii="Arial" w:eastAsia="Calibri" w:hAnsi="Arial" w:cs="Arial"/>
          <w:bCs/>
          <w:i/>
          <w:color w:val="000000" w:themeColor="text1"/>
        </w:rPr>
        <w:t xml:space="preserve"> Policía Vial Estatal del Estado de Oaxaca, en consecuencia, se ordena a esa autoridad demandada para que a través de </w:t>
      </w:r>
      <w:proofErr w:type="spellStart"/>
      <w:r w:rsidR="000A1BAF">
        <w:rPr>
          <w:rFonts w:ascii="Arial" w:eastAsia="Calibri" w:hAnsi="Arial" w:cs="Arial"/>
          <w:bCs/>
          <w:i/>
          <w:color w:val="000000" w:themeColor="text1"/>
        </w:rPr>
        <w:t>si</w:t>
      </w:r>
      <w:proofErr w:type="spellEnd"/>
      <w:r w:rsidR="000A1BAF">
        <w:rPr>
          <w:rFonts w:ascii="Arial" w:eastAsia="Calibri" w:hAnsi="Arial" w:cs="Arial"/>
          <w:bCs/>
          <w:i/>
          <w:color w:val="000000" w:themeColor="text1"/>
        </w:rPr>
        <w:t xml:space="preserve"> misma o de quien sea legalmente competente, realice la baja de la citada acta de infracción del sistema electrónico y/o documental que para tal efecto lleve esa autoridad, así mismo también se ordena a la Secretaría de Finanzas de(sic) Gobierno del Estado de Oaxaca para que a través del funcionario que sea legalmente competente en coordinación con la Secretaría de Seguridad Pública de Oaxaca, realice la </w:t>
      </w:r>
      <w:r w:rsidR="00B87326">
        <w:rPr>
          <w:rFonts w:ascii="Arial" w:eastAsia="Calibri" w:hAnsi="Arial" w:cs="Arial"/>
          <w:bCs/>
          <w:i/>
          <w:color w:val="000000" w:themeColor="text1"/>
        </w:rPr>
        <w:t>devolución</w:t>
      </w:r>
      <w:r w:rsidR="000A1BAF">
        <w:rPr>
          <w:rFonts w:ascii="Arial" w:eastAsia="Calibri" w:hAnsi="Arial" w:cs="Arial"/>
          <w:bCs/>
          <w:i/>
          <w:color w:val="000000" w:themeColor="text1"/>
        </w:rPr>
        <w:t xml:space="preserve"> que ampara el recibo con línea de captura </w:t>
      </w:r>
      <w:r w:rsidR="00496189">
        <w:rPr>
          <w:rFonts w:ascii="Arial" w:hAnsi="Arial" w:cs="Arial"/>
          <w:bCs/>
          <w:i/>
          <w:color w:val="000000"/>
        </w:rPr>
        <w:t>**********</w:t>
      </w:r>
      <w:r w:rsidR="000A1BAF">
        <w:rPr>
          <w:rFonts w:ascii="Arial" w:eastAsia="Calibri" w:hAnsi="Arial" w:cs="Arial"/>
          <w:bCs/>
          <w:i/>
          <w:color w:val="000000" w:themeColor="text1"/>
        </w:rPr>
        <w:t>, por la cantidad de $</w:t>
      </w:r>
      <w:r w:rsidR="00496189">
        <w:rPr>
          <w:rFonts w:ascii="Arial" w:hAnsi="Arial" w:cs="Arial"/>
          <w:bCs/>
          <w:i/>
          <w:color w:val="000000"/>
        </w:rPr>
        <w:t>**********</w:t>
      </w:r>
      <w:r w:rsidR="00496189">
        <w:rPr>
          <w:rFonts w:ascii="Arial" w:eastAsia="Calibri" w:hAnsi="Arial" w:cs="Arial"/>
          <w:bCs/>
          <w:i/>
          <w:color w:val="000000" w:themeColor="text1"/>
        </w:rPr>
        <w:t xml:space="preserve"> </w:t>
      </w:r>
      <w:r w:rsidR="000A1BAF">
        <w:rPr>
          <w:rFonts w:ascii="Arial" w:eastAsia="Calibri" w:hAnsi="Arial" w:cs="Arial"/>
          <w:bCs/>
          <w:i/>
          <w:color w:val="000000" w:themeColor="text1"/>
        </w:rPr>
        <w:t>(</w:t>
      </w:r>
      <w:r w:rsidR="00496189">
        <w:rPr>
          <w:rFonts w:ascii="Arial" w:hAnsi="Arial" w:cs="Arial"/>
          <w:bCs/>
          <w:i/>
          <w:color w:val="000000"/>
        </w:rPr>
        <w:t>**********</w:t>
      </w:r>
      <w:r w:rsidR="000A1BAF">
        <w:rPr>
          <w:rFonts w:ascii="Arial" w:eastAsia="Calibri" w:hAnsi="Arial" w:cs="Arial"/>
          <w:bCs/>
          <w:i/>
          <w:color w:val="000000" w:themeColor="text1"/>
        </w:rPr>
        <w:t xml:space="preserve"> pesos </w:t>
      </w:r>
      <w:r w:rsidR="00B87326">
        <w:rPr>
          <w:rFonts w:ascii="Arial" w:eastAsia="Calibri" w:hAnsi="Arial" w:cs="Arial"/>
          <w:bCs/>
          <w:i/>
          <w:color w:val="000000" w:themeColor="text1"/>
        </w:rPr>
        <w:t>00/100 moneda nacional) a favor de la Secretaría de Finanzas del Gobierno del Estado de Oaxaca, así como el pago realizado a GRUAS GALE OAXACA ARRASTRE Y MANIOBRAS,  a través del presupuesto número 7708 d</w:t>
      </w:r>
      <w:bookmarkStart w:id="0" w:name="_GoBack"/>
      <w:r w:rsidR="00B87326">
        <w:rPr>
          <w:rFonts w:ascii="Arial" w:eastAsia="Calibri" w:hAnsi="Arial" w:cs="Arial"/>
          <w:bCs/>
          <w:i/>
          <w:color w:val="000000" w:themeColor="text1"/>
        </w:rPr>
        <w:t>e</w:t>
      </w:r>
      <w:bookmarkEnd w:id="0"/>
      <w:r w:rsidR="00B87326">
        <w:rPr>
          <w:rFonts w:ascii="Arial" w:eastAsia="Calibri" w:hAnsi="Arial" w:cs="Arial"/>
          <w:bCs/>
          <w:i/>
          <w:color w:val="000000" w:themeColor="text1"/>
        </w:rPr>
        <w:t xml:space="preserve"> fecha veintinueve de agosto de dos mil dieciocho (29/08/2018), por la cantidad de $</w:t>
      </w:r>
      <w:r w:rsidR="00496189">
        <w:rPr>
          <w:rFonts w:ascii="Arial" w:hAnsi="Arial" w:cs="Arial"/>
          <w:bCs/>
          <w:i/>
          <w:color w:val="000000"/>
        </w:rPr>
        <w:t>**********</w:t>
      </w:r>
      <w:r w:rsidR="00496189">
        <w:rPr>
          <w:rFonts w:ascii="Arial" w:eastAsia="Calibri" w:hAnsi="Arial" w:cs="Arial"/>
          <w:bCs/>
          <w:i/>
          <w:color w:val="000000" w:themeColor="text1"/>
        </w:rPr>
        <w:t xml:space="preserve"> </w:t>
      </w:r>
      <w:r w:rsidR="00B87326">
        <w:rPr>
          <w:rFonts w:ascii="Arial" w:eastAsia="Calibri" w:hAnsi="Arial" w:cs="Arial"/>
          <w:bCs/>
          <w:i/>
          <w:color w:val="000000" w:themeColor="text1"/>
        </w:rPr>
        <w:t>(</w:t>
      </w:r>
      <w:r w:rsidR="00496189">
        <w:rPr>
          <w:rFonts w:ascii="Arial" w:hAnsi="Arial" w:cs="Arial"/>
          <w:bCs/>
          <w:i/>
          <w:color w:val="000000"/>
        </w:rPr>
        <w:t>**********</w:t>
      </w:r>
      <w:r w:rsidR="00B87326">
        <w:rPr>
          <w:rFonts w:ascii="Arial" w:eastAsia="Calibri" w:hAnsi="Arial" w:cs="Arial"/>
          <w:bCs/>
          <w:i/>
          <w:color w:val="000000" w:themeColor="text1"/>
        </w:rPr>
        <w:t xml:space="preserve"> pesos 00/100 moneda nacional), por concepto de traslado, lo anterior por las razones ya expuestas en el considerando CUARTO de esta sentencia.</w:t>
      </w:r>
      <w:r w:rsidR="008A1687">
        <w:rPr>
          <w:rFonts w:ascii="Arial" w:eastAsia="Calibri" w:hAnsi="Arial" w:cs="Arial"/>
          <w:bCs/>
          <w:i/>
          <w:color w:val="000000" w:themeColor="text1"/>
        </w:rPr>
        <w:t xml:space="preserve"> </w:t>
      </w:r>
      <w:r w:rsidR="008364E2">
        <w:rPr>
          <w:rFonts w:ascii="Arial" w:eastAsia="Calibri" w:hAnsi="Arial" w:cs="Arial"/>
          <w:bCs/>
          <w:i/>
          <w:color w:val="000000" w:themeColor="text1"/>
        </w:rPr>
        <w:t xml:space="preserve">- - - - - - - - - - - - </w:t>
      </w:r>
      <w:r w:rsidR="007C6FD1">
        <w:rPr>
          <w:rFonts w:ascii="Arial" w:eastAsia="Calibri" w:hAnsi="Arial" w:cs="Arial"/>
          <w:b/>
          <w:bCs/>
          <w:i/>
          <w:color w:val="000000" w:themeColor="text1"/>
        </w:rPr>
        <w:t xml:space="preserve">QUINTO.- </w:t>
      </w:r>
      <w:r w:rsidR="00B87326">
        <w:rPr>
          <w:rFonts w:ascii="Arial" w:eastAsia="Calibri" w:hAnsi="Arial" w:cs="Arial"/>
          <w:bCs/>
          <w:i/>
          <w:color w:val="000000" w:themeColor="text1"/>
        </w:rPr>
        <w:t xml:space="preserve">Conforme a lo dispuesto en los artículos 172 y 173 de la Ley de Procedimiento y Justicia Administrativa para el Estado de Oaxaca, </w:t>
      </w:r>
      <w:r w:rsidR="00DB2741">
        <w:rPr>
          <w:rFonts w:ascii="Arial" w:eastAsia="Calibri" w:hAnsi="Arial" w:cs="Arial"/>
          <w:b/>
          <w:bCs/>
          <w:i/>
          <w:color w:val="000000" w:themeColor="text1"/>
        </w:rPr>
        <w:t xml:space="preserve">NOTIFÍQUESE </w:t>
      </w:r>
      <w:r w:rsidR="00B87326">
        <w:rPr>
          <w:rFonts w:ascii="Arial" w:eastAsia="Calibri" w:hAnsi="Arial" w:cs="Arial"/>
          <w:bCs/>
          <w:i/>
          <w:color w:val="000000" w:themeColor="text1"/>
        </w:rPr>
        <w:t xml:space="preserve">personalmente </w:t>
      </w:r>
      <w:r w:rsidR="003630F3">
        <w:rPr>
          <w:rFonts w:ascii="Arial" w:eastAsia="Calibri" w:hAnsi="Arial" w:cs="Arial"/>
          <w:bCs/>
          <w:i/>
          <w:color w:val="000000" w:themeColor="text1"/>
        </w:rPr>
        <w:t>a la parte actora, por oficio a las autoridades demandadas y</w:t>
      </w:r>
      <w:r w:rsidR="00832086">
        <w:rPr>
          <w:rFonts w:ascii="Arial" w:eastAsia="Calibri" w:hAnsi="Arial" w:cs="Arial"/>
          <w:b/>
          <w:bCs/>
          <w:i/>
          <w:color w:val="000000" w:themeColor="text1"/>
        </w:rPr>
        <w:t xml:space="preserve"> CÚMPLASE</w:t>
      </w:r>
      <w:r w:rsidR="00832086">
        <w:rPr>
          <w:rFonts w:ascii="Arial" w:eastAsia="Calibri" w:hAnsi="Arial" w:cs="Arial"/>
          <w:bCs/>
          <w:i/>
          <w:color w:val="000000" w:themeColor="text1"/>
        </w:rPr>
        <w:t xml:space="preserve">.- - - - - - - - - - </w:t>
      </w:r>
    </w:p>
    <w:p w:rsidR="0006161B" w:rsidRPr="0028071E" w:rsidRDefault="0006161B" w:rsidP="008A1687">
      <w:pPr>
        <w:spacing w:after="120" w:line="360" w:lineRule="auto"/>
        <w:ind w:left="1134" w:right="758"/>
        <w:jc w:val="both"/>
        <w:rPr>
          <w:rFonts w:ascii="Arial" w:eastAsia="Calibri" w:hAnsi="Arial" w:cs="Arial"/>
          <w:bCs/>
          <w:i/>
          <w:color w:val="000000" w:themeColor="text1"/>
        </w:rPr>
      </w:pPr>
    </w:p>
    <w:p w:rsidR="00FE7CD4" w:rsidRDefault="00E228E5" w:rsidP="00FE7CD4">
      <w:pPr>
        <w:spacing w:before="240" w:line="360" w:lineRule="auto"/>
        <w:jc w:val="center"/>
        <w:rPr>
          <w:rFonts w:ascii="Arial" w:eastAsia="Times New Roman" w:hAnsi="Arial" w:cs="Arial"/>
          <w:b/>
          <w:bCs/>
          <w:sz w:val="26"/>
          <w:szCs w:val="26"/>
          <w:lang w:val="es-ES" w:eastAsia="es-ES"/>
        </w:rPr>
      </w:pPr>
      <w:r w:rsidRPr="001872CB">
        <w:rPr>
          <w:rFonts w:ascii="Arial" w:eastAsia="Times New Roman" w:hAnsi="Arial" w:cs="Arial"/>
          <w:b/>
          <w:bCs/>
          <w:sz w:val="26"/>
          <w:szCs w:val="26"/>
          <w:lang w:val="es-ES" w:eastAsia="es-ES"/>
        </w:rPr>
        <w:t xml:space="preserve">C O N S I D E R A N D </w:t>
      </w:r>
      <w:r w:rsidR="006F2054">
        <w:rPr>
          <w:rFonts w:ascii="Arial" w:eastAsia="Times New Roman" w:hAnsi="Arial" w:cs="Arial"/>
          <w:b/>
          <w:bCs/>
          <w:sz w:val="26"/>
          <w:szCs w:val="26"/>
          <w:lang w:val="es-ES" w:eastAsia="es-ES"/>
        </w:rPr>
        <w:t>O</w:t>
      </w:r>
    </w:p>
    <w:p w:rsidR="00FE7CD4" w:rsidRDefault="00E228E5" w:rsidP="0006161B">
      <w:pPr>
        <w:spacing w:before="240" w:line="360" w:lineRule="auto"/>
        <w:ind w:firstLine="709"/>
        <w:jc w:val="both"/>
        <w:rPr>
          <w:rFonts w:ascii="Arial" w:hAnsi="Arial" w:cs="Arial"/>
          <w:bCs/>
          <w:iCs/>
          <w:sz w:val="26"/>
          <w:szCs w:val="26"/>
          <w:lang w:eastAsia="es-ES"/>
        </w:rPr>
      </w:pPr>
      <w:r w:rsidRPr="001872CB">
        <w:rPr>
          <w:rFonts w:ascii="Arial" w:hAnsi="Arial" w:cs="Arial"/>
          <w:b/>
          <w:bCs/>
          <w:iCs/>
          <w:sz w:val="26"/>
          <w:szCs w:val="26"/>
        </w:rPr>
        <w:t xml:space="preserve">PRIMERO. </w:t>
      </w:r>
      <w:r w:rsidR="00C7697D" w:rsidRPr="00C7697D">
        <w:rPr>
          <w:rFonts w:ascii="Arial" w:hAnsi="Arial" w:cs="Arial"/>
          <w:bCs/>
          <w:iCs/>
          <w:sz w:val="26"/>
          <w:szCs w:val="26"/>
        </w:rPr>
        <w:t xml:space="preserve">Esta Sala Superior es competente para conocer del presente asunto, </w:t>
      </w:r>
      <w:r w:rsidR="00C7697D" w:rsidRPr="00C7697D">
        <w:rPr>
          <w:rFonts w:ascii="Arial" w:hAnsi="Arial" w:cs="Arial"/>
          <w:bCs/>
          <w:iCs/>
          <w:sz w:val="26"/>
          <w:szCs w:val="26"/>
          <w:lang w:eastAsia="es-ES"/>
        </w:rPr>
        <w:t>de conformidad con lo dispuesto por los artículos 114 QUÁTER, Párrafo Tercero de la Constitución Política del Estado Libre y Soberano de Oaxaca y los artículos 1, 118, 119, 120, 123 segundo párrafo, 125, 130 fracción I, 131, 231, 236 fracción VII y 238 de la Ley de Procedimientos y Justicia Administrativa para el Estado de Oaxaca</w:t>
      </w:r>
      <w:r w:rsidR="006F2054" w:rsidRPr="00266CFB">
        <w:rPr>
          <w:rFonts w:ascii="Arial" w:hAnsi="Arial" w:cs="Arial"/>
          <w:bCs/>
          <w:iCs/>
          <w:sz w:val="26"/>
          <w:szCs w:val="26"/>
          <w:lang w:eastAsia="es-ES"/>
        </w:rPr>
        <w:t xml:space="preserve">, dado que se trata de un Recurso de Revisión interpuesto en contra de la sentencia de </w:t>
      </w:r>
      <w:r w:rsidR="006F2054">
        <w:rPr>
          <w:rFonts w:ascii="Arial" w:hAnsi="Arial" w:cs="Arial"/>
          <w:bCs/>
          <w:iCs/>
          <w:sz w:val="26"/>
          <w:szCs w:val="26"/>
          <w:lang w:eastAsia="es-ES"/>
        </w:rPr>
        <w:t>28 veintiocho de enero de 2019 dos mil diecinueve</w:t>
      </w:r>
      <w:r w:rsidR="006F2054" w:rsidRPr="00266CFB">
        <w:rPr>
          <w:rFonts w:ascii="Arial" w:hAnsi="Arial" w:cs="Arial"/>
          <w:bCs/>
          <w:iCs/>
          <w:sz w:val="26"/>
          <w:szCs w:val="26"/>
          <w:lang w:eastAsia="es-ES"/>
        </w:rPr>
        <w:t xml:space="preserve">, dictada por la </w:t>
      </w:r>
      <w:r w:rsidR="006F2054">
        <w:rPr>
          <w:rFonts w:ascii="Arial" w:hAnsi="Arial" w:cs="Arial"/>
          <w:bCs/>
          <w:iCs/>
          <w:sz w:val="26"/>
          <w:szCs w:val="26"/>
          <w:lang w:eastAsia="es-ES"/>
        </w:rPr>
        <w:t xml:space="preserve">Primera </w:t>
      </w:r>
      <w:r w:rsidR="006F2054" w:rsidRPr="00266CFB">
        <w:rPr>
          <w:rFonts w:ascii="Arial" w:hAnsi="Arial" w:cs="Arial"/>
          <w:bCs/>
          <w:iCs/>
          <w:sz w:val="26"/>
          <w:szCs w:val="26"/>
          <w:lang w:eastAsia="es-ES"/>
        </w:rPr>
        <w:t xml:space="preserve">Sala Unitaria de Primera Instancia en el juicio </w:t>
      </w:r>
      <w:r w:rsidR="006F2054">
        <w:rPr>
          <w:rFonts w:ascii="Arial" w:hAnsi="Arial" w:cs="Arial"/>
          <w:bCs/>
          <w:iCs/>
          <w:sz w:val="26"/>
          <w:szCs w:val="26"/>
          <w:lang w:eastAsia="es-ES"/>
        </w:rPr>
        <w:t xml:space="preserve">de nulidad </w:t>
      </w:r>
      <w:r w:rsidR="006F2054">
        <w:rPr>
          <w:rFonts w:ascii="Arial" w:hAnsi="Arial" w:cs="Arial"/>
          <w:b/>
          <w:bCs/>
          <w:iCs/>
          <w:sz w:val="26"/>
          <w:szCs w:val="26"/>
          <w:lang w:eastAsia="es-ES"/>
        </w:rPr>
        <w:t>082/2018</w:t>
      </w:r>
      <w:r w:rsidR="00FE7CD4">
        <w:rPr>
          <w:rFonts w:ascii="Arial" w:hAnsi="Arial" w:cs="Arial"/>
          <w:bCs/>
          <w:iCs/>
          <w:sz w:val="26"/>
          <w:szCs w:val="26"/>
          <w:lang w:eastAsia="es-ES"/>
        </w:rPr>
        <w:t>.</w:t>
      </w:r>
    </w:p>
    <w:p w:rsidR="004E4E7A" w:rsidRPr="006F2054" w:rsidRDefault="006F2054" w:rsidP="00C7697D">
      <w:pPr>
        <w:spacing w:before="240" w:line="360" w:lineRule="auto"/>
        <w:jc w:val="both"/>
        <w:rPr>
          <w:rFonts w:ascii="Arial" w:hAnsi="Arial" w:cs="Arial"/>
          <w:sz w:val="26"/>
          <w:szCs w:val="26"/>
        </w:rPr>
      </w:pPr>
      <w:r>
        <w:rPr>
          <w:rFonts w:ascii="Arial" w:hAnsi="Arial" w:cs="Arial"/>
          <w:bCs/>
          <w:iCs/>
          <w:sz w:val="26"/>
          <w:szCs w:val="26"/>
          <w:lang w:eastAsia="es-ES"/>
        </w:rPr>
        <w:lastRenderedPageBreak/>
        <w:t xml:space="preserve"> </w:t>
      </w:r>
      <w:r w:rsidR="0006161B">
        <w:rPr>
          <w:rFonts w:ascii="Arial" w:hAnsi="Arial" w:cs="Arial"/>
          <w:bCs/>
          <w:iCs/>
          <w:sz w:val="26"/>
          <w:szCs w:val="26"/>
          <w:lang w:eastAsia="es-ES"/>
        </w:rPr>
        <w:tab/>
      </w:r>
      <w:r w:rsidR="00E228E5" w:rsidRPr="001872CB">
        <w:rPr>
          <w:rFonts w:ascii="Arial" w:hAnsi="Arial" w:cs="Arial"/>
          <w:b/>
          <w:bCs/>
          <w:sz w:val="26"/>
          <w:szCs w:val="26"/>
        </w:rPr>
        <w:t>SEGUNDO.</w:t>
      </w:r>
      <w:r w:rsidR="007A0114" w:rsidRPr="007A0114">
        <w:rPr>
          <w:rFonts w:ascii="Arial" w:eastAsia="Calibri" w:hAnsi="Arial" w:cs="Arial"/>
          <w:bCs/>
          <w:sz w:val="26"/>
          <w:szCs w:val="26"/>
          <w:lang w:eastAsia="es-MX"/>
        </w:rPr>
        <w:t xml:space="preserve"> </w:t>
      </w:r>
      <w:r>
        <w:rPr>
          <w:rFonts w:ascii="Arial" w:hAnsi="Arial" w:cs="Arial"/>
          <w:bCs/>
          <w:sz w:val="26"/>
          <w:szCs w:val="26"/>
        </w:rPr>
        <w:t>El agravio hecho valer se encuentra expuesto</w:t>
      </w:r>
      <w:r w:rsidR="004E4E7A" w:rsidRPr="008A5628">
        <w:rPr>
          <w:rFonts w:ascii="Arial" w:hAnsi="Arial" w:cs="Arial"/>
          <w:bCs/>
          <w:sz w:val="26"/>
          <w:szCs w:val="26"/>
        </w:rPr>
        <w:t xml:space="preserve"> en el escrito del recurrente, por lo que no ex</w:t>
      </w:r>
      <w:r>
        <w:rPr>
          <w:rFonts w:ascii="Arial" w:hAnsi="Arial" w:cs="Arial"/>
          <w:bCs/>
          <w:sz w:val="26"/>
          <w:szCs w:val="26"/>
        </w:rPr>
        <w:t>iste necesidad de transcribirlo</w:t>
      </w:r>
      <w:r w:rsidR="004E4E7A" w:rsidRPr="008A5628">
        <w:rPr>
          <w:rFonts w:ascii="Arial" w:hAnsi="Arial" w:cs="Arial"/>
          <w:bCs/>
          <w:sz w:val="26"/>
          <w:szCs w:val="26"/>
        </w:rPr>
        <w:t>, al no transgredírsele derecho alguno, como tampoco se vulnera disposición expresa que imponga tal obligación</w:t>
      </w:r>
      <w:r w:rsidR="004E4E7A">
        <w:rPr>
          <w:rFonts w:ascii="Arial" w:hAnsi="Arial" w:cs="Arial"/>
          <w:sz w:val="26"/>
          <w:szCs w:val="26"/>
        </w:rPr>
        <w:t xml:space="preserve">. </w:t>
      </w:r>
      <w:r w:rsidR="004E4E7A" w:rsidRPr="00D63A6F">
        <w:rPr>
          <w:rFonts w:ascii="Arial" w:hAnsi="Arial" w:cs="Arial"/>
          <w:bCs/>
          <w:color w:val="000000"/>
          <w:sz w:val="26"/>
          <w:szCs w:val="26"/>
        </w:rPr>
        <w:t>Se invoca en apoyo, la Tesis, con número de registro</w:t>
      </w:r>
      <w:r w:rsidR="004E4E7A">
        <w:rPr>
          <w:rFonts w:ascii="Arial" w:hAnsi="Arial" w:cs="Arial"/>
          <w:bCs/>
          <w:color w:val="000000"/>
          <w:sz w:val="26"/>
          <w:szCs w:val="26"/>
        </w:rPr>
        <w:t xml:space="preserve"> 254280, publicada en la Gaceta </w:t>
      </w:r>
      <w:r w:rsidR="004E4E7A" w:rsidRPr="00D63A6F">
        <w:rPr>
          <w:rFonts w:ascii="Arial" w:hAnsi="Arial" w:cs="Arial"/>
          <w:bCs/>
          <w:color w:val="000000"/>
          <w:sz w:val="26"/>
          <w:szCs w:val="26"/>
        </w:rPr>
        <w:t xml:space="preserve">del Semanario Judicial de la Federación, Volumen 81, Sexta Parte, Séptima  Época, pagina 23, bajo el rubro y texto siguiente: </w:t>
      </w:r>
    </w:p>
    <w:p w:rsidR="004E4E7A" w:rsidRPr="00E80E37" w:rsidRDefault="004E4E7A" w:rsidP="004E4E7A">
      <w:pPr>
        <w:widowControl w:val="0"/>
        <w:tabs>
          <w:tab w:val="left" w:pos="7938"/>
          <w:tab w:val="left" w:pos="8222"/>
        </w:tabs>
        <w:spacing w:after="0" w:line="360" w:lineRule="auto"/>
        <w:ind w:right="49"/>
        <w:jc w:val="both"/>
        <w:rPr>
          <w:rFonts w:ascii="Arial" w:eastAsia="Times New Roman" w:hAnsi="Arial" w:cs="Arial"/>
          <w:bCs/>
          <w:iCs/>
          <w:lang w:eastAsia="es-ES"/>
        </w:rPr>
      </w:pPr>
    </w:p>
    <w:p w:rsidR="004E4E7A" w:rsidRDefault="004E4E7A" w:rsidP="004E4E7A">
      <w:pPr>
        <w:spacing w:after="0"/>
        <w:ind w:left="993" w:right="616"/>
        <w:jc w:val="both"/>
        <w:rPr>
          <w:rFonts w:ascii="Arial" w:hAnsi="Arial" w:cs="Arial"/>
          <w:bCs/>
          <w:color w:val="000000"/>
        </w:rPr>
      </w:pPr>
      <w:r w:rsidRPr="00B369F4">
        <w:rPr>
          <w:rFonts w:ascii="Arial" w:hAnsi="Arial" w:cs="Arial"/>
          <w:b/>
          <w:bCs/>
          <w:i/>
          <w:color w:val="000000"/>
        </w:rPr>
        <w:t>“CONCEPTOS DE VIOLACIÓN. NO ES OBLIGATORIO TRANSCRIBIRLOS EN LA SENTENCIA</w:t>
      </w:r>
      <w:r w:rsidRPr="00B369F4">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E1779D" w:rsidRDefault="00E1779D" w:rsidP="004E4E7A">
      <w:pPr>
        <w:jc w:val="both"/>
        <w:rPr>
          <w:rFonts w:ascii="Arial" w:eastAsia="Calibri" w:hAnsi="Arial" w:cs="Arial"/>
          <w:bCs/>
          <w:sz w:val="26"/>
          <w:szCs w:val="26"/>
          <w:lang w:eastAsia="es-MX"/>
        </w:rPr>
      </w:pPr>
    </w:p>
    <w:p w:rsidR="0006161B" w:rsidRDefault="00E1779D" w:rsidP="0006161B">
      <w:pPr>
        <w:spacing w:after="0" w:line="360" w:lineRule="auto"/>
        <w:ind w:firstLine="709"/>
        <w:jc w:val="both"/>
        <w:rPr>
          <w:rFonts w:ascii="Arial" w:hAnsi="Arial" w:cs="Arial"/>
          <w:bCs/>
          <w:sz w:val="26"/>
          <w:szCs w:val="26"/>
        </w:rPr>
      </w:pPr>
      <w:r>
        <w:rPr>
          <w:rFonts w:ascii="Arial" w:eastAsia="Calibri" w:hAnsi="Arial" w:cs="Arial"/>
          <w:b/>
          <w:bCs/>
          <w:sz w:val="26"/>
          <w:szCs w:val="26"/>
          <w:lang w:eastAsia="es-MX"/>
        </w:rPr>
        <w:t>TERCERO</w:t>
      </w:r>
      <w:r w:rsidR="004E4E7A">
        <w:rPr>
          <w:rFonts w:ascii="Arial" w:eastAsia="Calibri" w:hAnsi="Arial" w:cs="Arial"/>
          <w:b/>
          <w:bCs/>
          <w:sz w:val="26"/>
          <w:szCs w:val="26"/>
          <w:lang w:eastAsia="es-MX"/>
        </w:rPr>
        <w:t xml:space="preserve">. </w:t>
      </w:r>
      <w:r w:rsidR="004226EE">
        <w:rPr>
          <w:rFonts w:ascii="Arial" w:hAnsi="Arial" w:cs="Arial"/>
          <w:bCs/>
          <w:sz w:val="26"/>
          <w:szCs w:val="26"/>
        </w:rPr>
        <w:t xml:space="preserve">Dice </w:t>
      </w:r>
      <w:r w:rsidR="007070D1">
        <w:rPr>
          <w:rFonts w:ascii="Arial" w:hAnsi="Arial" w:cs="Arial"/>
          <w:bCs/>
          <w:sz w:val="26"/>
          <w:szCs w:val="26"/>
        </w:rPr>
        <w:t>el inconforme</w:t>
      </w:r>
      <w:r w:rsidR="004226EE">
        <w:rPr>
          <w:rFonts w:ascii="Arial" w:hAnsi="Arial" w:cs="Arial"/>
          <w:bCs/>
          <w:sz w:val="26"/>
          <w:szCs w:val="26"/>
        </w:rPr>
        <w:t xml:space="preserve"> que le agravia la sentencia en revisión porque afirma que la Sala de Primera Instancia invade seriamente la esfera jurídica y soberanía del Estado de Oaxaca, ya que contraviene disposiciones de orden público y de interés social, porque la resolutora dejó de aplicar los artículos 21 cuarto párrafo, 115 fracción III, inciso i), segundo párrafo de la Constitución Política de los Estados Unidos Mexicanos, 113 fracción III, inciso i) segundo párrafo de la Constitución Política del Estado Libre y Soberano de Oaxaca, 47 fracción XXXI de la Ley del Sistema Estatal de Seguridad Pública de Oaxaca, 1, 2, 3, 4, 6, 10, 11, 12,  de la Ley de Tránsito, Movilidad y Vialidad del Estado de Oaxaca, 1, 137 y 146 del Reglamento de la Ley de Tránsito Reformada del Estado de Oaxa</w:t>
      </w:r>
      <w:r w:rsidR="00FE7CD4">
        <w:rPr>
          <w:rFonts w:ascii="Arial" w:hAnsi="Arial" w:cs="Arial"/>
          <w:bCs/>
          <w:sz w:val="26"/>
          <w:szCs w:val="26"/>
        </w:rPr>
        <w:t>ca.</w:t>
      </w:r>
    </w:p>
    <w:p w:rsidR="004226EE" w:rsidRDefault="004226EE" w:rsidP="0006161B">
      <w:pPr>
        <w:spacing w:after="0" w:line="360" w:lineRule="auto"/>
        <w:ind w:firstLine="709"/>
        <w:jc w:val="both"/>
        <w:rPr>
          <w:rFonts w:ascii="Arial" w:hAnsi="Arial" w:cs="Arial"/>
          <w:bCs/>
          <w:sz w:val="26"/>
          <w:szCs w:val="26"/>
        </w:rPr>
      </w:pPr>
      <w:r>
        <w:rPr>
          <w:rFonts w:ascii="Arial" w:hAnsi="Arial" w:cs="Arial"/>
          <w:bCs/>
          <w:sz w:val="26"/>
          <w:szCs w:val="26"/>
        </w:rPr>
        <w:t xml:space="preserve"> </w:t>
      </w:r>
    </w:p>
    <w:p w:rsidR="004226EE" w:rsidRDefault="004226EE" w:rsidP="0006161B">
      <w:pPr>
        <w:spacing w:after="0" w:line="360" w:lineRule="auto"/>
        <w:ind w:firstLine="709"/>
        <w:jc w:val="both"/>
        <w:rPr>
          <w:rFonts w:ascii="Arial" w:hAnsi="Arial" w:cs="Arial"/>
          <w:b/>
          <w:bCs/>
          <w:sz w:val="26"/>
          <w:szCs w:val="26"/>
        </w:rPr>
      </w:pPr>
      <w:r>
        <w:rPr>
          <w:rFonts w:ascii="Arial" w:hAnsi="Arial" w:cs="Arial"/>
          <w:bCs/>
          <w:sz w:val="26"/>
          <w:szCs w:val="26"/>
        </w:rPr>
        <w:t xml:space="preserve">Afirma lo anterior, indicando que la Sala de origen es omisa en fundar y motivar su consideración en la que </w:t>
      </w:r>
      <w:r w:rsidR="003C47DA">
        <w:rPr>
          <w:rFonts w:ascii="Arial" w:hAnsi="Arial" w:cs="Arial"/>
          <w:bCs/>
          <w:sz w:val="26"/>
          <w:szCs w:val="26"/>
        </w:rPr>
        <w:t xml:space="preserve">dejó de aplicar y observar las disposiciones antes citadas, que contrario a lo determinado por la Primera Instancia </w:t>
      </w:r>
      <w:r>
        <w:rPr>
          <w:rFonts w:ascii="Arial" w:hAnsi="Arial" w:cs="Arial"/>
          <w:bCs/>
          <w:sz w:val="26"/>
          <w:szCs w:val="26"/>
        </w:rPr>
        <w:t xml:space="preserve">sí tiene competencia para auxiliar a las autoridades y agentes de policía de Tránsito de los </w:t>
      </w:r>
      <w:r w:rsidR="003C47DA">
        <w:rPr>
          <w:rFonts w:ascii="Arial" w:hAnsi="Arial" w:cs="Arial"/>
          <w:bCs/>
          <w:sz w:val="26"/>
          <w:szCs w:val="26"/>
        </w:rPr>
        <w:t>Municipios del Estado de Oaxaca.</w:t>
      </w:r>
    </w:p>
    <w:p w:rsidR="00FE7CD4" w:rsidRDefault="006F2054" w:rsidP="00803ADE">
      <w:pPr>
        <w:spacing w:line="360" w:lineRule="auto"/>
        <w:jc w:val="both"/>
        <w:rPr>
          <w:rFonts w:ascii="Arial" w:eastAsia="Calibri" w:hAnsi="Arial" w:cs="Arial"/>
          <w:bCs/>
          <w:sz w:val="26"/>
          <w:szCs w:val="26"/>
        </w:rPr>
      </w:pPr>
      <w:r>
        <w:rPr>
          <w:rFonts w:ascii="Arial" w:eastAsia="Calibri" w:hAnsi="Arial" w:cs="Arial"/>
          <w:bCs/>
          <w:sz w:val="26"/>
          <w:szCs w:val="26"/>
        </w:rPr>
        <w:t>Esta primera parte de</w:t>
      </w:r>
      <w:r w:rsidR="00D70E1D">
        <w:rPr>
          <w:rFonts w:ascii="Arial" w:eastAsia="Calibri" w:hAnsi="Arial" w:cs="Arial"/>
          <w:bCs/>
          <w:sz w:val="26"/>
          <w:szCs w:val="26"/>
        </w:rPr>
        <w:t xml:space="preserve"> su</w:t>
      </w:r>
      <w:r>
        <w:rPr>
          <w:rFonts w:ascii="Arial" w:eastAsia="Calibri" w:hAnsi="Arial" w:cs="Arial"/>
          <w:bCs/>
          <w:sz w:val="26"/>
          <w:szCs w:val="26"/>
        </w:rPr>
        <w:t xml:space="preserve"> </w:t>
      </w:r>
      <w:r w:rsidR="003C47DA">
        <w:rPr>
          <w:rFonts w:ascii="Arial" w:eastAsia="Calibri" w:hAnsi="Arial" w:cs="Arial"/>
          <w:bCs/>
          <w:sz w:val="26"/>
          <w:szCs w:val="26"/>
        </w:rPr>
        <w:t>agravio</w:t>
      </w:r>
      <w:r>
        <w:rPr>
          <w:rFonts w:ascii="Arial" w:eastAsia="Calibri" w:hAnsi="Arial" w:cs="Arial"/>
          <w:bCs/>
          <w:sz w:val="26"/>
          <w:szCs w:val="26"/>
        </w:rPr>
        <w:t xml:space="preserve">, es </w:t>
      </w:r>
      <w:r>
        <w:rPr>
          <w:rFonts w:ascii="Arial" w:eastAsia="Calibri" w:hAnsi="Arial" w:cs="Arial"/>
          <w:b/>
          <w:bCs/>
          <w:sz w:val="26"/>
          <w:szCs w:val="26"/>
        </w:rPr>
        <w:t>inoperante</w:t>
      </w:r>
      <w:r>
        <w:rPr>
          <w:rFonts w:ascii="Arial" w:eastAsia="Calibri" w:hAnsi="Arial" w:cs="Arial"/>
          <w:bCs/>
          <w:sz w:val="26"/>
          <w:szCs w:val="26"/>
        </w:rPr>
        <w:t>, porque no explica con argumentos lógico - jurídicos, el por qué a su juicio, la sentencia en revisión transgrede la soberanía del Estado, tampoco indica por qué se deja de observar lo dispuesto por los artículos que cita; además</w:t>
      </w:r>
      <w:r w:rsidR="003C47DA">
        <w:rPr>
          <w:rFonts w:ascii="Arial" w:eastAsia="Calibri" w:hAnsi="Arial" w:cs="Arial"/>
          <w:bCs/>
          <w:sz w:val="26"/>
          <w:szCs w:val="26"/>
        </w:rPr>
        <w:t>, de que no</w:t>
      </w:r>
      <w:r>
        <w:rPr>
          <w:rFonts w:ascii="Arial" w:eastAsia="Calibri" w:hAnsi="Arial" w:cs="Arial"/>
          <w:bCs/>
          <w:sz w:val="26"/>
          <w:szCs w:val="26"/>
        </w:rPr>
        <w:t xml:space="preserve"> controvierte las consideraciones torales de la primera instancia para </w:t>
      </w:r>
      <w:r>
        <w:rPr>
          <w:rFonts w:ascii="Arial" w:eastAsia="Calibri" w:hAnsi="Arial" w:cs="Arial"/>
          <w:bCs/>
          <w:sz w:val="26"/>
          <w:szCs w:val="26"/>
        </w:rPr>
        <w:lastRenderedPageBreak/>
        <w:t>determinar la nulidad lisa y llana del acta de infracción impugnada, lo que era necesario hiciera y al no hacerlo así, éstas siguen rigiendo el sentido del fallo en revisión.</w:t>
      </w:r>
    </w:p>
    <w:p w:rsidR="006F2054" w:rsidRPr="00803ADE" w:rsidRDefault="006F2054" w:rsidP="0006161B">
      <w:pPr>
        <w:spacing w:line="360" w:lineRule="auto"/>
        <w:ind w:firstLine="709"/>
        <w:jc w:val="both"/>
        <w:rPr>
          <w:rFonts w:ascii="Arial" w:eastAsia="Calibri" w:hAnsi="Arial" w:cs="Arial"/>
          <w:bCs/>
          <w:sz w:val="26"/>
          <w:szCs w:val="26"/>
        </w:rPr>
      </w:pPr>
      <w:r w:rsidRPr="002B506D">
        <w:rPr>
          <w:rFonts w:ascii="Arial" w:hAnsi="Arial" w:cs="Arial"/>
          <w:bCs/>
          <w:color w:val="000000" w:themeColor="text1"/>
          <w:sz w:val="26"/>
          <w:szCs w:val="26"/>
        </w:rPr>
        <w:t xml:space="preserve">Sirve de apoyo a lo anterior la jurisprudencia </w:t>
      </w:r>
      <w:r w:rsidRPr="002B506D">
        <w:rPr>
          <w:rFonts w:ascii="Arial" w:eastAsia="Times New Roman" w:hAnsi="Arial"/>
          <w:color w:val="000000" w:themeColor="text1"/>
          <w:sz w:val="26"/>
          <w:szCs w:val="26"/>
        </w:rPr>
        <w:t>IV.3o. J/12 dictada por el Tercer Tribunal Colegiado del Cuarto Circuito, publicada en la Gaceta del Sema</w:t>
      </w:r>
      <w:r>
        <w:rPr>
          <w:rFonts w:ascii="Arial" w:eastAsia="Times New Roman" w:hAnsi="Arial"/>
          <w:color w:val="000000" w:themeColor="text1"/>
          <w:sz w:val="26"/>
          <w:szCs w:val="26"/>
        </w:rPr>
        <w:t xml:space="preserve">nario Judicial de la Federación, </w:t>
      </w:r>
      <w:r w:rsidRPr="002B506D">
        <w:rPr>
          <w:rFonts w:ascii="Arial" w:eastAsia="Times New Roman" w:hAnsi="Arial"/>
          <w:color w:val="000000" w:themeColor="text1"/>
          <w:sz w:val="26"/>
          <w:szCs w:val="26"/>
        </w:rPr>
        <w:t xml:space="preserve">en la </w:t>
      </w:r>
      <w:r>
        <w:rPr>
          <w:rFonts w:ascii="Arial" w:eastAsia="Times New Roman" w:hAnsi="Arial"/>
          <w:color w:val="000000" w:themeColor="text1"/>
          <w:sz w:val="26"/>
          <w:szCs w:val="26"/>
        </w:rPr>
        <w:t>O</w:t>
      </w:r>
      <w:r w:rsidRPr="002B506D">
        <w:rPr>
          <w:rFonts w:ascii="Arial" w:eastAsia="Times New Roman" w:hAnsi="Arial"/>
          <w:color w:val="000000" w:themeColor="text1"/>
          <w:sz w:val="26"/>
          <w:szCs w:val="26"/>
        </w:rPr>
        <w:t xml:space="preserve">ctava </w:t>
      </w:r>
      <w:r>
        <w:rPr>
          <w:rFonts w:ascii="Arial" w:eastAsia="Times New Roman" w:hAnsi="Arial"/>
          <w:color w:val="000000" w:themeColor="text1"/>
          <w:sz w:val="26"/>
          <w:szCs w:val="26"/>
        </w:rPr>
        <w:t>É</w:t>
      </w:r>
      <w:r w:rsidRPr="002B506D">
        <w:rPr>
          <w:rFonts w:ascii="Arial" w:eastAsia="Times New Roman" w:hAnsi="Arial"/>
          <w:color w:val="000000" w:themeColor="text1"/>
          <w:sz w:val="26"/>
          <w:szCs w:val="26"/>
        </w:rPr>
        <w:t>poca, Septiembre de 1992, consultable a página 57, cuyo rubro y texto son el siguiente:</w:t>
      </w:r>
    </w:p>
    <w:p w:rsidR="006F2054" w:rsidRPr="004A2FA8" w:rsidRDefault="006F2054" w:rsidP="006F2054">
      <w:pPr>
        <w:spacing w:line="360" w:lineRule="auto"/>
        <w:ind w:left="1134" w:right="709"/>
        <w:jc w:val="both"/>
        <w:rPr>
          <w:rFonts w:ascii="Arial" w:hAnsi="Arial" w:cs="Arial"/>
          <w:bCs/>
          <w:i/>
          <w:color w:val="000000" w:themeColor="text1"/>
          <w:sz w:val="24"/>
          <w:szCs w:val="24"/>
        </w:rPr>
      </w:pPr>
      <w:r w:rsidRPr="004A2FA8">
        <w:rPr>
          <w:rFonts w:ascii="Arial" w:eastAsia="Times New Roman" w:hAnsi="Arial"/>
          <w:b/>
          <w:i/>
          <w:color w:val="000000" w:themeColor="text1"/>
          <w:sz w:val="24"/>
          <w:szCs w:val="24"/>
        </w:rPr>
        <w:t xml:space="preserve">“AGRAVIOS. DEBEN DE IMPUGNAR LA ILEGALIDAD DEL FALLO RECURRIDO. </w:t>
      </w:r>
      <w:r w:rsidRPr="004A2FA8">
        <w:rPr>
          <w:rFonts w:ascii="Arial" w:eastAsia="Times New Roman" w:hAnsi="Arial"/>
          <w:i/>
          <w:color w:val="000000" w:themeColor="text1"/>
          <w:sz w:val="24"/>
          <w:szCs w:val="24"/>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FE7CD4" w:rsidRDefault="006F2054" w:rsidP="0006161B">
      <w:pPr>
        <w:spacing w:line="360" w:lineRule="auto"/>
        <w:ind w:firstLine="709"/>
        <w:jc w:val="both"/>
        <w:rPr>
          <w:rFonts w:ascii="Arial" w:eastAsia="Calibri" w:hAnsi="Arial" w:cs="Arial"/>
          <w:bCs/>
          <w:sz w:val="26"/>
          <w:szCs w:val="26"/>
        </w:rPr>
      </w:pPr>
      <w:r>
        <w:rPr>
          <w:rFonts w:ascii="Arial" w:eastAsia="Calibri" w:hAnsi="Arial" w:cs="Arial"/>
          <w:bCs/>
          <w:sz w:val="26"/>
          <w:szCs w:val="26"/>
        </w:rPr>
        <w:t>También arguye, que la autoridad que representa no necesita probar lo establecido por los ordenamientos legales, que surten sus efectos al día siguiente de ser publicados; además de que en el caso, al tratarse de la Ley de Tránsito</w:t>
      </w:r>
      <w:r w:rsidR="0077681D">
        <w:rPr>
          <w:rFonts w:ascii="Arial" w:eastAsia="Calibri" w:hAnsi="Arial" w:cs="Arial"/>
          <w:bCs/>
          <w:sz w:val="26"/>
          <w:szCs w:val="26"/>
        </w:rPr>
        <w:t xml:space="preserve"> Movilidad y Vialidad del Estado de Oaxaca</w:t>
      </w:r>
      <w:r>
        <w:rPr>
          <w:rFonts w:ascii="Arial" w:eastAsia="Calibri" w:hAnsi="Arial" w:cs="Arial"/>
          <w:bCs/>
          <w:sz w:val="26"/>
          <w:szCs w:val="26"/>
        </w:rPr>
        <w:t xml:space="preserve"> y su Reglamento, </w:t>
      </w:r>
      <w:r w:rsidR="00A47A39">
        <w:rPr>
          <w:rFonts w:ascii="Arial" w:eastAsia="Calibri" w:hAnsi="Arial" w:cs="Arial"/>
          <w:bCs/>
          <w:sz w:val="26"/>
          <w:szCs w:val="26"/>
        </w:rPr>
        <w:t>de</w:t>
      </w:r>
      <w:r>
        <w:rPr>
          <w:rFonts w:ascii="Arial" w:eastAsia="Calibri" w:hAnsi="Arial" w:cs="Arial"/>
          <w:bCs/>
          <w:sz w:val="26"/>
          <w:szCs w:val="26"/>
        </w:rPr>
        <w:t xml:space="preserve"> una norma de interés público, su aplicación obliga aunque no se invoque por las partes.</w:t>
      </w:r>
    </w:p>
    <w:p w:rsidR="00FE7CD4" w:rsidRDefault="0077681D" w:rsidP="006F2054">
      <w:pPr>
        <w:spacing w:line="360" w:lineRule="auto"/>
        <w:jc w:val="both"/>
        <w:rPr>
          <w:rFonts w:ascii="Arial" w:eastAsia="Calibri" w:hAnsi="Arial" w:cs="Arial"/>
          <w:bCs/>
          <w:sz w:val="26"/>
          <w:szCs w:val="26"/>
        </w:rPr>
      </w:pPr>
      <w:r>
        <w:rPr>
          <w:rFonts w:ascii="Arial" w:eastAsia="Calibri" w:hAnsi="Arial" w:cs="Arial"/>
          <w:bCs/>
          <w:sz w:val="26"/>
          <w:szCs w:val="26"/>
        </w:rPr>
        <w:t xml:space="preserve"> </w:t>
      </w:r>
      <w:r w:rsidR="0006161B">
        <w:rPr>
          <w:rFonts w:ascii="Arial" w:eastAsia="Calibri" w:hAnsi="Arial" w:cs="Arial"/>
          <w:bCs/>
          <w:sz w:val="26"/>
          <w:szCs w:val="26"/>
        </w:rPr>
        <w:tab/>
      </w:r>
      <w:r w:rsidR="006F2054">
        <w:rPr>
          <w:rFonts w:ascii="Arial" w:eastAsia="Calibri" w:hAnsi="Arial" w:cs="Arial"/>
          <w:bCs/>
          <w:sz w:val="26"/>
          <w:szCs w:val="26"/>
        </w:rPr>
        <w:t xml:space="preserve">Las anteriores alegaciones son </w:t>
      </w:r>
      <w:r w:rsidR="00A47A39">
        <w:rPr>
          <w:rFonts w:ascii="Arial" w:eastAsia="Calibri" w:hAnsi="Arial" w:cs="Arial"/>
          <w:b/>
          <w:bCs/>
          <w:sz w:val="26"/>
          <w:szCs w:val="26"/>
        </w:rPr>
        <w:t>ineficaces,</w:t>
      </w:r>
      <w:r w:rsidR="006F2054">
        <w:rPr>
          <w:rFonts w:ascii="Arial" w:eastAsia="Calibri" w:hAnsi="Arial" w:cs="Arial"/>
          <w:bCs/>
          <w:sz w:val="26"/>
          <w:szCs w:val="26"/>
        </w:rPr>
        <w:t xml:space="preserve"> porque a pesar de ser la Ley de </w:t>
      </w:r>
      <w:r w:rsidR="00A47A39">
        <w:rPr>
          <w:rFonts w:ascii="Arial" w:eastAsia="Calibri" w:hAnsi="Arial" w:cs="Arial"/>
          <w:bCs/>
          <w:sz w:val="26"/>
          <w:szCs w:val="26"/>
        </w:rPr>
        <w:t xml:space="preserve">Tránsito Movilidad y Vialidad del Estado, </w:t>
      </w:r>
      <w:r w:rsidR="006F2054">
        <w:rPr>
          <w:rFonts w:ascii="Arial" w:eastAsia="Calibri" w:hAnsi="Arial" w:cs="Arial"/>
          <w:bCs/>
          <w:sz w:val="26"/>
          <w:szCs w:val="26"/>
        </w:rPr>
        <w:t>de interés público y de observancia general, ello no implica que las autoridades al emitir sus actos, no invoquen el precepto legal que los faculta a adoptar determinada conducta, pues con ello, se estaría irrogando un perjuicio al particular en aras a la certeza jurídica que como derecho humano está consagrado en nuestra Constitución, ya que tiene la obligación de citar el precepto legal que lo faculte a actuar en la forma en que lo hace.</w:t>
      </w:r>
    </w:p>
    <w:p w:rsidR="00FE7CD4" w:rsidRDefault="00FE7CD4" w:rsidP="0006161B">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 </w:t>
      </w:r>
      <w:r w:rsidR="006F2054">
        <w:rPr>
          <w:rFonts w:ascii="Arial" w:eastAsia="Calibri" w:hAnsi="Arial" w:cs="Arial"/>
          <w:bCs/>
          <w:sz w:val="26"/>
          <w:szCs w:val="26"/>
        </w:rPr>
        <w:t xml:space="preserve">Por último, en cuanto a los argüido en el sentido de que la nulidad lisa y llana decretada no es procedente, en razón a que la autoridad emitió el acto de manera fundada y motivada en pleno uso de las facultades consagradas en el artículo 47, fracción XXXI, de la Ley del </w:t>
      </w:r>
      <w:r w:rsidR="006F2054">
        <w:rPr>
          <w:rFonts w:ascii="Arial" w:eastAsia="Calibri" w:hAnsi="Arial" w:cs="Arial"/>
          <w:bCs/>
          <w:sz w:val="26"/>
          <w:szCs w:val="26"/>
        </w:rPr>
        <w:lastRenderedPageBreak/>
        <w:t xml:space="preserve">Sistema Estatal de Seguridad Pública, que le confiere facultades para imponer sanciones por violaciones </w:t>
      </w:r>
      <w:r w:rsidR="00305130">
        <w:rPr>
          <w:rFonts w:ascii="Arial" w:eastAsia="Calibri" w:hAnsi="Arial" w:cs="Arial"/>
          <w:bCs/>
          <w:sz w:val="26"/>
          <w:szCs w:val="26"/>
        </w:rPr>
        <w:t xml:space="preserve">legales y reglamentarias relativas al tránsito de vehículos en </w:t>
      </w:r>
      <w:r w:rsidR="006F2054">
        <w:rPr>
          <w:rFonts w:ascii="Arial" w:eastAsia="Calibri" w:hAnsi="Arial" w:cs="Arial"/>
          <w:bCs/>
          <w:sz w:val="26"/>
          <w:szCs w:val="26"/>
        </w:rPr>
        <w:t xml:space="preserve">el Estado; es decir, en todo el Estado, por lo que no invade competencia alguna como tampoco el acto resulta ilegal; es </w:t>
      </w:r>
      <w:r w:rsidR="006F2054">
        <w:rPr>
          <w:rFonts w:ascii="Arial" w:eastAsia="Calibri" w:hAnsi="Arial" w:cs="Arial"/>
          <w:b/>
          <w:bCs/>
          <w:sz w:val="26"/>
          <w:szCs w:val="26"/>
        </w:rPr>
        <w:t>ineficaz</w:t>
      </w:r>
      <w:r w:rsidR="006F2054">
        <w:rPr>
          <w:rFonts w:ascii="Arial" w:eastAsia="Calibri" w:hAnsi="Arial" w:cs="Arial"/>
          <w:bCs/>
          <w:sz w:val="26"/>
          <w:szCs w:val="26"/>
        </w:rPr>
        <w:t xml:space="preserve">, pues el hecho de que en el acto impugnado aparezca citada la fracción XXXI, del artículo 47, de la Ley indicada, el cual en efecto establece las facultades que refiere, tal situación no es suficiente para tener como valido el acto de autoridad, pues tal como lo apunta la primera instancia, </w:t>
      </w:r>
      <w:r w:rsidR="005D3C50">
        <w:rPr>
          <w:rFonts w:ascii="Arial" w:eastAsia="Calibri" w:hAnsi="Arial" w:cs="Arial"/>
          <w:bCs/>
          <w:sz w:val="26"/>
          <w:szCs w:val="26"/>
        </w:rPr>
        <w:t xml:space="preserve">al no contener una correcta motivación </w:t>
      </w:r>
      <w:r w:rsidR="00674039">
        <w:rPr>
          <w:rFonts w:ascii="Arial" w:eastAsia="Calibri" w:hAnsi="Arial" w:cs="Arial"/>
          <w:bCs/>
          <w:sz w:val="26"/>
          <w:szCs w:val="26"/>
        </w:rPr>
        <w:t>el acto administrativo</w:t>
      </w:r>
      <w:r w:rsidR="00D70E1D">
        <w:rPr>
          <w:rFonts w:ascii="Arial" w:eastAsia="Calibri" w:hAnsi="Arial" w:cs="Arial"/>
          <w:bCs/>
          <w:sz w:val="26"/>
          <w:szCs w:val="26"/>
        </w:rPr>
        <w:t xml:space="preserve"> impugnado</w:t>
      </w:r>
      <w:r w:rsidR="00F81876">
        <w:rPr>
          <w:rFonts w:ascii="Arial" w:eastAsia="Calibri" w:hAnsi="Arial" w:cs="Arial"/>
          <w:bCs/>
          <w:sz w:val="26"/>
          <w:szCs w:val="26"/>
        </w:rPr>
        <w:t>, este</w:t>
      </w:r>
      <w:r w:rsidR="00674039">
        <w:rPr>
          <w:rFonts w:ascii="Arial" w:eastAsia="Calibri" w:hAnsi="Arial" w:cs="Arial"/>
          <w:bCs/>
          <w:sz w:val="26"/>
          <w:szCs w:val="26"/>
        </w:rPr>
        <w:t xml:space="preserve"> carece de validez alguna, ya que contraviene </w:t>
      </w:r>
      <w:r w:rsidR="00F81876">
        <w:rPr>
          <w:rFonts w:ascii="Arial" w:eastAsia="Calibri" w:hAnsi="Arial" w:cs="Arial"/>
          <w:bCs/>
          <w:sz w:val="26"/>
          <w:szCs w:val="26"/>
        </w:rPr>
        <w:t>el requisito fundamental</w:t>
      </w:r>
      <w:r w:rsidR="00674039">
        <w:rPr>
          <w:rFonts w:ascii="Arial" w:eastAsia="Calibri" w:hAnsi="Arial" w:cs="Arial"/>
          <w:bCs/>
          <w:sz w:val="26"/>
          <w:szCs w:val="26"/>
        </w:rPr>
        <w:t xml:space="preserve"> contemplado en el artículo 17 fracción V de la Ley de Procedimiento y Justicia Administrativa para el Estado</w:t>
      </w:r>
      <w:r w:rsidR="006F2054">
        <w:rPr>
          <w:rFonts w:ascii="Arial" w:eastAsia="Calibri" w:hAnsi="Arial" w:cs="Arial"/>
          <w:bCs/>
          <w:sz w:val="26"/>
          <w:szCs w:val="26"/>
        </w:rPr>
        <w:t>.</w:t>
      </w:r>
    </w:p>
    <w:p w:rsidR="00FE7CD4" w:rsidRDefault="006F2054" w:rsidP="0006161B">
      <w:pPr>
        <w:spacing w:line="360" w:lineRule="auto"/>
        <w:ind w:firstLine="709"/>
        <w:jc w:val="both"/>
        <w:rPr>
          <w:rFonts w:ascii="Arial" w:eastAsia="Calibri" w:hAnsi="Arial" w:cs="Arial"/>
          <w:sz w:val="26"/>
          <w:szCs w:val="26"/>
        </w:rPr>
      </w:pPr>
      <w:r w:rsidRPr="006406CE">
        <w:rPr>
          <w:rFonts w:ascii="Arial" w:eastAsia="Calibri" w:hAnsi="Arial" w:cs="Arial"/>
          <w:sz w:val="26"/>
          <w:szCs w:val="26"/>
        </w:rPr>
        <w:t xml:space="preserve">En consecuencia ante las anteriores consideraciones, </w:t>
      </w:r>
      <w:r w:rsidR="00C8695A">
        <w:rPr>
          <w:rFonts w:ascii="Arial" w:eastAsia="Calibri" w:hAnsi="Arial" w:cs="Arial"/>
          <w:sz w:val="26"/>
          <w:szCs w:val="26"/>
        </w:rPr>
        <w:t xml:space="preserve">lo procedente es </w:t>
      </w:r>
      <w:r>
        <w:rPr>
          <w:rFonts w:ascii="Arial" w:eastAsia="Calibri" w:hAnsi="Arial" w:cs="Arial"/>
          <w:b/>
          <w:sz w:val="26"/>
          <w:szCs w:val="26"/>
        </w:rPr>
        <w:t xml:space="preserve">CONFIRMAR </w:t>
      </w:r>
      <w:r w:rsidRPr="006406CE">
        <w:rPr>
          <w:rFonts w:ascii="Arial" w:eastAsia="Calibri" w:hAnsi="Arial" w:cs="Arial"/>
          <w:sz w:val="26"/>
          <w:szCs w:val="26"/>
        </w:rPr>
        <w:t>la sentencia en los términos planteado</w:t>
      </w:r>
      <w:r>
        <w:rPr>
          <w:rFonts w:ascii="Arial" w:eastAsia="Calibri" w:hAnsi="Arial" w:cs="Arial"/>
          <w:sz w:val="26"/>
          <w:szCs w:val="26"/>
        </w:rPr>
        <w:t>s</w:t>
      </w:r>
      <w:r w:rsidRPr="006406CE">
        <w:rPr>
          <w:rFonts w:ascii="Arial" w:eastAsia="Calibri" w:hAnsi="Arial" w:cs="Arial"/>
          <w:sz w:val="26"/>
          <w:szCs w:val="26"/>
        </w:rPr>
        <w:t xml:space="preserve"> y con fundamento en los artículos 237 y 238 de la Ley de Procedimiento y Justicia Administrativa para el Estado, se:</w:t>
      </w:r>
    </w:p>
    <w:p w:rsidR="00FE7CD4" w:rsidRDefault="00FE7CD4" w:rsidP="00FE7CD4">
      <w:pPr>
        <w:spacing w:line="360" w:lineRule="auto"/>
        <w:jc w:val="center"/>
        <w:rPr>
          <w:rFonts w:ascii="Arial" w:hAnsi="Arial" w:cs="Arial"/>
          <w:b/>
          <w:sz w:val="24"/>
          <w:szCs w:val="24"/>
        </w:rPr>
      </w:pPr>
      <w:r>
        <w:rPr>
          <w:rFonts w:ascii="Arial" w:hAnsi="Arial" w:cs="Arial"/>
          <w:b/>
          <w:sz w:val="26"/>
          <w:szCs w:val="26"/>
        </w:rPr>
        <w:t>R E S U E L V E</w:t>
      </w:r>
    </w:p>
    <w:p w:rsidR="00FE7CD4" w:rsidRDefault="008D0650" w:rsidP="0006161B">
      <w:pPr>
        <w:spacing w:line="360" w:lineRule="auto"/>
        <w:ind w:firstLine="709"/>
        <w:jc w:val="both"/>
        <w:rPr>
          <w:rFonts w:ascii="Arial" w:hAnsi="Arial" w:cs="Arial"/>
          <w:sz w:val="26"/>
          <w:szCs w:val="26"/>
        </w:rPr>
      </w:pPr>
      <w:r w:rsidRPr="006E349D">
        <w:rPr>
          <w:rFonts w:ascii="Arial" w:hAnsi="Arial" w:cs="Arial"/>
          <w:b/>
          <w:sz w:val="26"/>
          <w:szCs w:val="26"/>
        </w:rPr>
        <w:t>PRIMERO</w:t>
      </w:r>
      <w:r w:rsidRPr="00676F3E">
        <w:rPr>
          <w:rFonts w:ascii="Arial" w:hAnsi="Arial" w:cs="Arial"/>
          <w:b/>
          <w:sz w:val="26"/>
          <w:szCs w:val="26"/>
        </w:rPr>
        <w:t>.</w:t>
      </w:r>
      <w:r w:rsidRPr="006E349D">
        <w:rPr>
          <w:rFonts w:ascii="Arial" w:hAnsi="Arial" w:cs="Arial"/>
          <w:sz w:val="26"/>
          <w:szCs w:val="26"/>
        </w:rPr>
        <w:t xml:space="preserve"> </w:t>
      </w:r>
      <w:r w:rsidR="0066237A">
        <w:rPr>
          <w:rFonts w:ascii="Arial" w:hAnsi="Arial" w:cs="Arial"/>
          <w:sz w:val="26"/>
          <w:szCs w:val="26"/>
        </w:rPr>
        <w:t xml:space="preserve">Se </w:t>
      </w:r>
      <w:r w:rsidR="00F84452">
        <w:rPr>
          <w:rFonts w:ascii="Arial" w:hAnsi="Arial" w:cs="Arial"/>
          <w:b/>
          <w:sz w:val="26"/>
          <w:szCs w:val="26"/>
        </w:rPr>
        <w:t xml:space="preserve">CONFIRMA </w:t>
      </w:r>
      <w:r w:rsidR="00F84452">
        <w:rPr>
          <w:rFonts w:ascii="Arial" w:hAnsi="Arial" w:cs="Arial"/>
          <w:sz w:val="26"/>
          <w:szCs w:val="26"/>
        </w:rPr>
        <w:t xml:space="preserve"> la sentencia de fecha 28 veintiocho de enero de 2019 dos mil diecinueve</w:t>
      </w:r>
      <w:r w:rsidR="0066237A">
        <w:rPr>
          <w:rFonts w:ascii="Arial" w:hAnsi="Arial" w:cs="Arial"/>
          <w:sz w:val="26"/>
          <w:szCs w:val="26"/>
        </w:rPr>
        <w:t>,</w:t>
      </w:r>
      <w:r w:rsidR="00F84452">
        <w:rPr>
          <w:rFonts w:ascii="Arial" w:hAnsi="Arial" w:cs="Arial"/>
          <w:sz w:val="26"/>
          <w:szCs w:val="26"/>
        </w:rPr>
        <w:t xml:space="preserve"> por las razones otorgadas en el consideran</w:t>
      </w:r>
      <w:r w:rsidR="00FE7CD4">
        <w:rPr>
          <w:rFonts w:ascii="Arial" w:hAnsi="Arial" w:cs="Arial"/>
          <w:sz w:val="26"/>
          <w:szCs w:val="26"/>
        </w:rPr>
        <w:t>do tercero de esta resolución.</w:t>
      </w:r>
    </w:p>
    <w:p w:rsidR="00FE7CD4" w:rsidRDefault="008D0650" w:rsidP="0006161B">
      <w:pPr>
        <w:spacing w:line="360" w:lineRule="auto"/>
        <w:ind w:firstLine="709"/>
        <w:jc w:val="both"/>
        <w:rPr>
          <w:rFonts w:ascii="Arial" w:hAnsi="Arial" w:cs="Arial"/>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sidR="00293C36">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293C36">
        <w:rPr>
          <w:rFonts w:ascii="Arial" w:hAnsi="Arial" w:cs="Arial"/>
          <w:b/>
          <w:sz w:val="26"/>
          <w:szCs w:val="26"/>
        </w:rPr>
        <w:t>Calle Miguel Hidalgo número 215, Colonia Centro, Municipio de Oaxaca de Juárez, Oaxaca, Código Postal 68000.</w:t>
      </w:r>
    </w:p>
    <w:p w:rsidR="00FE7CD4" w:rsidRDefault="0006161B" w:rsidP="0006161B">
      <w:pPr>
        <w:spacing w:line="360" w:lineRule="auto"/>
        <w:ind w:firstLine="709"/>
        <w:jc w:val="both"/>
        <w:rPr>
          <w:rFonts w:ascii="Arial" w:hAnsi="Arial" w:cs="Arial"/>
          <w:sz w:val="26"/>
          <w:szCs w:val="26"/>
        </w:rPr>
      </w:pPr>
      <w:r>
        <w:rPr>
          <w:rFonts w:ascii="Arial" w:hAnsi="Arial" w:cs="Arial"/>
          <w:b/>
          <w:sz w:val="26"/>
          <w:szCs w:val="26"/>
        </w:rPr>
        <w:t>TERCERO</w:t>
      </w:r>
      <w:r w:rsidR="008D0650">
        <w:rPr>
          <w:rFonts w:ascii="Arial" w:hAnsi="Arial" w:cs="Arial"/>
          <w:b/>
          <w:sz w:val="26"/>
          <w:szCs w:val="26"/>
        </w:rPr>
        <w:t xml:space="preserve">. NOTIFÍQUESE Y CÚMPLASE, </w:t>
      </w:r>
      <w:r w:rsidR="008D0650">
        <w:rPr>
          <w:rFonts w:ascii="Arial" w:hAnsi="Arial" w:cs="Arial"/>
          <w:sz w:val="26"/>
          <w:szCs w:val="26"/>
        </w:rPr>
        <w:t xml:space="preserve">remítase copia certificada de la presente resolución a la </w:t>
      </w:r>
      <w:r w:rsidR="00F84452">
        <w:rPr>
          <w:rFonts w:ascii="Arial" w:hAnsi="Arial" w:cs="Arial"/>
          <w:sz w:val="26"/>
          <w:szCs w:val="26"/>
        </w:rPr>
        <w:t xml:space="preserve">Primera </w:t>
      </w:r>
      <w:r w:rsidR="008D0650">
        <w:rPr>
          <w:rFonts w:ascii="Arial" w:hAnsi="Arial" w:cs="Arial"/>
          <w:sz w:val="26"/>
          <w:szCs w:val="26"/>
        </w:rPr>
        <w:t>Sala Unitaria de Primera Instancia de este Tribunal y en su oportunidad archívese el presente cuaderno de r</w:t>
      </w:r>
      <w:r w:rsidR="00FE7CD4">
        <w:rPr>
          <w:rFonts w:ascii="Arial" w:hAnsi="Arial" w:cs="Arial"/>
          <w:sz w:val="26"/>
          <w:szCs w:val="26"/>
        </w:rPr>
        <w:t>evisión como asunto concluido.</w:t>
      </w:r>
    </w:p>
    <w:p w:rsidR="00FE7CD4" w:rsidRPr="00FE7CD4" w:rsidRDefault="00FE7CD4" w:rsidP="00FE7CD4">
      <w:pPr>
        <w:pStyle w:val="corte4fondo"/>
        <w:tabs>
          <w:tab w:val="left" w:pos="0"/>
        </w:tabs>
        <w:ind w:right="51"/>
        <w:rPr>
          <w:sz w:val="26"/>
          <w:szCs w:val="26"/>
        </w:rPr>
      </w:pPr>
      <w:r w:rsidRPr="00FE7CD4">
        <w:rPr>
          <w:sz w:val="26"/>
          <w:szCs w:val="26"/>
        </w:rPr>
        <w:t xml:space="preserve">Así por unanimidad de votos, lo resolvieron y firmaron los Magistrados integrantes de la Sala Superior del Tribunal de Justicia </w:t>
      </w:r>
      <w:r w:rsidRPr="00FE7CD4">
        <w:rPr>
          <w:sz w:val="26"/>
          <w:szCs w:val="26"/>
        </w:rPr>
        <w:lastRenderedPageBreak/>
        <w:t>Administrativa del Estado, quienes actúan con la Secretaria General de Acuerdos de este Tribunal, que autoriza y da fe.</w:t>
      </w:r>
    </w:p>
    <w:p w:rsidR="00FE7CD4" w:rsidRPr="00C10385" w:rsidRDefault="00FE7CD4" w:rsidP="00FE7CD4">
      <w:pPr>
        <w:spacing w:line="360" w:lineRule="auto"/>
        <w:rPr>
          <w:rFonts w:ascii="Arial" w:hAnsi="Arial" w:cs="Arial"/>
          <w:sz w:val="26"/>
          <w:szCs w:val="26"/>
          <w:lang w:val="es-ES_tradnl"/>
        </w:rPr>
      </w:pPr>
    </w:p>
    <w:p w:rsidR="00FE7CD4" w:rsidRDefault="00FE7CD4" w:rsidP="00FE7CD4">
      <w:pPr>
        <w:spacing w:line="360" w:lineRule="auto"/>
        <w:rPr>
          <w:rFonts w:ascii="Arial" w:hAnsi="Arial" w:cs="Arial"/>
          <w:sz w:val="26"/>
          <w:szCs w:val="26"/>
        </w:rPr>
      </w:pPr>
    </w:p>
    <w:p w:rsidR="00FE7CD4" w:rsidRDefault="00FE7CD4" w:rsidP="00FE7CD4">
      <w:pPr>
        <w:spacing w:line="360" w:lineRule="auto"/>
        <w:rPr>
          <w:rFonts w:ascii="Arial" w:hAnsi="Arial" w:cs="Arial"/>
          <w:sz w:val="26"/>
          <w:szCs w:val="26"/>
        </w:rPr>
      </w:pPr>
    </w:p>
    <w:p w:rsidR="00FE7CD4" w:rsidRDefault="00FE7CD4" w:rsidP="00FE7CD4">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FE7CD4" w:rsidRDefault="00FE7CD4" w:rsidP="00FE7CD4">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FE7CD4" w:rsidRPr="00C22E12" w:rsidRDefault="00FE7CD4" w:rsidP="00FE7CD4">
      <w:pPr>
        <w:spacing w:after="0" w:line="360" w:lineRule="auto"/>
        <w:rPr>
          <w:rFonts w:ascii="Arial" w:eastAsia="Times New Roman" w:hAnsi="Arial" w:cs="Arial"/>
          <w:sz w:val="26"/>
          <w:szCs w:val="26"/>
          <w:lang w:eastAsia="es-MX"/>
        </w:rPr>
      </w:pPr>
    </w:p>
    <w:p w:rsidR="00FE7CD4" w:rsidRPr="00C22E12" w:rsidRDefault="00FE7CD4" w:rsidP="00FE7CD4">
      <w:pPr>
        <w:spacing w:after="0" w:line="360" w:lineRule="auto"/>
        <w:rPr>
          <w:rFonts w:ascii="Arial" w:eastAsia="Times New Roman" w:hAnsi="Arial" w:cs="Arial"/>
          <w:sz w:val="26"/>
          <w:szCs w:val="26"/>
          <w:lang w:eastAsia="es-MX"/>
        </w:rPr>
      </w:pPr>
    </w:p>
    <w:p w:rsidR="0006161B" w:rsidRPr="00C22E12" w:rsidRDefault="0006161B" w:rsidP="00FE7CD4">
      <w:pPr>
        <w:spacing w:after="0" w:line="360" w:lineRule="auto"/>
        <w:rPr>
          <w:rFonts w:ascii="Arial" w:eastAsia="Times New Roman" w:hAnsi="Arial" w:cs="Arial"/>
          <w:sz w:val="26"/>
          <w:szCs w:val="26"/>
          <w:lang w:eastAsia="es-MX"/>
        </w:rPr>
      </w:pPr>
    </w:p>
    <w:p w:rsidR="00FE7CD4" w:rsidRPr="00C22E12" w:rsidRDefault="00FE7CD4" w:rsidP="00FE7CD4">
      <w:pPr>
        <w:spacing w:after="0" w:line="360" w:lineRule="auto"/>
        <w:rPr>
          <w:rFonts w:ascii="Arial" w:eastAsia="Times New Roman" w:hAnsi="Arial" w:cs="Arial"/>
          <w:sz w:val="26"/>
          <w:szCs w:val="26"/>
          <w:lang w:eastAsia="es-MX"/>
        </w:rPr>
      </w:pPr>
    </w:p>
    <w:p w:rsidR="00FE7CD4" w:rsidRPr="00C22E12" w:rsidRDefault="00FE7CD4" w:rsidP="00FE7CD4">
      <w:pPr>
        <w:spacing w:after="0" w:line="360" w:lineRule="auto"/>
        <w:rPr>
          <w:rFonts w:ascii="Arial" w:eastAsia="Times New Roman" w:hAnsi="Arial" w:cs="Arial"/>
          <w:sz w:val="26"/>
          <w:szCs w:val="26"/>
          <w:lang w:eastAsia="es-MX"/>
        </w:rPr>
      </w:pPr>
    </w:p>
    <w:p w:rsidR="00FE7CD4" w:rsidRPr="00C22E12" w:rsidRDefault="00FE7CD4" w:rsidP="00FE7CD4">
      <w:pPr>
        <w:spacing w:after="0" w:line="360" w:lineRule="auto"/>
        <w:jc w:val="center"/>
        <w:rPr>
          <w:rFonts w:ascii="Arial" w:eastAsia="Times New Roman" w:hAnsi="Arial" w:cs="Arial"/>
          <w:sz w:val="26"/>
          <w:szCs w:val="26"/>
          <w:lang w:eastAsia="es-MX"/>
        </w:rPr>
      </w:pPr>
      <w:r w:rsidRPr="00C22E12">
        <w:rPr>
          <w:rFonts w:ascii="Arial" w:eastAsia="Times New Roman" w:hAnsi="Arial" w:cs="Arial"/>
          <w:sz w:val="26"/>
          <w:szCs w:val="26"/>
          <w:lang w:eastAsia="es-MX"/>
        </w:rPr>
        <w:t>MAGISTRADO MANUEL VELASCO ALCÁNTARA</w:t>
      </w:r>
    </w:p>
    <w:p w:rsidR="00FE7CD4" w:rsidRPr="00DA3B49" w:rsidRDefault="00FE7CD4" w:rsidP="00FE7CD4">
      <w:pPr>
        <w:spacing w:after="0" w:line="360" w:lineRule="auto"/>
        <w:jc w:val="center"/>
        <w:rPr>
          <w:rFonts w:ascii="Arial" w:hAnsi="Arial" w:cs="Arial"/>
          <w:b/>
          <w:sz w:val="14"/>
          <w:szCs w:val="26"/>
        </w:rPr>
      </w:pPr>
    </w:p>
    <w:p w:rsidR="00FE7CD4" w:rsidRDefault="00FE7CD4" w:rsidP="00FE7CD4">
      <w:pPr>
        <w:spacing w:after="0" w:line="360" w:lineRule="auto"/>
        <w:rPr>
          <w:rFonts w:ascii="Arial" w:hAnsi="Arial" w:cs="Arial"/>
          <w:b/>
          <w:sz w:val="14"/>
          <w:szCs w:val="26"/>
        </w:rPr>
      </w:pPr>
    </w:p>
    <w:p w:rsidR="00FE7CD4" w:rsidRDefault="00FE7CD4" w:rsidP="00FE7CD4">
      <w:pPr>
        <w:spacing w:after="0" w:line="360" w:lineRule="auto"/>
        <w:rPr>
          <w:rFonts w:ascii="Arial" w:hAnsi="Arial" w:cs="Arial"/>
          <w:b/>
          <w:sz w:val="14"/>
          <w:szCs w:val="26"/>
        </w:rPr>
      </w:pPr>
    </w:p>
    <w:p w:rsidR="00FE7CD4" w:rsidRDefault="00FE7CD4" w:rsidP="00FE7CD4">
      <w:pPr>
        <w:spacing w:after="0" w:line="360" w:lineRule="auto"/>
        <w:rPr>
          <w:rFonts w:ascii="Arial" w:hAnsi="Arial" w:cs="Arial"/>
          <w:b/>
          <w:sz w:val="14"/>
          <w:szCs w:val="26"/>
        </w:rPr>
      </w:pPr>
    </w:p>
    <w:p w:rsidR="00FE7CD4" w:rsidRDefault="00FE7CD4" w:rsidP="00FE7CD4">
      <w:pPr>
        <w:tabs>
          <w:tab w:val="center" w:pos="4135"/>
          <w:tab w:val="left" w:pos="7515"/>
        </w:tabs>
        <w:spacing w:line="360" w:lineRule="auto"/>
        <w:jc w:val="center"/>
        <w:rPr>
          <w:rFonts w:ascii="Arial" w:hAnsi="Arial" w:cs="Arial"/>
          <w:sz w:val="26"/>
          <w:szCs w:val="26"/>
        </w:rPr>
      </w:pPr>
    </w:p>
    <w:p w:rsidR="0006161B" w:rsidRDefault="0006161B" w:rsidP="00FE7CD4">
      <w:pPr>
        <w:tabs>
          <w:tab w:val="center" w:pos="4135"/>
          <w:tab w:val="left" w:pos="7515"/>
        </w:tabs>
        <w:spacing w:line="360" w:lineRule="auto"/>
        <w:jc w:val="center"/>
        <w:rPr>
          <w:rFonts w:ascii="Arial" w:hAnsi="Arial" w:cs="Arial"/>
          <w:sz w:val="26"/>
          <w:szCs w:val="26"/>
        </w:rPr>
      </w:pPr>
    </w:p>
    <w:p w:rsidR="00FE7CD4" w:rsidRDefault="00FE7CD4" w:rsidP="00FE7CD4">
      <w:pPr>
        <w:jc w:val="center"/>
        <w:rPr>
          <w:rFonts w:ascii="Arial" w:hAnsi="Arial" w:cs="Arial"/>
          <w:sz w:val="26"/>
          <w:szCs w:val="26"/>
        </w:rPr>
      </w:pPr>
      <w:r>
        <w:rPr>
          <w:rFonts w:ascii="Arial" w:hAnsi="Arial" w:cs="Arial"/>
          <w:sz w:val="26"/>
          <w:szCs w:val="26"/>
        </w:rPr>
        <w:t>MAGISTRADO RAÚL PALOMARES PALOMINO</w:t>
      </w:r>
    </w:p>
    <w:p w:rsidR="0006161B" w:rsidRDefault="0006161B" w:rsidP="00FE7CD4">
      <w:pPr>
        <w:jc w:val="center"/>
        <w:rPr>
          <w:rFonts w:ascii="Arial" w:hAnsi="Arial" w:cs="Arial"/>
          <w:sz w:val="26"/>
          <w:szCs w:val="26"/>
        </w:rPr>
      </w:pPr>
    </w:p>
    <w:p w:rsidR="00FE7CD4" w:rsidRDefault="00FE7CD4" w:rsidP="0006161B">
      <w:pPr>
        <w:rPr>
          <w:rFonts w:ascii="Arial" w:hAnsi="Arial" w:cs="Arial"/>
          <w:sz w:val="26"/>
          <w:szCs w:val="26"/>
        </w:rPr>
      </w:pPr>
    </w:p>
    <w:p w:rsidR="00FE7CD4" w:rsidRDefault="00FE7CD4" w:rsidP="00FE7CD4">
      <w:pPr>
        <w:tabs>
          <w:tab w:val="center" w:pos="4135"/>
          <w:tab w:val="left" w:pos="7515"/>
        </w:tabs>
        <w:spacing w:line="360" w:lineRule="auto"/>
        <w:rPr>
          <w:rFonts w:ascii="Arial" w:hAnsi="Arial" w:cs="Arial"/>
          <w:sz w:val="26"/>
          <w:szCs w:val="26"/>
        </w:rPr>
      </w:pPr>
    </w:p>
    <w:p w:rsidR="00FE7CD4" w:rsidRDefault="00FE7CD4" w:rsidP="00FE7CD4">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FE7CD4" w:rsidRDefault="00FE7CD4" w:rsidP="00FE7CD4">
      <w:pPr>
        <w:tabs>
          <w:tab w:val="left" w:pos="1680"/>
          <w:tab w:val="center" w:pos="4277"/>
        </w:tabs>
        <w:spacing w:line="360" w:lineRule="auto"/>
        <w:jc w:val="center"/>
        <w:rPr>
          <w:rFonts w:ascii="Arial" w:hAnsi="Arial" w:cs="Arial"/>
          <w:sz w:val="26"/>
          <w:szCs w:val="26"/>
        </w:rPr>
      </w:pPr>
    </w:p>
    <w:p w:rsidR="00FE7CD4" w:rsidRDefault="00FE7CD4" w:rsidP="0006161B">
      <w:pPr>
        <w:tabs>
          <w:tab w:val="left" w:pos="1680"/>
          <w:tab w:val="center" w:pos="4277"/>
        </w:tabs>
        <w:spacing w:line="360" w:lineRule="auto"/>
        <w:rPr>
          <w:rFonts w:ascii="Arial" w:hAnsi="Arial" w:cs="Arial"/>
          <w:sz w:val="26"/>
          <w:szCs w:val="26"/>
        </w:rPr>
      </w:pPr>
    </w:p>
    <w:p w:rsidR="0006161B" w:rsidRDefault="0006161B" w:rsidP="0006161B">
      <w:pPr>
        <w:tabs>
          <w:tab w:val="left" w:pos="1680"/>
          <w:tab w:val="center" w:pos="4277"/>
        </w:tabs>
        <w:spacing w:line="360" w:lineRule="auto"/>
        <w:rPr>
          <w:rFonts w:ascii="Arial" w:hAnsi="Arial" w:cs="Arial"/>
          <w:sz w:val="26"/>
          <w:szCs w:val="26"/>
        </w:rPr>
      </w:pPr>
    </w:p>
    <w:p w:rsidR="00FE7CD4" w:rsidRDefault="00FE7CD4" w:rsidP="00FE7CD4">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FE7CD4" w:rsidRDefault="00FE7CD4" w:rsidP="00FE7CD4">
      <w:pPr>
        <w:spacing w:after="0" w:line="360" w:lineRule="auto"/>
        <w:jc w:val="center"/>
        <w:rPr>
          <w:rFonts w:ascii="Arial" w:hAnsi="Arial" w:cs="Arial"/>
          <w:b/>
          <w:sz w:val="14"/>
          <w:szCs w:val="26"/>
        </w:rPr>
      </w:pPr>
    </w:p>
    <w:p w:rsidR="00FE7CD4" w:rsidRPr="00DA3B49" w:rsidRDefault="00FE7CD4" w:rsidP="00FE7CD4">
      <w:pPr>
        <w:spacing w:after="0" w:line="360" w:lineRule="auto"/>
        <w:jc w:val="center"/>
        <w:rPr>
          <w:rFonts w:ascii="Arial" w:hAnsi="Arial" w:cs="Arial"/>
          <w:b/>
          <w:sz w:val="14"/>
          <w:szCs w:val="26"/>
        </w:rPr>
      </w:pPr>
    </w:p>
    <w:p w:rsidR="00FE7CD4" w:rsidRDefault="00FE7CD4" w:rsidP="0006161B">
      <w:pPr>
        <w:rPr>
          <w:rFonts w:ascii="Arial" w:hAnsi="Arial" w:cs="Arial"/>
          <w:sz w:val="26"/>
          <w:szCs w:val="26"/>
        </w:rPr>
      </w:pPr>
    </w:p>
    <w:p w:rsidR="0006161B" w:rsidRDefault="0006161B" w:rsidP="0006161B">
      <w:pPr>
        <w:rPr>
          <w:rFonts w:ascii="Arial" w:hAnsi="Arial" w:cs="Arial"/>
          <w:sz w:val="26"/>
          <w:szCs w:val="26"/>
        </w:rPr>
      </w:pPr>
    </w:p>
    <w:p w:rsidR="00FE7CD4" w:rsidRPr="00ED4360" w:rsidRDefault="00FE7CD4" w:rsidP="00FE7CD4">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FE7CD4" w:rsidRPr="00ED4360" w:rsidRDefault="00FE7CD4" w:rsidP="00FE7CD4">
      <w:pPr>
        <w:pStyle w:val="Sinespaciado"/>
        <w:jc w:val="center"/>
        <w:rPr>
          <w:rFonts w:ascii="Arial" w:hAnsi="Arial" w:cs="Arial"/>
          <w:sz w:val="26"/>
          <w:szCs w:val="26"/>
        </w:rPr>
      </w:pPr>
      <w:r w:rsidRPr="00ED4360">
        <w:rPr>
          <w:rFonts w:ascii="Arial" w:hAnsi="Arial" w:cs="Arial"/>
          <w:sz w:val="26"/>
          <w:szCs w:val="26"/>
        </w:rPr>
        <w:t>SECRETARIA GENERAL DE ACUERDOS</w:t>
      </w:r>
    </w:p>
    <w:p w:rsidR="008D0650" w:rsidRPr="00FE7CD4" w:rsidRDefault="008D0650" w:rsidP="00FE7CD4">
      <w:pPr>
        <w:rPr>
          <w:rFonts w:ascii="Arial" w:eastAsia="Calibri" w:hAnsi="Arial" w:cs="Arial"/>
          <w:bCs/>
          <w:sz w:val="24"/>
          <w:szCs w:val="24"/>
        </w:rPr>
      </w:pPr>
    </w:p>
    <w:sectPr w:rsidR="008D0650" w:rsidRPr="00FE7CD4" w:rsidSect="00FE7CD4">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EE" w:rsidRDefault="00C775EE">
      <w:pPr>
        <w:spacing w:after="0" w:line="240" w:lineRule="auto"/>
      </w:pPr>
      <w:r>
        <w:separator/>
      </w:r>
    </w:p>
  </w:endnote>
  <w:endnote w:type="continuationSeparator" w:id="0">
    <w:p w:rsidR="00C775EE" w:rsidRDefault="00C7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EE" w:rsidRDefault="00C775EE">
      <w:pPr>
        <w:spacing w:after="0" w:line="240" w:lineRule="auto"/>
      </w:pPr>
      <w:r>
        <w:separator/>
      </w:r>
    </w:p>
  </w:footnote>
  <w:footnote w:type="continuationSeparator" w:id="0">
    <w:p w:rsidR="00C775EE" w:rsidRDefault="00C7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BF19CE" w:rsidRDefault="00BF19CE">
        <w:pPr>
          <w:pStyle w:val="Encabezado"/>
          <w:jc w:val="center"/>
        </w:pPr>
        <w:r>
          <w:fldChar w:fldCharType="begin"/>
        </w:r>
        <w:r>
          <w:instrText>PAGE   \* MERGEFORMAT</w:instrText>
        </w:r>
        <w:r>
          <w:fldChar w:fldCharType="separate"/>
        </w:r>
        <w:r w:rsidR="00AD1414">
          <w:rPr>
            <w:noProof/>
          </w:rPr>
          <w:t>6</w:t>
        </w:r>
        <w:r>
          <w:fldChar w:fldCharType="end"/>
        </w:r>
      </w:p>
    </w:sdtContent>
  </w:sdt>
  <w:p w:rsidR="00BF19CE" w:rsidRDefault="00AD1414">
    <w:pPr>
      <w:pStyle w:val="Encabezado"/>
    </w:pPr>
    <w:r>
      <w:rPr>
        <w:noProof/>
        <w:lang w:val="es-MX" w:eastAsia="es-MX"/>
      </w:rPr>
      <w:drawing>
        <wp:anchor distT="0" distB="0" distL="114300" distR="114300" simplePos="0" relativeHeight="251664384" behindDoc="0" locked="0" layoutInCell="1" allowOverlap="1" wp14:anchorId="65494018" wp14:editId="462CD433">
          <wp:simplePos x="0" y="0"/>
          <wp:positionH relativeFrom="column">
            <wp:posOffset>5514975</wp:posOffset>
          </wp:positionH>
          <wp:positionV relativeFrom="paragraph">
            <wp:posOffset>5329555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BF19CE" w:rsidRDefault="00BF19CE" w:rsidP="004E12FB">
        <w:pPr>
          <w:pStyle w:val="Encabezado"/>
          <w:jc w:val="center"/>
          <w:rPr>
            <w:noProof/>
          </w:rPr>
        </w:pPr>
        <w:r>
          <w:fldChar w:fldCharType="begin"/>
        </w:r>
        <w:r>
          <w:instrText xml:space="preserve"> PAGE   \* MERGEFORMAT </w:instrText>
        </w:r>
        <w:r>
          <w:fldChar w:fldCharType="separate"/>
        </w:r>
        <w:r w:rsidR="00AD1414">
          <w:rPr>
            <w:noProof/>
          </w:rPr>
          <w:t>5</w:t>
        </w:r>
        <w:r>
          <w:rPr>
            <w:noProof/>
          </w:rPr>
          <w:fldChar w:fldCharType="end"/>
        </w:r>
      </w:p>
    </w:sdtContent>
  </w:sdt>
  <w:p w:rsidR="00BF19CE" w:rsidRDefault="00AD1414" w:rsidP="004E12FB">
    <w:pPr>
      <w:pStyle w:val="Encabezado"/>
      <w:jc w:val="center"/>
    </w:pPr>
    <w:r>
      <w:rPr>
        <w:noProof/>
        <w:lang w:val="es-MX" w:eastAsia="es-MX"/>
      </w:rPr>
      <w:drawing>
        <wp:anchor distT="0" distB="0" distL="114300" distR="114300" simplePos="0" relativeHeight="251662336" behindDoc="0" locked="0" layoutInCell="1" allowOverlap="1" wp14:anchorId="23B44294" wp14:editId="556AF1F2">
          <wp:simplePos x="0" y="0"/>
          <wp:positionH relativeFrom="column">
            <wp:posOffset>-1352550</wp:posOffset>
          </wp:positionH>
          <wp:positionV relativeFrom="paragraph">
            <wp:posOffset>3215005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9CE">
      <w:rPr>
        <w:noProof/>
        <w:lang w:val="es-MX" w:eastAsia="es-MX"/>
      </w:rPr>
      <w:drawing>
        <wp:anchor distT="0" distB="0" distL="114300" distR="114300" simplePos="0" relativeHeight="251660288" behindDoc="1" locked="0" layoutInCell="1" allowOverlap="1" wp14:anchorId="390F490E" wp14:editId="1A725DDA">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BF19CE" w:rsidRPr="003E6AD7">
      <w:rPr>
        <w:noProof/>
        <w:lang w:val="es-MX" w:eastAsia="es-MX"/>
      </w:rPr>
      <w:drawing>
        <wp:anchor distT="0" distB="0" distL="114300" distR="114300" simplePos="0" relativeHeight="251659264" behindDoc="0" locked="0" layoutInCell="1" allowOverlap="1" wp14:anchorId="30873DC7" wp14:editId="4F59BD01">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7A0F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0961F9"/>
    <w:multiLevelType w:val="hybridMultilevel"/>
    <w:tmpl w:val="8BBC49D2"/>
    <w:lvl w:ilvl="0" w:tplc="7450C090">
      <w:start w:val="1"/>
      <w:numFmt w:val="lowerLetter"/>
      <w:lvlText w:val="%1)"/>
      <w:lvlJc w:val="left"/>
      <w:pPr>
        <w:ind w:left="234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AF"/>
    <w:rsid w:val="000078A1"/>
    <w:rsid w:val="00016D1C"/>
    <w:rsid w:val="0002147F"/>
    <w:rsid w:val="00025D40"/>
    <w:rsid w:val="000420F9"/>
    <w:rsid w:val="00047F44"/>
    <w:rsid w:val="0006161B"/>
    <w:rsid w:val="000733D1"/>
    <w:rsid w:val="0008158A"/>
    <w:rsid w:val="0009469A"/>
    <w:rsid w:val="000A1BAF"/>
    <w:rsid w:val="000B0483"/>
    <w:rsid w:val="000C5335"/>
    <w:rsid w:val="001003BA"/>
    <w:rsid w:val="00110488"/>
    <w:rsid w:val="001230D7"/>
    <w:rsid w:val="00124069"/>
    <w:rsid w:val="00124484"/>
    <w:rsid w:val="001350A5"/>
    <w:rsid w:val="001578A5"/>
    <w:rsid w:val="001734EF"/>
    <w:rsid w:val="00173D38"/>
    <w:rsid w:val="00176401"/>
    <w:rsid w:val="0018401E"/>
    <w:rsid w:val="001967E5"/>
    <w:rsid w:val="001A0AD3"/>
    <w:rsid w:val="001A21A7"/>
    <w:rsid w:val="001B3C47"/>
    <w:rsid w:val="001C03D5"/>
    <w:rsid w:val="001D6A01"/>
    <w:rsid w:val="001E3EFF"/>
    <w:rsid w:val="00200EB5"/>
    <w:rsid w:val="0020525E"/>
    <w:rsid w:val="00207556"/>
    <w:rsid w:val="00217ED8"/>
    <w:rsid w:val="002241E9"/>
    <w:rsid w:val="002264D6"/>
    <w:rsid w:val="002304C4"/>
    <w:rsid w:val="00252151"/>
    <w:rsid w:val="00261EC0"/>
    <w:rsid w:val="0027710C"/>
    <w:rsid w:val="0028071E"/>
    <w:rsid w:val="002911B3"/>
    <w:rsid w:val="00293C36"/>
    <w:rsid w:val="002968CF"/>
    <w:rsid w:val="002972EC"/>
    <w:rsid w:val="002A2DED"/>
    <w:rsid w:val="002C5A0C"/>
    <w:rsid w:val="002F419D"/>
    <w:rsid w:val="00305130"/>
    <w:rsid w:val="00305B9A"/>
    <w:rsid w:val="003076FF"/>
    <w:rsid w:val="00345802"/>
    <w:rsid w:val="00347F63"/>
    <w:rsid w:val="003522D3"/>
    <w:rsid w:val="003630F3"/>
    <w:rsid w:val="003645A3"/>
    <w:rsid w:val="00365474"/>
    <w:rsid w:val="00374E51"/>
    <w:rsid w:val="00376509"/>
    <w:rsid w:val="00380B42"/>
    <w:rsid w:val="003C47DA"/>
    <w:rsid w:val="003D4918"/>
    <w:rsid w:val="003D6C61"/>
    <w:rsid w:val="003E1B75"/>
    <w:rsid w:val="003E21D7"/>
    <w:rsid w:val="003E4707"/>
    <w:rsid w:val="00416399"/>
    <w:rsid w:val="0042059E"/>
    <w:rsid w:val="004226EE"/>
    <w:rsid w:val="00433275"/>
    <w:rsid w:val="00444781"/>
    <w:rsid w:val="00461A08"/>
    <w:rsid w:val="00464D85"/>
    <w:rsid w:val="00470EA2"/>
    <w:rsid w:val="00472F19"/>
    <w:rsid w:val="004749C5"/>
    <w:rsid w:val="00491D30"/>
    <w:rsid w:val="00496189"/>
    <w:rsid w:val="004A0F48"/>
    <w:rsid w:val="004A6259"/>
    <w:rsid w:val="004B0484"/>
    <w:rsid w:val="004C7506"/>
    <w:rsid w:val="004D0AC9"/>
    <w:rsid w:val="004D49C5"/>
    <w:rsid w:val="004E12FB"/>
    <w:rsid w:val="004E4E7A"/>
    <w:rsid w:val="00521EAF"/>
    <w:rsid w:val="0052747C"/>
    <w:rsid w:val="00536001"/>
    <w:rsid w:val="005365F9"/>
    <w:rsid w:val="00553AFB"/>
    <w:rsid w:val="005571DA"/>
    <w:rsid w:val="00572B74"/>
    <w:rsid w:val="00587E3D"/>
    <w:rsid w:val="005A667B"/>
    <w:rsid w:val="005C05DB"/>
    <w:rsid w:val="005C22DF"/>
    <w:rsid w:val="005C55F9"/>
    <w:rsid w:val="005C623F"/>
    <w:rsid w:val="005D320E"/>
    <w:rsid w:val="005D3C50"/>
    <w:rsid w:val="005D4261"/>
    <w:rsid w:val="005E1F12"/>
    <w:rsid w:val="005E34AF"/>
    <w:rsid w:val="005E621B"/>
    <w:rsid w:val="005F1EC5"/>
    <w:rsid w:val="006220C5"/>
    <w:rsid w:val="00627382"/>
    <w:rsid w:val="00631C5C"/>
    <w:rsid w:val="00637F66"/>
    <w:rsid w:val="00644DD2"/>
    <w:rsid w:val="0064742C"/>
    <w:rsid w:val="00653008"/>
    <w:rsid w:val="0066237A"/>
    <w:rsid w:val="00674039"/>
    <w:rsid w:val="00676F3E"/>
    <w:rsid w:val="00681C7C"/>
    <w:rsid w:val="00690D4D"/>
    <w:rsid w:val="006925A0"/>
    <w:rsid w:val="00695586"/>
    <w:rsid w:val="006A165B"/>
    <w:rsid w:val="006A51E0"/>
    <w:rsid w:val="006A639C"/>
    <w:rsid w:val="006B6A1B"/>
    <w:rsid w:val="006C350D"/>
    <w:rsid w:val="006F0B86"/>
    <w:rsid w:val="006F2054"/>
    <w:rsid w:val="006F7EFE"/>
    <w:rsid w:val="00700211"/>
    <w:rsid w:val="007070D1"/>
    <w:rsid w:val="00712776"/>
    <w:rsid w:val="00716DB6"/>
    <w:rsid w:val="00720D4C"/>
    <w:rsid w:val="0074554A"/>
    <w:rsid w:val="00757317"/>
    <w:rsid w:val="0077255A"/>
    <w:rsid w:val="00773798"/>
    <w:rsid w:val="0077681D"/>
    <w:rsid w:val="00787169"/>
    <w:rsid w:val="00792424"/>
    <w:rsid w:val="00793AA8"/>
    <w:rsid w:val="00793DAD"/>
    <w:rsid w:val="0079689C"/>
    <w:rsid w:val="007A0114"/>
    <w:rsid w:val="007A0B35"/>
    <w:rsid w:val="007A4D88"/>
    <w:rsid w:val="007C15B8"/>
    <w:rsid w:val="007C36C3"/>
    <w:rsid w:val="007C6FD1"/>
    <w:rsid w:val="007F0521"/>
    <w:rsid w:val="00803ADE"/>
    <w:rsid w:val="00810C15"/>
    <w:rsid w:val="00815027"/>
    <w:rsid w:val="00823E55"/>
    <w:rsid w:val="00832086"/>
    <w:rsid w:val="008364E2"/>
    <w:rsid w:val="008372BF"/>
    <w:rsid w:val="008719FF"/>
    <w:rsid w:val="00881C30"/>
    <w:rsid w:val="008A1687"/>
    <w:rsid w:val="008B56E6"/>
    <w:rsid w:val="008C2095"/>
    <w:rsid w:val="008C4994"/>
    <w:rsid w:val="008D0650"/>
    <w:rsid w:val="008F20E4"/>
    <w:rsid w:val="00900E1B"/>
    <w:rsid w:val="0090758B"/>
    <w:rsid w:val="009111CE"/>
    <w:rsid w:val="00917A97"/>
    <w:rsid w:val="009227ED"/>
    <w:rsid w:val="0092441F"/>
    <w:rsid w:val="00926D4F"/>
    <w:rsid w:val="009457FC"/>
    <w:rsid w:val="0096006F"/>
    <w:rsid w:val="009662C3"/>
    <w:rsid w:val="00967B91"/>
    <w:rsid w:val="00967E09"/>
    <w:rsid w:val="00971B1B"/>
    <w:rsid w:val="00972250"/>
    <w:rsid w:val="009763EF"/>
    <w:rsid w:val="009764EE"/>
    <w:rsid w:val="00977CF1"/>
    <w:rsid w:val="0099488C"/>
    <w:rsid w:val="009955E6"/>
    <w:rsid w:val="009B627D"/>
    <w:rsid w:val="009C2C64"/>
    <w:rsid w:val="009C474B"/>
    <w:rsid w:val="009C62DC"/>
    <w:rsid w:val="009F24D6"/>
    <w:rsid w:val="00A01713"/>
    <w:rsid w:val="00A02819"/>
    <w:rsid w:val="00A1019C"/>
    <w:rsid w:val="00A162B2"/>
    <w:rsid w:val="00A27E95"/>
    <w:rsid w:val="00A3286B"/>
    <w:rsid w:val="00A47A39"/>
    <w:rsid w:val="00A535DA"/>
    <w:rsid w:val="00A62EC8"/>
    <w:rsid w:val="00A64F8F"/>
    <w:rsid w:val="00A6528C"/>
    <w:rsid w:val="00A70245"/>
    <w:rsid w:val="00A811FD"/>
    <w:rsid w:val="00A903D9"/>
    <w:rsid w:val="00A91D54"/>
    <w:rsid w:val="00AD1414"/>
    <w:rsid w:val="00AD2870"/>
    <w:rsid w:val="00B066D1"/>
    <w:rsid w:val="00B41440"/>
    <w:rsid w:val="00B6593A"/>
    <w:rsid w:val="00B65A7E"/>
    <w:rsid w:val="00B67459"/>
    <w:rsid w:val="00B7256F"/>
    <w:rsid w:val="00B87326"/>
    <w:rsid w:val="00B87C4C"/>
    <w:rsid w:val="00B913BF"/>
    <w:rsid w:val="00BB0481"/>
    <w:rsid w:val="00BC23C3"/>
    <w:rsid w:val="00BC3C16"/>
    <w:rsid w:val="00BD5CE0"/>
    <w:rsid w:val="00BE6D20"/>
    <w:rsid w:val="00BE7B76"/>
    <w:rsid w:val="00BF19CE"/>
    <w:rsid w:val="00BF676D"/>
    <w:rsid w:val="00C06881"/>
    <w:rsid w:val="00C17B37"/>
    <w:rsid w:val="00C47C8F"/>
    <w:rsid w:val="00C57458"/>
    <w:rsid w:val="00C63CC8"/>
    <w:rsid w:val="00C7697D"/>
    <w:rsid w:val="00C775EE"/>
    <w:rsid w:val="00C8695A"/>
    <w:rsid w:val="00CA6FB3"/>
    <w:rsid w:val="00CB3973"/>
    <w:rsid w:val="00CF4BD3"/>
    <w:rsid w:val="00D209D3"/>
    <w:rsid w:val="00D3297A"/>
    <w:rsid w:val="00D42E18"/>
    <w:rsid w:val="00D42EBC"/>
    <w:rsid w:val="00D47C42"/>
    <w:rsid w:val="00D54ECF"/>
    <w:rsid w:val="00D67D7D"/>
    <w:rsid w:val="00D70587"/>
    <w:rsid w:val="00D70E1D"/>
    <w:rsid w:val="00D73B86"/>
    <w:rsid w:val="00DA07EA"/>
    <w:rsid w:val="00DB2741"/>
    <w:rsid w:val="00DE0BB4"/>
    <w:rsid w:val="00DE14DB"/>
    <w:rsid w:val="00DF1EBD"/>
    <w:rsid w:val="00DF5802"/>
    <w:rsid w:val="00E14490"/>
    <w:rsid w:val="00E1779D"/>
    <w:rsid w:val="00E228E5"/>
    <w:rsid w:val="00E4036B"/>
    <w:rsid w:val="00E50304"/>
    <w:rsid w:val="00E53EBD"/>
    <w:rsid w:val="00E60B89"/>
    <w:rsid w:val="00E66955"/>
    <w:rsid w:val="00E7136D"/>
    <w:rsid w:val="00E74965"/>
    <w:rsid w:val="00E84466"/>
    <w:rsid w:val="00E927F8"/>
    <w:rsid w:val="00E94637"/>
    <w:rsid w:val="00EA3A61"/>
    <w:rsid w:val="00EA48E2"/>
    <w:rsid w:val="00EA4AA8"/>
    <w:rsid w:val="00EB3D05"/>
    <w:rsid w:val="00EC56AF"/>
    <w:rsid w:val="00EE0F0C"/>
    <w:rsid w:val="00EE0FFD"/>
    <w:rsid w:val="00EE51CB"/>
    <w:rsid w:val="00EF5B16"/>
    <w:rsid w:val="00F1181C"/>
    <w:rsid w:val="00F120AB"/>
    <w:rsid w:val="00F12548"/>
    <w:rsid w:val="00F14528"/>
    <w:rsid w:val="00F2221D"/>
    <w:rsid w:val="00F32B43"/>
    <w:rsid w:val="00F359DC"/>
    <w:rsid w:val="00F40C32"/>
    <w:rsid w:val="00F413B4"/>
    <w:rsid w:val="00F4688C"/>
    <w:rsid w:val="00F5029C"/>
    <w:rsid w:val="00F55334"/>
    <w:rsid w:val="00F6407F"/>
    <w:rsid w:val="00F75EF3"/>
    <w:rsid w:val="00F80C77"/>
    <w:rsid w:val="00F81876"/>
    <w:rsid w:val="00F84452"/>
    <w:rsid w:val="00F91872"/>
    <w:rsid w:val="00F92AF6"/>
    <w:rsid w:val="00F93ED6"/>
    <w:rsid w:val="00F94BB6"/>
    <w:rsid w:val="00F975A8"/>
    <w:rsid w:val="00FB0A0A"/>
    <w:rsid w:val="00FB5E30"/>
    <w:rsid w:val="00FC2162"/>
    <w:rsid w:val="00FC3678"/>
    <w:rsid w:val="00FD1813"/>
    <w:rsid w:val="00FD3351"/>
    <w:rsid w:val="00FE7301"/>
    <w:rsid w:val="00FE7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15458-B3F2-41A7-9730-B214EA83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34AF"/>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5E34AF"/>
    <w:rPr>
      <w:rFonts w:ascii="Times New Roman" w:eastAsia="PMingLiU" w:hAnsi="Times New Roman" w:cs="Times New Roman"/>
      <w:sz w:val="24"/>
      <w:szCs w:val="24"/>
      <w:lang w:val="es-ES" w:eastAsia="zh-TW"/>
    </w:rPr>
  </w:style>
  <w:style w:type="paragraph" w:styleId="Sinespaciado">
    <w:name w:val="No Spacing"/>
    <w:uiPriority w:val="1"/>
    <w:qFormat/>
    <w:rsid w:val="00E4036B"/>
    <w:pPr>
      <w:spacing w:after="0" w:line="240" w:lineRule="auto"/>
    </w:pPr>
    <w:rPr>
      <w:lang w:val="es-ES"/>
    </w:rPr>
  </w:style>
  <w:style w:type="paragraph" w:customStyle="1" w:styleId="Textoindependiente21">
    <w:name w:val="Texto independiente 21"/>
    <w:basedOn w:val="Normal"/>
    <w:rsid w:val="0020525E"/>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E60B89"/>
    <w:pPr>
      <w:ind w:left="720"/>
      <w:contextualSpacing/>
    </w:pPr>
  </w:style>
  <w:style w:type="paragraph" w:styleId="Textodeglobo">
    <w:name w:val="Balloon Text"/>
    <w:basedOn w:val="Normal"/>
    <w:link w:val="TextodegloboCar"/>
    <w:uiPriority w:val="99"/>
    <w:semiHidden/>
    <w:unhideWhenUsed/>
    <w:rsid w:val="00967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E09"/>
    <w:rPr>
      <w:rFonts w:ascii="Segoe UI" w:hAnsi="Segoe UI" w:cs="Segoe UI"/>
      <w:sz w:val="18"/>
      <w:szCs w:val="18"/>
    </w:rPr>
  </w:style>
  <w:style w:type="paragraph" w:styleId="Listaconvietas">
    <w:name w:val="List Bullet"/>
    <w:basedOn w:val="Normal"/>
    <w:uiPriority w:val="99"/>
    <w:unhideWhenUsed/>
    <w:rsid w:val="00A91D54"/>
    <w:pPr>
      <w:numPr>
        <w:numId w:val="3"/>
      </w:numPr>
      <w:contextualSpacing/>
    </w:pPr>
  </w:style>
  <w:style w:type="paragraph" w:styleId="Textonotapie">
    <w:name w:val="footnote text"/>
    <w:basedOn w:val="Normal"/>
    <w:link w:val="TextonotapieCar"/>
    <w:uiPriority w:val="99"/>
    <w:unhideWhenUsed/>
    <w:rsid w:val="0008158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8158A"/>
    <w:rPr>
      <w:sz w:val="20"/>
      <w:szCs w:val="20"/>
      <w:lang w:val="es-ES"/>
    </w:rPr>
  </w:style>
  <w:style w:type="character" w:styleId="Refdenotaalpie">
    <w:name w:val="footnote reference"/>
    <w:basedOn w:val="Fuentedeprrafopredeter"/>
    <w:uiPriority w:val="99"/>
    <w:semiHidden/>
    <w:unhideWhenUsed/>
    <w:rsid w:val="0008158A"/>
    <w:rPr>
      <w:vertAlign w:val="superscript"/>
    </w:rPr>
  </w:style>
  <w:style w:type="character" w:customStyle="1" w:styleId="corte4fondoCar3">
    <w:name w:val="corte4 fondo Car3"/>
    <w:link w:val="corte4fondo"/>
    <w:locked/>
    <w:rsid w:val="00FE7CD4"/>
    <w:rPr>
      <w:rFonts w:ascii="Arial" w:hAnsi="Arial" w:cs="Arial"/>
      <w:sz w:val="30"/>
      <w:szCs w:val="30"/>
      <w:lang w:val="es-ES_tradnl"/>
    </w:rPr>
  </w:style>
  <w:style w:type="paragraph" w:customStyle="1" w:styleId="corte4fondo">
    <w:name w:val="corte4 fondo"/>
    <w:basedOn w:val="Normal"/>
    <w:link w:val="corte4fondoCar3"/>
    <w:qFormat/>
    <w:rsid w:val="00FE7CD4"/>
    <w:pPr>
      <w:spacing w:after="0" w:line="360" w:lineRule="auto"/>
      <w:ind w:firstLine="709"/>
      <w:jc w:val="both"/>
    </w:pPr>
    <w:rPr>
      <w:rFonts w:ascii="Arial" w:hAnsi="Arial" w:cs="Arial"/>
      <w:sz w:val="30"/>
      <w:szCs w:val="30"/>
      <w:lang w:val="es-ES_tradnl"/>
    </w:rPr>
  </w:style>
  <w:style w:type="paragraph" w:styleId="Piedepgina">
    <w:name w:val="footer"/>
    <w:basedOn w:val="Normal"/>
    <w:link w:val="PiedepginaCar"/>
    <w:uiPriority w:val="99"/>
    <w:unhideWhenUsed/>
    <w:rsid w:val="00AD1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F772-B4F0-40FD-A48C-26752100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1843</Words>
  <Characters>10141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91</cp:revision>
  <cp:lastPrinted>2019-10-16T14:36:00Z</cp:lastPrinted>
  <dcterms:created xsi:type="dcterms:W3CDTF">2019-04-01T18:22:00Z</dcterms:created>
  <dcterms:modified xsi:type="dcterms:W3CDTF">2020-01-14T20:31:00Z</dcterms:modified>
</cp:coreProperties>
</file>