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5" w:type="dxa"/>
        <w:tblInd w:w="-781" w:type="dxa"/>
        <w:tblLayout w:type="fixed"/>
        <w:tblCellMar>
          <w:left w:w="70" w:type="dxa"/>
          <w:right w:w="70" w:type="dxa"/>
        </w:tblCellMar>
        <w:tblLook w:val="0000" w:firstRow="0" w:lastRow="0" w:firstColumn="0" w:lastColumn="0" w:noHBand="0" w:noVBand="0"/>
      </w:tblPr>
      <w:tblGrid>
        <w:gridCol w:w="2356"/>
        <w:gridCol w:w="6859"/>
      </w:tblGrid>
      <w:tr w:rsidR="00D50CC8" w:rsidRPr="00BF6C02" w:rsidTr="001C2BC7">
        <w:tc>
          <w:tcPr>
            <w:tcW w:w="2356" w:type="dxa"/>
          </w:tcPr>
          <w:p w:rsidR="00D50CC8" w:rsidRPr="00BF6C02" w:rsidRDefault="00D50CC8" w:rsidP="001C2BC7">
            <w:pPr>
              <w:pStyle w:val="Ttulo1"/>
              <w:rPr>
                <w:rFonts w:ascii="Arial" w:hAnsi="Arial" w:cs="Arial"/>
                <w:sz w:val="26"/>
                <w:szCs w:val="26"/>
              </w:rPr>
            </w:pPr>
          </w:p>
        </w:tc>
        <w:tc>
          <w:tcPr>
            <w:tcW w:w="6859" w:type="dxa"/>
          </w:tcPr>
          <w:p w:rsidR="00D50CC8" w:rsidRPr="00BF6C02" w:rsidRDefault="00D50CC8" w:rsidP="00BF6C02">
            <w:pPr>
              <w:tabs>
                <w:tab w:val="left" w:pos="3103"/>
              </w:tabs>
              <w:ind w:left="977"/>
              <w:jc w:val="both"/>
              <w:rPr>
                <w:rFonts w:ascii="Arial" w:hAnsi="Arial" w:cs="Arial"/>
                <w:b/>
                <w:iCs/>
                <w:caps/>
                <w:sz w:val="26"/>
                <w:szCs w:val="26"/>
              </w:rPr>
            </w:pPr>
            <w:r w:rsidRPr="00BF6C02">
              <w:rPr>
                <w:rFonts w:ascii="Arial" w:hAnsi="Arial" w:cs="Arial"/>
                <w:b/>
                <w:iCs/>
                <w:caps/>
                <w:sz w:val="26"/>
                <w:szCs w:val="26"/>
              </w:rPr>
              <w:t xml:space="preserve">SALA SUPERIOR DEL TRIBUNAL DE </w:t>
            </w:r>
            <w:r w:rsidR="002C47FA" w:rsidRPr="00BF6C02">
              <w:rPr>
                <w:rFonts w:ascii="Arial" w:hAnsi="Arial" w:cs="Arial"/>
                <w:b/>
                <w:iCs/>
                <w:caps/>
                <w:sz w:val="26"/>
                <w:szCs w:val="26"/>
              </w:rPr>
              <w:t>JUSTICIA ADMNISTRATIVA DEL ESTADO DE OAXACA.</w:t>
            </w:r>
          </w:p>
          <w:p w:rsidR="00D50CC8" w:rsidRPr="00BF6C02" w:rsidRDefault="00D50CC8" w:rsidP="00BF6C02">
            <w:pPr>
              <w:pStyle w:val="Encabezado"/>
              <w:tabs>
                <w:tab w:val="clear" w:pos="4252"/>
              </w:tabs>
              <w:ind w:left="977" w:right="51"/>
              <w:jc w:val="both"/>
              <w:rPr>
                <w:rFonts w:ascii="Arial" w:hAnsi="Arial" w:cs="Arial"/>
                <w:b/>
                <w:iCs/>
                <w:caps/>
                <w:sz w:val="26"/>
                <w:szCs w:val="26"/>
              </w:rPr>
            </w:pPr>
            <w:r w:rsidRPr="00BF6C02">
              <w:rPr>
                <w:rFonts w:ascii="Arial" w:hAnsi="Arial" w:cs="Arial"/>
                <w:b/>
                <w:iCs/>
                <w:caps/>
                <w:sz w:val="26"/>
                <w:szCs w:val="26"/>
              </w:rPr>
              <w:t xml:space="preserve">               </w:t>
            </w:r>
          </w:p>
          <w:p w:rsidR="00D50CC8" w:rsidRPr="00BF6C02" w:rsidRDefault="00D50CC8" w:rsidP="00BF6C02">
            <w:pPr>
              <w:pStyle w:val="Encabezado"/>
              <w:tabs>
                <w:tab w:val="clear" w:pos="4252"/>
              </w:tabs>
              <w:ind w:left="977" w:right="51"/>
              <w:jc w:val="both"/>
              <w:rPr>
                <w:rFonts w:ascii="Arial" w:hAnsi="Arial" w:cs="Arial"/>
                <w:b/>
                <w:iCs/>
                <w:caps/>
                <w:sz w:val="26"/>
                <w:szCs w:val="26"/>
              </w:rPr>
            </w:pPr>
            <w:r w:rsidRPr="00BF6C02">
              <w:rPr>
                <w:rFonts w:ascii="Arial" w:hAnsi="Arial" w:cs="Arial"/>
                <w:b/>
                <w:iCs/>
                <w:caps/>
                <w:sz w:val="26"/>
                <w:szCs w:val="26"/>
              </w:rPr>
              <w:t>RECURSO DE REVISIÓN: 06</w:t>
            </w:r>
            <w:r w:rsidR="00A0672E" w:rsidRPr="00BF6C02">
              <w:rPr>
                <w:rFonts w:ascii="Arial" w:hAnsi="Arial" w:cs="Arial"/>
                <w:b/>
                <w:iCs/>
                <w:caps/>
                <w:sz w:val="26"/>
                <w:szCs w:val="26"/>
              </w:rPr>
              <w:t>55</w:t>
            </w:r>
            <w:r w:rsidRPr="00BF6C02">
              <w:rPr>
                <w:rFonts w:ascii="Arial" w:hAnsi="Arial" w:cs="Arial"/>
                <w:b/>
                <w:iCs/>
                <w:caps/>
                <w:sz w:val="26"/>
                <w:szCs w:val="26"/>
              </w:rPr>
              <w:t>/2017</w:t>
            </w:r>
            <w:r w:rsidR="000C4EDB" w:rsidRPr="00BF6C02">
              <w:rPr>
                <w:rFonts w:ascii="Arial" w:hAnsi="Arial" w:cs="Arial"/>
                <w:b/>
                <w:iCs/>
                <w:caps/>
                <w:sz w:val="26"/>
                <w:szCs w:val="26"/>
              </w:rPr>
              <w:t xml:space="preserve"> y 656/2017</w:t>
            </w:r>
          </w:p>
          <w:p w:rsidR="00BF6C02" w:rsidRPr="00BF6C02" w:rsidRDefault="00BF6C02" w:rsidP="00BF6C02">
            <w:pPr>
              <w:pStyle w:val="Encabezado"/>
              <w:tabs>
                <w:tab w:val="clear" w:pos="4252"/>
              </w:tabs>
              <w:ind w:left="977" w:right="51"/>
              <w:jc w:val="both"/>
              <w:rPr>
                <w:rFonts w:ascii="Arial" w:hAnsi="Arial" w:cs="Arial"/>
                <w:b/>
                <w:iCs/>
                <w:caps/>
                <w:sz w:val="26"/>
                <w:szCs w:val="26"/>
              </w:rPr>
            </w:pPr>
          </w:p>
          <w:p w:rsidR="00D50CC8" w:rsidRPr="00BF6C02" w:rsidRDefault="00D50CC8" w:rsidP="00BF6C02">
            <w:pPr>
              <w:pStyle w:val="Encabezado"/>
              <w:tabs>
                <w:tab w:val="clear" w:pos="4252"/>
              </w:tabs>
              <w:ind w:left="977" w:right="51"/>
              <w:jc w:val="both"/>
              <w:rPr>
                <w:rFonts w:ascii="Arial" w:hAnsi="Arial" w:cs="Arial"/>
                <w:b/>
                <w:iCs/>
                <w:caps/>
                <w:sz w:val="26"/>
                <w:szCs w:val="26"/>
              </w:rPr>
            </w:pPr>
            <w:r w:rsidRPr="00BF6C02">
              <w:rPr>
                <w:rFonts w:ascii="Arial" w:hAnsi="Arial" w:cs="Arial"/>
                <w:b/>
                <w:iCs/>
                <w:caps/>
                <w:sz w:val="26"/>
                <w:szCs w:val="26"/>
              </w:rPr>
              <w:t>EXPEDIENTE: 0</w:t>
            </w:r>
            <w:r w:rsidR="00A0672E" w:rsidRPr="00BF6C02">
              <w:rPr>
                <w:rFonts w:ascii="Arial" w:hAnsi="Arial" w:cs="Arial"/>
                <w:b/>
                <w:iCs/>
                <w:caps/>
                <w:sz w:val="26"/>
                <w:szCs w:val="26"/>
              </w:rPr>
              <w:t>427/2016</w:t>
            </w:r>
            <w:r w:rsidRPr="00BF6C02">
              <w:rPr>
                <w:rFonts w:ascii="Arial" w:hAnsi="Arial" w:cs="Arial"/>
                <w:b/>
                <w:iCs/>
                <w:caps/>
                <w:sz w:val="26"/>
                <w:szCs w:val="26"/>
              </w:rPr>
              <w:t xml:space="preserve"> DE LA </w:t>
            </w:r>
            <w:r w:rsidR="000A427C" w:rsidRPr="00BF6C02">
              <w:rPr>
                <w:rFonts w:ascii="Arial" w:hAnsi="Arial" w:cs="Arial"/>
                <w:b/>
                <w:iCs/>
                <w:caps/>
                <w:sz w:val="26"/>
                <w:szCs w:val="26"/>
              </w:rPr>
              <w:t>SÉPTIMA</w:t>
            </w:r>
            <w:r w:rsidRPr="00BF6C02">
              <w:rPr>
                <w:rFonts w:ascii="Arial" w:hAnsi="Arial" w:cs="Arial"/>
                <w:b/>
                <w:iCs/>
                <w:caps/>
                <w:sz w:val="26"/>
                <w:szCs w:val="26"/>
              </w:rPr>
              <w:t xml:space="preserve"> SALA UNITARIA DE PRIMERA INSTANCIA </w:t>
            </w:r>
          </w:p>
          <w:p w:rsidR="00D50CC8" w:rsidRPr="00BF6C02" w:rsidRDefault="00D50CC8" w:rsidP="00BF6C02">
            <w:pPr>
              <w:pStyle w:val="Encabezado"/>
              <w:tabs>
                <w:tab w:val="clear" w:pos="4252"/>
              </w:tabs>
              <w:ind w:left="977" w:right="51"/>
              <w:jc w:val="both"/>
              <w:rPr>
                <w:rFonts w:ascii="Arial" w:hAnsi="Arial" w:cs="Arial"/>
                <w:b/>
                <w:iCs/>
                <w:caps/>
                <w:sz w:val="26"/>
                <w:szCs w:val="26"/>
              </w:rPr>
            </w:pPr>
          </w:p>
          <w:p w:rsidR="00D50CC8" w:rsidRPr="00BF6C02" w:rsidRDefault="00D50CC8" w:rsidP="00BF6C02">
            <w:pPr>
              <w:pStyle w:val="Encabezado"/>
              <w:tabs>
                <w:tab w:val="clear" w:pos="4252"/>
              </w:tabs>
              <w:ind w:left="977" w:right="51"/>
              <w:jc w:val="both"/>
              <w:rPr>
                <w:rFonts w:ascii="Arial" w:hAnsi="Arial" w:cs="Arial"/>
                <w:b/>
                <w:iCs/>
                <w:caps/>
                <w:sz w:val="26"/>
                <w:szCs w:val="26"/>
              </w:rPr>
            </w:pPr>
            <w:r w:rsidRPr="00BF6C02">
              <w:rPr>
                <w:rFonts w:ascii="Arial" w:hAnsi="Arial" w:cs="Arial"/>
                <w:b/>
                <w:iCs/>
                <w:caps/>
                <w:sz w:val="26"/>
                <w:szCs w:val="26"/>
              </w:rPr>
              <w:t>MAGISTRADO ponente: HUGO VILLEGAS AQUINO</w:t>
            </w:r>
          </w:p>
        </w:tc>
      </w:tr>
      <w:tr w:rsidR="00D50CC8" w:rsidRPr="00BF6C02" w:rsidTr="001C2BC7">
        <w:tc>
          <w:tcPr>
            <w:tcW w:w="2356" w:type="dxa"/>
          </w:tcPr>
          <w:p w:rsidR="00D50CC8" w:rsidRPr="00BF6C02" w:rsidRDefault="00D50CC8" w:rsidP="001C2BC7">
            <w:pPr>
              <w:rPr>
                <w:rFonts w:ascii="Arial" w:hAnsi="Arial" w:cs="Arial"/>
                <w:b/>
                <w:sz w:val="26"/>
                <w:szCs w:val="26"/>
              </w:rPr>
            </w:pPr>
          </w:p>
        </w:tc>
        <w:tc>
          <w:tcPr>
            <w:tcW w:w="6859" w:type="dxa"/>
          </w:tcPr>
          <w:p w:rsidR="00D50CC8" w:rsidRPr="00BF6C02" w:rsidRDefault="00D50CC8" w:rsidP="001C2BC7">
            <w:pPr>
              <w:tabs>
                <w:tab w:val="left" w:pos="3103"/>
              </w:tabs>
              <w:ind w:left="2961" w:hanging="2961"/>
              <w:jc w:val="both"/>
              <w:rPr>
                <w:rFonts w:ascii="Arial" w:hAnsi="Arial" w:cs="Arial"/>
                <w:b/>
                <w:iCs/>
                <w:caps/>
                <w:sz w:val="26"/>
                <w:szCs w:val="26"/>
              </w:rPr>
            </w:pPr>
            <w:r w:rsidRPr="00BF6C02">
              <w:rPr>
                <w:rFonts w:ascii="Arial" w:hAnsi="Arial" w:cs="Arial"/>
                <w:b/>
                <w:i/>
                <w:iCs/>
                <w:caps/>
                <w:sz w:val="26"/>
                <w:szCs w:val="26"/>
              </w:rPr>
              <w:t xml:space="preserve">                                   </w:t>
            </w:r>
          </w:p>
        </w:tc>
      </w:tr>
      <w:tr w:rsidR="00D50CC8" w:rsidRPr="00BF6C02" w:rsidTr="001C2BC7">
        <w:tc>
          <w:tcPr>
            <w:tcW w:w="2356" w:type="dxa"/>
          </w:tcPr>
          <w:p w:rsidR="00D50CC8" w:rsidRPr="00BF6C02" w:rsidRDefault="00D50CC8" w:rsidP="001C2BC7">
            <w:pPr>
              <w:rPr>
                <w:rFonts w:ascii="Arial" w:hAnsi="Arial" w:cs="Arial"/>
                <w:b/>
                <w:sz w:val="26"/>
                <w:szCs w:val="26"/>
              </w:rPr>
            </w:pPr>
          </w:p>
        </w:tc>
        <w:tc>
          <w:tcPr>
            <w:tcW w:w="6859" w:type="dxa"/>
          </w:tcPr>
          <w:p w:rsidR="00D50CC8" w:rsidRPr="00BF6C02" w:rsidRDefault="00D50CC8" w:rsidP="001C2BC7">
            <w:pPr>
              <w:tabs>
                <w:tab w:val="left" w:pos="3103"/>
              </w:tabs>
              <w:ind w:left="2961" w:hanging="2961"/>
              <w:jc w:val="both"/>
              <w:rPr>
                <w:rFonts w:ascii="Arial" w:hAnsi="Arial" w:cs="Arial"/>
                <w:b/>
                <w:i/>
                <w:iCs/>
                <w:caps/>
                <w:sz w:val="26"/>
                <w:szCs w:val="26"/>
              </w:rPr>
            </w:pPr>
          </w:p>
        </w:tc>
      </w:tr>
    </w:tbl>
    <w:p w:rsidR="00D50CC8" w:rsidRPr="00BF6C02" w:rsidRDefault="00D50CC8" w:rsidP="00D50CC8">
      <w:pPr>
        <w:spacing w:line="360" w:lineRule="auto"/>
        <w:jc w:val="both"/>
        <w:rPr>
          <w:rFonts w:ascii="Arial" w:eastAsia="Calibri" w:hAnsi="Arial" w:cs="Arial"/>
          <w:b/>
          <w:sz w:val="26"/>
          <w:szCs w:val="26"/>
        </w:rPr>
      </w:pPr>
      <w:r w:rsidRPr="00BF6C02">
        <w:rPr>
          <w:rFonts w:ascii="Arial" w:eastAsia="Calibri" w:hAnsi="Arial" w:cs="Arial"/>
          <w:b/>
          <w:sz w:val="26"/>
          <w:szCs w:val="26"/>
        </w:rPr>
        <w:t xml:space="preserve">OAXACA DE JUÁREZ, </w:t>
      </w:r>
      <w:r w:rsidR="005F7651" w:rsidRPr="00BF6C02">
        <w:rPr>
          <w:rFonts w:ascii="Arial" w:eastAsia="Calibri" w:hAnsi="Arial" w:cs="Arial"/>
          <w:b/>
          <w:sz w:val="26"/>
          <w:szCs w:val="26"/>
        </w:rPr>
        <w:t>OAXACA, CINCO DE ABRIL DE DOS MIL DIECIOCHO.</w:t>
      </w:r>
    </w:p>
    <w:p w:rsidR="00D50CC8" w:rsidRPr="00BF6C02" w:rsidRDefault="00D50CC8" w:rsidP="005F7651">
      <w:pPr>
        <w:spacing w:line="360" w:lineRule="auto"/>
        <w:ind w:firstLine="708"/>
        <w:jc w:val="both"/>
        <w:rPr>
          <w:rFonts w:ascii="Arial" w:eastAsia="Calibri" w:hAnsi="Arial" w:cs="Arial"/>
          <w:b/>
          <w:sz w:val="26"/>
          <w:szCs w:val="26"/>
        </w:rPr>
      </w:pPr>
      <w:r w:rsidRPr="00BF6C02">
        <w:rPr>
          <w:rFonts w:ascii="Arial" w:eastAsia="Calibri" w:hAnsi="Arial" w:cs="Arial"/>
          <w:sz w:val="26"/>
          <w:szCs w:val="26"/>
        </w:rPr>
        <w:t>Por recibido</w:t>
      </w:r>
      <w:r w:rsidR="000C4EDB" w:rsidRPr="00BF6C02">
        <w:rPr>
          <w:rFonts w:ascii="Arial" w:eastAsia="Calibri" w:hAnsi="Arial" w:cs="Arial"/>
          <w:sz w:val="26"/>
          <w:szCs w:val="26"/>
        </w:rPr>
        <w:t>s los Cuadernos de Revisión</w:t>
      </w:r>
      <w:r w:rsidRPr="00BF6C02">
        <w:rPr>
          <w:rFonts w:ascii="Arial" w:eastAsia="Calibri" w:hAnsi="Arial" w:cs="Arial"/>
          <w:sz w:val="26"/>
          <w:szCs w:val="26"/>
        </w:rPr>
        <w:t xml:space="preserve"> </w:t>
      </w:r>
      <w:r w:rsidRPr="00BF6C02">
        <w:rPr>
          <w:rFonts w:ascii="Arial" w:eastAsia="Calibri" w:hAnsi="Arial" w:cs="Arial"/>
          <w:b/>
          <w:sz w:val="26"/>
          <w:szCs w:val="26"/>
        </w:rPr>
        <w:t>06</w:t>
      </w:r>
      <w:r w:rsidR="00F2644C" w:rsidRPr="00BF6C02">
        <w:rPr>
          <w:rFonts w:ascii="Arial" w:eastAsia="Calibri" w:hAnsi="Arial" w:cs="Arial"/>
          <w:b/>
          <w:sz w:val="26"/>
          <w:szCs w:val="26"/>
        </w:rPr>
        <w:t>55</w:t>
      </w:r>
      <w:r w:rsidRPr="00BF6C02">
        <w:rPr>
          <w:rFonts w:ascii="Arial" w:eastAsia="Calibri" w:hAnsi="Arial" w:cs="Arial"/>
          <w:b/>
          <w:sz w:val="26"/>
          <w:szCs w:val="26"/>
        </w:rPr>
        <w:t>/2017</w:t>
      </w:r>
      <w:r w:rsidR="000C4EDB" w:rsidRPr="00BF6C02">
        <w:rPr>
          <w:rFonts w:ascii="Arial" w:eastAsia="Calibri" w:hAnsi="Arial" w:cs="Arial"/>
          <w:b/>
          <w:sz w:val="26"/>
          <w:szCs w:val="26"/>
        </w:rPr>
        <w:t xml:space="preserve"> y 656/2017</w:t>
      </w:r>
      <w:r w:rsidRPr="00BF6C02">
        <w:rPr>
          <w:rFonts w:ascii="Arial" w:eastAsia="Calibri" w:hAnsi="Arial" w:cs="Arial"/>
          <w:sz w:val="26"/>
          <w:szCs w:val="26"/>
        </w:rPr>
        <w:t>, que remite la Secretaría General de Acuerdos, con motivo de</w:t>
      </w:r>
      <w:r w:rsidR="000C4EDB" w:rsidRPr="00BF6C02">
        <w:rPr>
          <w:rFonts w:ascii="Arial" w:eastAsia="Calibri" w:hAnsi="Arial" w:cs="Arial"/>
          <w:sz w:val="26"/>
          <w:szCs w:val="26"/>
        </w:rPr>
        <w:t xml:space="preserve"> </w:t>
      </w:r>
      <w:r w:rsidRPr="00BF6C02">
        <w:rPr>
          <w:rFonts w:ascii="Arial" w:eastAsia="Calibri" w:hAnsi="Arial" w:cs="Arial"/>
          <w:sz w:val="26"/>
          <w:szCs w:val="26"/>
        </w:rPr>
        <w:t>l</w:t>
      </w:r>
      <w:r w:rsidR="000C4EDB" w:rsidRPr="00BF6C02">
        <w:rPr>
          <w:rFonts w:ascii="Arial" w:eastAsia="Calibri" w:hAnsi="Arial" w:cs="Arial"/>
          <w:sz w:val="26"/>
          <w:szCs w:val="26"/>
        </w:rPr>
        <w:t>os</w:t>
      </w:r>
      <w:r w:rsidRPr="00BF6C02">
        <w:rPr>
          <w:rFonts w:ascii="Arial" w:eastAsia="Calibri" w:hAnsi="Arial" w:cs="Arial"/>
          <w:sz w:val="26"/>
          <w:szCs w:val="26"/>
        </w:rPr>
        <w:t xml:space="preserve"> recurso</w:t>
      </w:r>
      <w:r w:rsidR="000C4EDB" w:rsidRPr="00BF6C02">
        <w:rPr>
          <w:rFonts w:ascii="Arial" w:eastAsia="Calibri" w:hAnsi="Arial" w:cs="Arial"/>
          <w:sz w:val="26"/>
          <w:szCs w:val="26"/>
        </w:rPr>
        <w:t>s</w:t>
      </w:r>
      <w:r w:rsidRPr="00BF6C02">
        <w:rPr>
          <w:rFonts w:ascii="Arial" w:eastAsia="Calibri" w:hAnsi="Arial" w:cs="Arial"/>
          <w:sz w:val="26"/>
          <w:szCs w:val="26"/>
        </w:rPr>
        <w:t xml:space="preserve"> de revisión interpuesto</w:t>
      </w:r>
      <w:r w:rsidR="000C4EDB" w:rsidRPr="00BF6C02">
        <w:rPr>
          <w:rFonts w:ascii="Arial" w:eastAsia="Calibri" w:hAnsi="Arial" w:cs="Arial"/>
          <w:sz w:val="26"/>
          <w:szCs w:val="26"/>
        </w:rPr>
        <w:t>s</w:t>
      </w:r>
      <w:r w:rsidRPr="00BF6C02">
        <w:rPr>
          <w:rFonts w:ascii="Arial" w:eastAsia="Calibri" w:hAnsi="Arial" w:cs="Arial"/>
          <w:sz w:val="26"/>
          <w:szCs w:val="26"/>
        </w:rPr>
        <w:t xml:space="preserve"> por</w:t>
      </w:r>
      <w:r w:rsidRPr="00BF6C02">
        <w:rPr>
          <w:rFonts w:ascii="Arial" w:eastAsia="Calibri" w:hAnsi="Arial" w:cs="Arial"/>
          <w:b/>
          <w:sz w:val="26"/>
          <w:szCs w:val="26"/>
        </w:rPr>
        <w:t xml:space="preserve"> </w:t>
      </w:r>
      <w:r w:rsidR="00F2644C" w:rsidRPr="00BF6C02">
        <w:rPr>
          <w:rFonts w:ascii="Arial" w:eastAsia="Calibri" w:hAnsi="Arial" w:cs="Arial"/>
          <w:b/>
          <w:sz w:val="26"/>
          <w:szCs w:val="26"/>
        </w:rPr>
        <w:t>BERENICE SANTIAGO VENEGAS</w:t>
      </w:r>
      <w:r w:rsidR="000C4EDB" w:rsidRPr="00BF6C02">
        <w:rPr>
          <w:rFonts w:ascii="Arial" w:eastAsia="Calibri" w:hAnsi="Arial" w:cs="Arial"/>
          <w:b/>
          <w:sz w:val="26"/>
          <w:szCs w:val="26"/>
        </w:rPr>
        <w:t xml:space="preserve"> y MIGUEL RAMÍREZ CABALLERO </w:t>
      </w:r>
      <w:r w:rsidR="000C4EDB" w:rsidRPr="00BF6C02">
        <w:rPr>
          <w:rFonts w:ascii="Arial" w:eastAsia="Calibri" w:hAnsi="Arial" w:cs="Arial"/>
          <w:sz w:val="26"/>
          <w:szCs w:val="26"/>
        </w:rPr>
        <w:t xml:space="preserve">en su carácter de </w:t>
      </w:r>
      <w:r w:rsidR="000C4EDB" w:rsidRPr="00BF6C02">
        <w:rPr>
          <w:rFonts w:ascii="Arial" w:eastAsia="Calibri" w:hAnsi="Arial" w:cs="Arial"/>
          <w:b/>
          <w:sz w:val="26"/>
          <w:szCs w:val="26"/>
        </w:rPr>
        <w:t xml:space="preserve">TESORERA MUNICIPAL </w:t>
      </w:r>
      <w:r w:rsidR="000C4EDB" w:rsidRPr="00BF6C02">
        <w:rPr>
          <w:rFonts w:ascii="Arial" w:eastAsia="Calibri" w:hAnsi="Arial" w:cs="Arial"/>
          <w:sz w:val="26"/>
          <w:szCs w:val="26"/>
        </w:rPr>
        <w:t xml:space="preserve">y </w:t>
      </w:r>
      <w:r w:rsidR="000C4EDB" w:rsidRPr="00BF6C02">
        <w:rPr>
          <w:rFonts w:ascii="Arial" w:eastAsia="Calibri" w:hAnsi="Arial" w:cs="Arial"/>
          <w:b/>
          <w:sz w:val="26"/>
          <w:szCs w:val="26"/>
        </w:rPr>
        <w:t xml:space="preserve">JUEZ CALIFICADOR </w:t>
      </w:r>
      <w:r w:rsidR="000C4EDB" w:rsidRPr="00BF6C02">
        <w:rPr>
          <w:rFonts w:ascii="Arial" w:eastAsia="Calibri" w:hAnsi="Arial" w:cs="Arial"/>
          <w:sz w:val="26"/>
          <w:szCs w:val="26"/>
        </w:rPr>
        <w:t xml:space="preserve">ambos </w:t>
      </w:r>
      <w:r w:rsidR="00F2644C" w:rsidRPr="00BF6C02">
        <w:rPr>
          <w:rFonts w:ascii="Arial" w:eastAsia="Calibri" w:hAnsi="Arial" w:cs="Arial"/>
          <w:sz w:val="26"/>
          <w:szCs w:val="26"/>
        </w:rPr>
        <w:t xml:space="preserve">del </w:t>
      </w:r>
      <w:r w:rsidR="00F2644C" w:rsidRPr="00BF6C02">
        <w:rPr>
          <w:rFonts w:ascii="Arial" w:eastAsia="Calibri" w:hAnsi="Arial" w:cs="Arial"/>
          <w:b/>
          <w:sz w:val="26"/>
          <w:szCs w:val="26"/>
        </w:rPr>
        <w:t>MUNICIPIO DE SANTA LUCÍA DEL CAMINO, OAXACA</w:t>
      </w:r>
      <w:r w:rsidR="000C4EDB" w:rsidRPr="00BF6C02">
        <w:rPr>
          <w:rFonts w:ascii="Arial" w:eastAsia="Calibri" w:hAnsi="Arial" w:cs="Arial"/>
          <w:b/>
          <w:sz w:val="26"/>
          <w:szCs w:val="26"/>
        </w:rPr>
        <w:t xml:space="preserve">, </w:t>
      </w:r>
      <w:r w:rsidR="000C4EDB" w:rsidRPr="00BF6C02">
        <w:rPr>
          <w:rFonts w:ascii="Arial" w:eastAsia="Calibri" w:hAnsi="Arial" w:cs="Arial"/>
          <w:sz w:val="26"/>
          <w:szCs w:val="26"/>
        </w:rPr>
        <w:t>respectivamente,</w:t>
      </w:r>
      <w:r w:rsidR="00F2644C" w:rsidRPr="00BF6C02">
        <w:rPr>
          <w:rFonts w:ascii="Arial" w:eastAsia="Calibri" w:hAnsi="Arial" w:cs="Arial"/>
          <w:b/>
          <w:sz w:val="26"/>
          <w:szCs w:val="26"/>
        </w:rPr>
        <w:t xml:space="preserve"> </w:t>
      </w:r>
      <w:r w:rsidR="00F2644C" w:rsidRPr="00BF6C02">
        <w:rPr>
          <w:rFonts w:ascii="Arial" w:eastAsia="Calibri" w:hAnsi="Arial" w:cs="Arial"/>
          <w:sz w:val="26"/>
          <w:szCs w:val="26"/>
        </w:rPr>
        <w:t>y como autoridad</w:t>
      </w:r>
      <w:r w:rsidR="000C4EDB" w:rsidRPr="00BF6C02">
        <w:rPr>
          <w:rFonts w:ascii="Arial" w:eastAsia="Calibri" w:hAnsi="Arial" w:cs="Arial"/>
          <w:sz w:val="26"/>
          <w:szCs w:val="26"/>
        </w:rPr>
        <w:t>es</w:t>
      </w:r>
      <w:r w:rsidR="00F2644C" w:rsidRPr="00BF6C02">
        <w:rPr>
          <w:rFonts w:ascii="Arial" w:eastAsia="Calibri" w:hAnsi="Arial" w:cs="Arial"/>
          <w:sz w:val="26"/>
          <w:szCs w:val="26"/>
        </w:rPr>
        <w:t xml:space="preserve"> demandada</w:t>
      </w:r>
      <w:r w:rsidR="000C4EDB" w:rsidRPr="00BF6C02">
        <w:rPr>
          <w:rFonts w:ascii="Arial" w:eastAsia="Calibri" w:hAnsi="Arial" w:cs="Arial"/>
          <w:sz w:val="26"/>
          <w:szCs w:val="26"/>
        </w:rPr>
        <w:t>s</w:t>
      </w:r>
      <w:r w:rsidR="00F2644C" w:rsidRPr="00BF6C02">
        <w:rPr>
          <w:rFonts w:ascii="Arial" w:eastAsia="Calibri" w:hAnsi="Arial" w:cs="Arial"/>
          <w:sz w:val="26"/>
          <w:szCs w:val="26"/>
        </w:rPr>
        <w:t>, personalidad que acredita</w:t>
      </w:r>
      <w:r w:rsidR="000C4EDB" w:rsidRPr="00BF6C02">
        <w:rPr>
          <w:rFonts w:ascii="Arial" w:eastAsia="Calibri" w:hAnsi="Arial" w:cs="Arial"/>
          <w:sz w:val="26"/>
          <w:szCs w:val="26"/>
        </w:rPr>
        <w:t>n</w:t>
      </w:r>
      <w:r w:rsidR="00F2644C" w:rsidRPr="00BF6C02">
        <w:rPr>
          <w:rFonts w:ascii="Arial" w:eastAsia="Calibri" w:hAnsi="Arial" w:cs="Arial"/>
          <w:sz w:val="26"/>
          <w:szCs w:val="26"/>
        </w:rPr>
        <w:t xml:space="preserve"> en términos del artículo 120 de la Ley de Justicia Administrativa para el Estado de Oaxaca porque presenta</w:t>
      </w:r>
      <w:r w:rsidR="000C4EDB" w:rsidRPr="00BF6C02">
        <w:rPr>
          <w:rFonts w:ascii="Arial" w:eastAsia="Calibri" w:hAnsi="Arial" w:cs="Arial"/>
          <w:sz w:val="26"/>
          <w:szCs w:val="26"/>
        </w:rPr>
        <w:t xml:space="preserve">n </w:t>
      </w:r>
      <w:r w:rsidR="00F2644C" w:rsidRPr="00BF6C02">
        <w:rPr>
          <w:rFonts w:ascii="Arial" w:eastAsia="Calibri" w:hAnsi="Arial" w:cs="Arial"/>
          <w:sz w:val="26"/>
          <w:szCs w:val="26"/>
        </w:rPr>
        <w:t xml:space="preserve">la copia debidamente certificada del documento relativo al nombramiento que le fue conferido y de aquel en el que consta la protesta que rindió; en contra de la sentencia de 21 veintiuno de junio de 2017 dos mil diecisiete dictada por la </w:t>
      </w:r>
      <w:r w:rsidR="000A427C" w:rsidRPr="00BF6C02">
        <w:rPr>
          <w:rFonts w:ascii="Arial" w:eastAsia="Calibri" w:hAnsi="Arial" w:cs="Arial"/>
          <w:sz w:val="26"/>
          <w:szCs w:val="26"/>
        </w:rPr>
        <w:t xml:space="preserve">Séptima Sala </w:t>
      </w:r>
      <w:r w:rsidRPr="00BF6C02">
        <w:rPr>
          <w:rFonts w:ascii="Arial" w:eastAsia="Calibri" w:hAnsi="Arial" w:cs="Arial"/>
          <w:sz w:val="26"/>
          <w:szCs w:val="26"/>
        </w:rPr>
        <w:t>Unitaria de Primera Instancia del Tribunal de lo Contencioso Administrativo y de Cuentas del Poder Judicial del Estado</w:t>
      </w:r>
      <w:r w:rsidR="000A427C" w:rsidRPr="00BF6C02">
        <w:rPr>
          <w:rFonts w:ascii="Arial" w:eastAsia="Calibri" w:hAnsi="Arial" w:cs="Arial"/>
          <w:b/>
          <w:sz w:val="26"/>
          <w:szCs w:val="26"/>
        </w:rPr>
        <w:t xml:space="preserve"> </w:t>
      </w:r>
      <w:r w:rsidR="000A427C" w:rsidRPr="00BF6C02">
        <w:rPr>
          <w:rFonts w:ascii="Arial" w:eastAsia="Calibri" w:hAnsi="Arial" w:cs="Arial"/>
          <w:sz w:val="26"/>
          <w:szCs w:val="26"/>
        </w:rPr>
        <w:t xml:space="preserve">en el expediente </w:t>
      </w:r>
      <w:r w:rsidRPr="00BF6C02">
        <w:rPr>
          <w:rFonts w:ascii="Arial" w:hAnsi="Arial" w:cs="Arial"/>
          <w:sz w:val="26"/>
          <w:szCs w:val="26"/>
        </w:rPr>
        <w:t>0</w:t>
      </w:r>
      <w:r w:rsidR="00F2644C" w:rsidRPr="00BF6C02">
        <w:rPr>
          <w:rFonts w:ascii="Arial" w:hAnsi="Arial" w:cs="Arial"/>
          <w:sz w:val="26"/>
          <w:szCs w:val="26"/>
        </w:rPr>
        <w:t>427/2016</w:t>
      </w:r>
      <w:r w:rsidR="000A427C" w:rsidRPr="00BF6C02">
        <w:rPr>
          <w:rFonts w:ascii="Arial" w:hAnsi="Arial" w:cs="Arial"/>
          <w:sz w:val="26"/>
          <w:szCs w:val="26"/>
        </w:rPr>
        <w:t xml:space="preserve"> de su índice, relativo al juicio</w:t>
      </w:r>
      <w:r w:rsidRPr="00BF6C02">
        <w:rPr>
          <w:rFonts w:ascii="Arial" w:hAnsi="Arial" w:cs="Arial"/>
          <w:sz w:val="26"/>
          <w:szCs w:val="26"/>
        </w:rPr>
        <w:t xml:space="preserve"> </w:t>
      </w:r>
      <w:r w:rsidR="000A427C" w:rsidRPr="00BF6C02">
        <w:rPr>
          <w:rFonts w:ascii="Arial" w:hAnsi="Arial" w:cs="Arial"/>
          <w:sz w:val="26"/>
          <w:szCs w:val="26"/>
        </w:rPr>
        <w:t xml:space="preserve">de nulidad </w:t>
      </w:r>
      <w:r w:rsidRPr="00BF6C02">
        <w:rPr>
          <w:rFonts w:ascii="Arial" w:hAnsi="Arial" w:cs="Arial"/>
          <w:sz w:val="26"/>
          <w:szCs w:val="26"/>
        </w:rPr>
        <w:t>promovido por</w:t>
      </w:r>
      <w:r w:rsidR="000A427C" w:rsidRPr="00BF6C02">
        <w:rPr>
          <w:rFonts w:ascii="Arial" w:hAnsi="Arial" w:cs="Arial"/>
          <w:sz w:val="26"/>
          <w:szCs w:val="26"/>
        </w:rPr>
        <w:t xml:space="preserve"> el </w:t>
      </w:r>
      <w:r w:rsidR="004A7AAC">
        <w:rPr>
          <w:rFonts w:ascii="Arial" w:hAnsi="Arial" w:cs="Arial"/>
          <w:b/>
          <w:sz w:val="26"/>
          <w:szCs w:val="26"/>
        </w:rPr>
        <w:t>**********</w:t>
      </w:r>
      <w:r w:rsidR="000A427C" w:rsidRPr="00BF6C02">
        <w:rPr>
          <w:rFonts w:ascii="Arial" w:hAnsi="Arial" w:cs="Arial"/>
          <w:b/>
          <w:sz w:val="26"/>
          <w:szCs w:val="26"/>
        </w:rPr>
        <w:t xml:space="preserve"> </w:t>
      </w:r>
      <w:r w:rsidR="000A427C" w:rsidRPr="00BF6C02">
        <w:rPr>
          <w:rFonts w:ascii="Arial" w:hAnsi="Arial" w:cs="Arial"/>
          <w:sz w:val="26"/>
          <w:szCs w:val="26"/>
        </w:rPr>
        <w:t>en contra de</w:t>
      </w:r>
      <w:r w:rsidR="00F2644C" w:rsidRPr="00BF6C02">
        <w:rPr>
          <w:rFonts w:ascii="Arial" w:hAnsi="Arial" w:cs="Arial"/>
          <w:sz w:val="26"/>
          <w:szCs w:val="26"/>
        </w:rPr>
        <w:t xml:space="preserve"> </w:t>
      </w:r>
      <w:r w:rsidR="000A427C" w:rsidRPr="00BF6C02">
        <w:rPr>
          <w:rFonts w:ascii="Arial" w:hAnsi="Arial" w:cs="Arial"/>
          <w:sz w:val="26"/>
          <w:szCs w:val="26"/>
        </w:rPr>
        <w:t>l</w:t>
      </w:r>
      <w:r w:rsidR="000C4EDB" w:rsidRPr="00BF6C02">
        <w:rPr>
          <w:rFonts w:ascii="Arial" w:hAnsi="Arial" w:cs="Arial"/>
          <w:sz w:val="26"/>
          <w:szCs w:val="26"/>
        </w:rPr>
        <w:t>os</w:t>
      </w:r>
      <w:r w:rsidR="00F2644C" w:rsidRPr="00BF6C02">
        <w:rPr>
          <w:rFonts w:ascii="Arial" w:hAnsi="Arial" w:cs="Arial"/>
          <w:sz w:val="26"/>
          <w:szCs w:val="26"/>
        </w:rPr>
        <w:t xml:space="preserve"> </w:t>
      </w:r>
      <w:r w:rsidR="00F2644C" w:rsidRPr="00BF6C02">
        <w:rPr>
          <w:rFonts w:ascii="Arial" w:hAnsi="Arial" w:cs="Arial"/>
          <w:b/>
          <w:sz w:val="26"/>
          <w:szCs w:val="26"/>
        </w:rPr>
        <w:t>RECURRENTE</w:t>
      </w:r>
      <w:r w:rsidR="000C4EDB" w:rsidRPr="00BF6C02">
        <w:rPr>
          <w:rFonts w:ascii="Arial" w:hAnsi="Arial" w:cs="Arial"/>
          <w:b/>
          <w:sz w:val="26"/>
          <w:szCs w:val="26"/>
        </w:rPr>
        <w:t>S</w:t>
      </w:r>
      <w:r w:rsidRPr="00BF6C02">
        <w:rPr>
          <w:rFonts w:ascii="Arial" w:hAnsi="Arial" w:cs="Arial"/>
          <w:sz w:val="26"/>
          <w:szCs w:val="26"/>
        </w:rPr>
        <w:t>,</w:t>
      </w:r>
      <w:r w:rsidRPr="00BF6C02">
        <w:rPr>
          <w:rFonts w:ascii="Arial" w:hAnsi="Arial" w:cs="Arial"/>
          <w:b/>
          <w:sz w:val="26"/>
          <w:szCs w:val="26"/>
        </w:rPr>
        <w:t xml:space="preserve"> </w:t>
      </w:r>
      <w:r w:rsidRPr="00BF6C02">
        <w:rPr>
          <w:rFonts w:ascii="Arial" w:eastAsia="Calibri" w:hAnsi="Arial" w:cs="Arial"/>
          <w:sz w:val="26"/>
          <w:szCs w:val="26"/>
        </w:rPr>
        <w:t>por lo que co</w:t>
      </w:r>
      <w:r w:rsidR="000D38F3" w:rsidRPr="00BF6C02">
        <w:rPr>
          <w:rFonts w:ascii="Arial" w:eastAsia="Calibri" w:hAnsi="Arial" w:cs="Arial"/>
          <w:sz w:val="26"/>
          <w:szCs w:val="26"/>
        </w:rPr>
        <w:t xml:space="preserve">n fundamento en los artículos </w:t>
      </w:r>
      <w:r w:rsidR="003B46E1" w:rsidRPr="00BF6C02">
        <w:rPr>
          <w:rFonts w:ascii="Arial" w:hAnsi="Arial" w:cs="Arial"/>
          <w:sz w:val="26"/>
          <w:szCs w:val="26"/>
        </w:rPr>
        <w:t>207 y 208 de la Ley de Justicia Administrativa para el Estado de Oaxaca</w:t>
      </w:r>
      <w:r w:rsidRPr="00BF6C02">
        <w:rPr>
          <w:rFonts w:ascii="Arial" w:eastAsia="Calibri" w:hAnsi="Arial" w:cs="Arial"/>
          <w:sz w:val="26"/>
          <w:szCs w:val="26"/>
        </w:rPr>
        <w:t>, se admite. En consecuencia, se procede a dictar resolución en los siguientes términos:</w:t>
      </w:r>
    </w:p>
    <w:p w:rsidR="00D50CC8" w:rsidRPr="00BF6C02" w:rsidRDefault="00D50CC8" w:rsidP="00D50CC8">
      <w:pPr>
        <w:spacing w:line="360" w:lineRule="auto"/>
        <w:ind w:firstLine="708"/>
        <w:jc w:val="center"/>
        <w:rPr>
          <w:rFonts w:ascii="Arial" w:eastAsia="Calibri" w:hAnsi="Arial" w:cs="Arial"/>
          <w:b/>
          <w:bCs/>
          <w:sz w:val="26"/>
          <w:szCs w:val="26"/>
        </w:rPr>
      </w:pPr>
      <w:r w:rsidRPr="00BF6C02">
        <w:rPr>
          <w:rFonts w:ascii="Arial" w:eastAsia="Calibri" w:hAnsi="Arial" w:cs="Arial"/>
          <w:b/>
          <w:bCs/>
          <w:sz w:val="26"/>
          <w:szCs w:val="26"/>
        </w:rPr>
        <w:t>R E S U L T A N D O</w:t>
      </w:r>
    </w:p>
    <w:p w:rsidR="00D50CC8" w:rsidRPr="00BF6C02" w:rsidRDefault="00D50CC8" w:rsidP="00D50CC8">
      <w:pPr>
        <w:spacing w:line="360" w:lineRule="auto"/>
        <w:ind w:firstLine="708"/>
        <w:jc w:val="center"/>
        <w:rPr>
          <w:rFonts w:ascii="Arial" w:eastAsia="Calibri" w:hAnsi="Arial" w:cs="Arial"/>
          <w:b/>
          <w:bCs/>
          <w:sz w:val="26"/>
          <w:szCs w:val="26"/>
        </w:rPr>
      </w:pPr>
    </w:p>
    <w:p w:rsidR="00D50CC8" w:rsidRPr="00BF6C02" w:rsidRDefault="00D50CC8" w:rsidP="005F7651">
      <w:pPr>
        <w:spacing w:line="360" w:lineRule="auto"/>
        <w:ind w:firstLine="708"/>
        <w:jc w:val="both"/>
        <w:rPr>
          <w:rFonts w:ascii="Arial" w:eastAsia="Calibri" w:hAnsi="Arial" w:cs="Arial"/>
          <w:sz w:val="26"/>
          <w:szCs w:val="26"/>
        </w:rPr>
      </w:pPr>
      <w:r w:rsidRPr="00BF6C02">
        <w:rPr>
          <w:rFonts w:ascii="Arial" w:eastAsia="Calibri" w:hAnsi="Arial" w:cs="Arial"/>
          <w:b/>
          <w:bCs/>
          <w:sz w:val="26"/>
          <w:szCs w:val="26"/>
        </w:rPr>
        <w:t xml:space="preserve">PRIMERO. </w:t>
      </w:r>
      <w:r w:rsidRPr="00BF6C02">
        <w:rPr>
          <w:rFonts w:ascii="Arial" w:eastAsia="Calibri" w:hAnsi="Arial" w:cs="Arial"/>
          <w:sz w:val="26"/>
          <w:szCs w:val="26"/>
        </w:rPr>
        <w:t>Inconforme</w:t>
      </w:r>
      <w:r w:rsidR="000C4EDB" w:rsidRPr="00BF6C02">
        <w:rPr>
          <w:rFonts w:ascii="Arial" w:eastAsia="Calibri" w:hAnsi="Arial" w:cs="Arial"/>
          <w:sz w:val="26"/>
          <w:szCs w:val="26"/>
        </w:rPr>
        <w:t xml:space="preserve">s </w:t>
      </w:r>
      <w:r w:rsidRPr="00BF6C02">
        <w:rPr>
          <w:rFonts w:ascii="Arial" w:eastAsia="Calibri" w:hAnsi="Arial" w:cs="Arial"/>
          <w:sz w:val="26"/>
          <w:szCs w:val="26"/>
        </w:rPr>
        <w:t xml:space="preserve"> con </w:t>
      </w:r>
      <w:r w:rsidR="00F2644C" w:rsidRPr="00BF6C02">
        <w:rPr>
          <w:rFonts w:ascii="Arial" w:eastAsia="Calibri" w:hAnsi="Arial" w:cs="Arial"/>
          <w:sz w:val="26"/>
          <w:szCs w:val="26"/>
        </w:rPr>
        <w:t>la sentencia de 21 veintiuno de junio de 2017 dos mil diecisiete</w:t>
      </w:r>
      <w:r w:rsidR="000A427C" w:rsidRPr="00BF6C02">
        <w:rPr>
          <w:rFonts w:ascii="Arial" w:eastAsia="Calibri" w:hAnsi="Arial" w:cs="Arial"/>
          <w:sz w:val="26"/>
          <w:szCs w:val="26"/>
        </w:rPr>
        <w:t xml:space="preserve"> dictad</w:t>
      </w:r>
      <w:r w:rsidR="00F2644C" w:rsidRPr="00BF6C02">
        <w:rPr>
          <w:rFonts w:ascii="Arial" w:eastAsia="Calibri" w:hAnsi="Arial" w:cs="Arial"/>
          <w:sz w:val="26"/>
          <w:szCs w:val="26"/>
        </w:rPr>
        <w:t>a</w:t>
      </w:r>
      <w:r w:rsidR="000A427C" w:rsidRPr="00BF6C02">
        <w:rPr>
          <w:rFonts w:ascii="Arial" w:eastAsia="Calibri" w:hAnsi="Arial" w:cs="Arial"/>
          <w:sz w:val="26"/>
          <w:szCs w:val="26"/>
        </w:rPr>
        <w:t xml:space="preserve"> por la Séptima Sala</w:t>
      </w:r>
      <w:r w:rsidRPr="00BF6C02">
        <w:rPr>
          <w:rFonts w:ascii="Arial" w:eastAsia="Calibri" w:hAnsi="Arial" w:cs="Arial"/>
          <w:sz w:val="26"/>
          <w:szCs w:val="26"/>
        </w:rPr>
        <w:t xml:space="preserve"> U</w:t>
      </w:r>
      <w:r w:rsidR="00F2644C" w:rsidRPr="00BF6C02">
        <w:rPr>
          <w:rFonts w:ascii="Arial" w:eastAsia="Calibri" w:hAnsi="Arial" w:cs="Arial"/>
          <w:sz w:val="26"/>
          <w:szCs w:val="26"/>
        </w:rPr>
        <w:t xml:space="preserve">nitaria de Primera Instancia de. Tribunal de lo Contencioso Administrativo y de Cuentas del Poder Judicial del Estado de Oaxaca, </w:t>
      </w:r>
      <w:r w:rsidR="00F2644C" w:rsidRPr="00BF6C02">
        <w:rPr>
          <w:rFonts w:ascii="Arial" w:eastAsia="Calibri" w:hAnsi="Arial" w:cs="Arial"/>
          <w:b/>
          <w:sz w:val="26"/>
          <w:szCs w:val="26"/>
        </w:rPr>
        <w:t>BERENICE SANTIAGO VENEGAS</w:t>
      </w:r>
      <w:r w:rsidR="000C4EDB" w:rsidRPr="00BF6C02">
        <w:rPr>
          <w:rFonts w:ascii="Arial" w:eastAsia="Calibri" w:hAnsi="Arial" w:cs="Arial"/>
          <w:b/>
          <w:sz w:val="26"/>
          <w:szCs w:val="26"/>
        </w:rPr>
        <w:t xml:space="preserve"> y MIGUEL RAMÍREZ CABALLERO </w:t>
      </w:r>
      <w:r w:rsidR="000C4EDB" w:rsidRPr="00BF6C02">
        <w:rPr>
          <w:rFonts w:ascii="Arial" w:eastAsia="Calibri" w:hAnsi="Arial" w:cs="Arial"/>
          <w:sz w:val="26"/>
          <w:szCs w:val="26"/>
        </w:rPr>
        <w:t xml:space="preserve">en su </w:t>
      </w:r>
      <w:r w:rsidR="000C4EDB" w:rsidRPr="00BF6C02">
        <w:rPr>
          <w:rFonts w:ascii="Arial" w:eastAsia="Calibri" w:hAnsi="Arial" w:cs="Arial"/>
          <w:sz w:val="26"/>
          <w:szCs w:val="26"/>
        </w:rPr>
        <w:lastRenderedPageBreak/>
        <w:t xml:space="preserve">carácter de </w:t>
      </w:r>
      <w:r w:rsidR="000C4EDB" w:rsidRPr="00BF6C02">
        <w:rPr>
          <w:rFonts w:ascii="Arial" w:eastAsia="Calibri" w:hAnsi="Arial" w:cs="Arial"/>
          <w:b/>
          <w:sz w:val="26"/>
          <w:szCs w:val="26"/>
        </w:rPr>
        <w:t xml:space="preserve">TESORERA MUNICIPAL </w:t>
      </w:r>
      <w:r w:rsidR="000C4EDB" w:rsidRPr="00BF6C02">
        <w:rPr>
          <w:rFonts w:ascii="Arial" w:eastAsia="Calibri" w:hAnsi="Arial" w:cs="Arial"/>
          <w:sz w:val="26"/>
          <w:szCs w:val="26"/>
        </w:rPr>
        <w:t xml:space="preserve">y </w:t>
      </w:r>
      <w:r w:rsidR="000C4EDB" w:rsidRPr="00BF6C02">
        <w:rPr>
          <w:rFonts w:ascii="Arial" w:eastAsia="Calibri" w:hAnsi="Arial" w:cs="Arial"/>
          <w:b/>
          <w:sz w:val="26"/>
          <w:szCs w:val="26"/>
        </w:rPr>
        <w:t xml:space="preserve">JUEZ CALIFICADOR </w:t>
      </w:r>
      <w:r w:rsidR="000C4EDB" w:rsidRPr="00BF6C02">
        <w:rPr>
          <w:rFonts w:ascii="Arial" w:eastAsia="Calibri" w:hAnsi="Arial" w:cs="Arial"/>
          <w:sz w:val="26"/>
          <w:szCs w:val="26"/>
        </w:rPr>
        <w:t xml:space="preserve">ambos del </w:t>
      </w:r>
      <w:r w:rsidR="000C4EDB" w:rsidRPr="00BF6C02">
        <w:rPr>
          <w:rFonts w:ascii="Arial" w:eastAsia="Calibri" w:hAnsi="Arial" w:cs="Arial"/>
          <w:b/>
          <w:sz w:val="26"/>
          <w:szCs w:val="26"/>
        </w:rPr>
        <w:t>MUNICIPIO DE SANTA LUCÍA DEL CAMINO, OAXACA</w:t>
      </w:r>
      <w:r w:rsidR="000C4EDB" w:rsidRPr="00BF6C02">
        <w:rPr>
          <w:rFonts w:ascii="Arial" w:eastAsia="Calibri" w:hAnsi="Arial" w:cs="Arial"/>
          <w:sz w:val="26"/>
          <w:szCs w:val="26"/>
        </w:rPr>
        <w:t xml:space="preserve"> respectivamente </w:t>
      </w:r>
      <w:r w:rsidR="00F2644C" w:rsidRPr="00BF6C02">
        <w:rPr>
          <w:rFonts w:ascii="Arial" w:eastAsia="Calibri" w:hAnsi="Arial" w:cs="Arial"/>
          <w:sz w:val="26"/>
          <w:szCs w:val="26"/>
        </w:rPr>
        <w:t>y como autoridad</w:t>
      </w:r>
      <w:r w:rsidR="000C4EDB" w:rsidRPr="00BF6C02">
        <w:rPr>
          <w:rFonts w:ascii="Arial" w:eastAsia="Calibri" w:hAnsi="Arial" w:cs="Arial"/>
          <w:sz w:val="26"/>
          <w:szCs w:val="26"/>
        </w:rPr>
        <w:t>es</w:t>
      </w:r>
      <w:r w:rsidR="00F2644C" w:rsidRPr="00BF6C02">
        <w:rPr>
          <w:rFonts w:ascii="Arial" w:eastAsia="Calibri" w:hAnsi="Arial" w:cs="Arial"/>
          <w:sz w:val="26"/>
          <w:szCs w:val="26"/>
        </w:rPr>
        <w:t xml:space="preserve"> demandada</w:t>
      </w:r>
      <w:r w:rsidR="000C4EDB" w:rsidRPr="00BF6C02">
        <w:rPr>
          <w:rFonts w:ascii="Arial" w:eastAsia="Calibri" w:hAnsi="Arial" w:cs="Arial"/>
          <w:sz w:val="26"/>
          <w:szCs w:val="26"/>
        </w:rPr>
        <w:t>s</w:t>
      </w:r>
      <w:r w:rsidR="00F2644C" w:rsidRPr="00BF6C02">
        <w:rPr>
          <w:rFonts w:ascii="Arial" w:eastAsia="Calibri" w:hAnsi="Arial" w:cs="Arial"/>
          <w:sz w:val="26"/>
          <w:szCs w:val="26"/>
        </w:rPr>
        <w:t xml:space="preserve">, </w:t>
      </w:r>
      <w:r w:rsidRPr="00BF6C02">
        <w:rPr>
          <w:rFonts w:ascii="Arial" w:eastAsia="Calibri" w:hAnsi="Arial" w:cs="Arial"/>
          <w:sz w:val="26"/>
          <w:szCs w:val="26"/>
        </w:rPr>
        <w:t>interpone</w:t>
      </w:r>
      <w:r w:rsidR="000C4EDB" w:rsidRPr="00BF6C02">
        <w:rPr>
          <w:rFonts w:ascii="Arial" w:eastAsia="Calibri" w:hAnsi="Arial" w:cs="Arial"/>
          <w:sz w:val="26"/>
          <w:szCs w:val="26"/>
        </w:rPr>
        <w:t>n</w:t>
      </w:r>
      <w:r w:rsidRPr="00BF6C02">
        <w:rPr>
          <w:rFonts w:ascii="Arial" w:eastAsia="Calibri" w:hAnsi="Arial" w:cs="Arial"/>
          <w:sz w:val="26"/>
          <w:szCs w:val="26"/>
        </w:rPr>
        <w:t xml:space="preserve"> en su contra recurso de revisión. </w:t>
      </w:r>
    </w:p>
    <w:p w:rsidR="00D50CC8" w:rsidRPr="00BF6C02" w:rsidRDefault="00D50CC8" w:rsidP="00D50CC8">
      <w:pPr>
        <w:spacing w:line="360" w:lineRule="auto"/>
        <w:ind w:firstLine="709"/>
        <w:jc w:val="both"/>
        <w:rPr>
          <w:rFonts w:ascii="Arial" w:eastAsia="Calibri" w:hAnsi="Arial" w:cs="Arial"/>
          <w:sz w:val="26"/>
          <w:szCs w:val="26"/>
        </w:rPr>
      </w:pPr>
    </w:p>
    <w:p w:rsidR="00D50CC8" w:rsidRPr="00BF6C02" w:rsidRDefault="00D50CC8" w:rsidP="005F7651">
      <w:pPr>
        <w:spacing w:line="360" w:lineRule="auto"/>
        <w:ind w:firstLine="708"/>
        <w:jc w:val="both"/>
        <w:rPr>
          <w:rFonts w:ascii="Arial" w:eastAsia="Calibri" w:hAnsi="Arial" w:cs="Arial"/>
          <w:bCs/>
          <w:sz w:val="26"/>
          <w:szCs w:val="26"/>
        </w:rPr>
      </w:pPr>
      <w:r w:rsidRPr="00BF6C02">
        <w:rPr>
          <w:rFonts w:ascii="Arial" w:eastAsia="Calibri" w:hAnsi="Arial" w:cs="Arial"/>
          <w:b/>
          <w:bCs/>
          <w:sz w:val="26"/>
          <w:szCs w:val="26"/>
        </w:rPr>
        <w:t xml:space="preserve">SEGUNDO. </w:t>
      </w:r>
      <w:r w:rsidR="00F2644C" w:rsidRPr="00BF6C02">
        <w:rPr>
          <w:rFonts w:ascii="Arial" w:eastAsia="Calibri" w:hAnsi="Arial" w:cs="Arial"/>
          <w:bCs/>
          <w:sz w:val="26"/>
          <w:szCs w:val="26"/>
        </w:rPr>
        <w:t>Los puntos resolutivos son como siguen:</w:t>
      </w:r>
    </w:p>
    <w:p w:rsidR="00DF52D8" w:rsidRDefault="00D50CC8" w:rsidP="00DF52D8">
      <w:pPr>
        <w:spacing w:line="360" w:lineRule="auto"/>
        <w:ind w:left="851" w:right="616"/>
        <w:jc w:val="both"/>
        <w:rPr>
          <w:rFonts w:ascii="Arial" w:eastAsia="Calibri" w:hAnsi="Arial" w:cs="Arial"/>
          <w:bCs/>
          <w:i/>
        </w:rPr>
      </w:pPr>
      <w:r w:rsidRPr="00F639DF">
        <w:rPr>
          <w:rFonts w:ascii="Arial" w:eastAsia="Calibri" w:hAnsi="Arial" w:cs="Arial"/>
          <w:bCs/>
          <w:i/>
        </w:rPr>
        <w:t>“…</w:t>
      </w:r>
    </w:p>
    <w:p w:rsidR="00F2644C" w:rsidRDefault="00F2644C" w:rsidP="00DF52D8">
      <w:pPr>
        <w:spacing w:line="360" w:lineRule="auto"/>
        <w:ind w:left="851" w:right="616"/>
        <w:jc w:val="both"/>
        <w:rPr>
          <w:rFonts w:ascii="Arial" w:eastAsia="Calibri" w:hAnsi="Arial" w:cs="Arial"/>
          <w:bCs/>
          <w:i/>
        </w:rPr>
      </w:pPr>
      <w:r>
        <w:rPr>
          <w:rFonts w:ascii="Arial" w:eastAsia="Calibri" w:hAnsi="Arial" w:cs="Arial"/>
          <w:b/>
          <w:bCs/>
          <w:i/>
        </w:rPr>
        <w:t xml:space="preserve">PRIMERO.- </w:t>
      </w:r>
      <w:r>
        <w:rPr>
          <w:rFonts w:ascii="Arial" w:eastAsia="Calibri" w:hAnsi="Arial" w:cs="Arial"/>
          <w:bCs/>
          <w:i/>
        </w:rPr>
        <w:t xml:space="preserve">Esta Séptima Sala de Primera Instancia del Tribunal de lo Contencioso Administrativo y de Cuentas del Poder Judicial del Estado, es legalmente competente para conocer y resolver del presente Juicio de Nulidad.  - - - - - - - - - - - - - - - - - - - - - - - - - - - - - - </w:t>
      </w:r>
    </w:p>
    <w:p w:rsidR="00F2644C" w:rsidRDefault="00F2644C" w:rsidP="00DF52D8">
      <w:pPr>
        <w:spacing w:line="360" w:lineRule="auto"/>
        <w:ind w:left="851" w:right="616"/>
        <w:jc w:val="both"/>
        <w:rPr>
          <w:rFonts w:ascii="Arial" w:eastAsia="Calibri" w:hAnsi="Arial" w:cs="Arial"/>
          <w:bCs/>
          <w:i/>
        </w:rPr>
      </w:pPr>
      <w:r>
        <w:rPr>
          <w:rFonts w:ascii="Arial" w:eastAsia="Calibri" w:hAnsi="Arial" w:cs="Arial"/>
          <w:b/>
          <w:bCs/>
          <w:i/>
        </w:rPr>
        <w:t xml:space="preserve">SEGUNDO.- </w:t>
      </w:r>
      <w:r>
        <w:rPr>
          <w:rFonts w:ascii="Arial" w:eastAsia="Calibri" w:hAnsi="Arial" w:cs="Arial"/>
          <w:bCs/>
          <w:i/>
        </w:rPr>
        <w:t xml:space="preserve">No se actualizaron alguna causal de improcedencia, por lo que NO SE SOBRESEE EL JUICIO, lo anterior en términos del considerando QUINTO. - - - - - - - - - - - - - - - - - - - - - - - - - - - - - - - - - </w:t>
      </w:r>
    </w:p>
    <w:p w:rsidR="00F2644C" w:rsidRDefault="00F2644C" w:rsidP="00ED5294">
      <w:pPr>
        <w:spacing w:line="360" w:lineRule="auto"/>
        <w:ind w:left="851" w:right="616"/>
        <w:jc w:val="both"/>
        <w:rPr>
          <w:rFonts w:ascii="Arial" w:eastAsia="Calibri" w:hAnsi="Arial" w:cs="Arial"/>
          <w:bCs/>
          <w:i/>
        </w:rPr>
      </w:pPr>
      <w:r>
        <w:rPr>
          <w:rFonts w:ascii="Arial" w:eastAsia="Calibri" w:hAnsi="Arial" w:cs="Arial"/>
          <w:b/>
          <w:bCs/>
          <w:i/>
        </w:rPr>
        <w:t xml:space="preserve">TERCERO.- </w:t>
      </w:r>
      <w:r>
        <w:rPr>
          <w:rFonts w:ascii="Arial" w:eastAsia="Calibri" w:hAnsi="Arial" w:cs="Arial"/>
          <w:bCs/>
          <w:i/>
        </w:rPr>
        <w:t xml:space="preserve">Se declara la NULIDAD LISA Y LLANA (sic) resolución dictada por el Juez Calificador en Turno del Municipio de Santa Lucía del Camino Oaxaca, así como de las actuaciones derivadas </w:t>
      </w:r>
      <w:r w:rsidR="00ED5294">
        <w:rPr>
          <w:rFonts w:ascii="Arial" w:eastAsia="Calibri" w:hAnsi="Arial" w:cs="Arial"/>
          <w:bCs/>
          <w:i/>
        </w:rPr>
        <w:t xml:space="preserve">de dicha detención, como son el pago de la multa impuesta, y de la expedición del certificado médico que erogó el hoy actor, en consecuencia, se ordena a la autoridad demandada, la devolución al actor C. </w:t>
      </w:r>
      <w:r w:rsidR="004A7AAC">
        <w:rPr>
          <w:rFonts w:ascii="Arial" w:eastAsia="Calibri" w:hAnsi="Arial" w:cs="Arial"/>
          <w:bCs/>
          <w:i/>
        </w:rPr>
        <w:t>**********</w:t>
      </w:r>
      <w:r w:rsidR="00ED5294">
        <w:rPr>
          <w:rFonts w:ascii="Arial" w:eastAsia="Calibri" w:hAnsi="Arial" w:cs="Arial"/>
          <w:bCs/>
          <w:i/>
        </w:rPr>
        <w:t>, de las cantidades consistentes en $</w:t>
      </w:r>
      <w:r w:rsidR="004A7AAC">
        <w:rPr>
          <w:rFonts w:ascii="Arial" w:eastAsia="Calibri" w:hAnsi="Arial" w:cs="Arial"/>
          <w:bCs/>
          <w:i/>
        </w:rPr>
        <w:t>**********</w:t>
      </w:r>
      <w:r w:rsidR="00ED5294">
        <w:rPr>
          <w:rFonts w:ascii="Arial" w:eastAsia="Calibri" w:hAnsi="Arial" w:cs="Arial"/>
          <w:bCs/>
          <w:i/>
        </w:rPr>
        <w:t xml:space="preserve"> (</w:t>
      </w:r>
      <w:r w:rsidR="004A7AAC">
        <w:rPr>
          <w:rFonts w:ascii="Arial" w:eastAsia="Calibri" w:hAnsi="Arial" w:cs="Arial"/>
          <w:bCs/>
          <w:i/>
        </w:rPr>
        <w:t>**********</w:t>
      </w:r>
      <w:r w:rsidR="00ED5294">
        <w:rPr>
          <w:rFonts w:ascii="Arial" w:eastAsia="Calibri" w:hAnsi="Arial" w:cs="Arial"/>
          <w:bCs/>
          <w:i/>
        </w:rPr>
        <w:t xml:space="preserve"> PESOS 00/100 M.N.) y $</w:t>
      </w:r>
      <w:r w:rsidR="004A7AAC">
        <w:rPr>
          <w:rFonts w:ascii="Arial" w:eastAsia="Calibri" w:hAnsi="Arial" w:cs="Arial"/>
          <w:bCs/>
          <w:i/>
        </w:rPr>
        <w:t>**********</w:t>
      </w:r>
      <w:r w:rsidR="00ED5294">
        <w:rPr>
          <w:rFonts w:ascii="Arial" w:eastAsia="Calibri" w:hAnsi="Arial" w:cs="Arial"/>
          <w:bCs/>
          <w:i/>
        </w:rPr>
        <w:t xml:space="preserve"> (</w:t>
      </w:r>
      <w:r w:rsidR="004A7AAC">
        <w:rPr>
          <w:rFonts w:ascii="Arial" w:eastAsia="Calibri" w:hAnsi="Arial" w:cs="Arial"/>
          <w:bCs/>
          <w:i/>
        </w:rPr>
        <w:t>**********</w:t>
      </w:r>
      <w:r w:rsidR="00ED5294">
        <w:rPr>
          <w:rFonts w:ascii="Arial" w:eastAsia="Calibri" w:hAnsi="Arial" w:cs="Arial"/>
          <w:bCs/>
          <w:i/>
        </w:rPr>
        <w:t xml:space="preserve"> PESOS 00/100 M.N.), lo anterior de conformidad con el considerando SEXTO de esta resolución. - - - - - - - - - - - - - - - - - - </w:t>
      </w:r>
    </w:p>
    <w:p w:rsidR="00D50CC8" w:rsidRPr="005F7651" w:rsidRDefault="00B826A0" w:rsidP="005F7651">
      <w:pPr>
        <w:spacing w:line="360" w:lineRule="auto"/>
        <w:ind w:left="851" w:right="616"/>
        <w:jc w:val="both"/>
        <w:rPr>
          <w:rFonts w:ascii="Arial" w:eastAsia="Calibri" w:hAnsi="Arial" w:cs="Arial"/>
          <w:bCs/>
          <w:i/>
        </w:rPr>
      </w:pPr>
      <w:r>
        <w:rPr>
          <w:rFonts w:ascii="Times New Roman" w:hAnsi="Times New Roman" w:cs="Times New Roman"/>
          <w:noProof/>
          <w:sz w:val="24"/>
          <w:szCs w:val="24"/>
          <w:lang w:eastAsia="es-MX"/>
        </w:rPr>
        <mc:AlternateContent>
          <mc:Choice Requires="wps">
            <w:drawing>
              <wp:anchor distT="0" distB="0" distL="114300" distR="114300" simplePos="0" relativeHeight="251659264" behindDoc="0" locked="0" layoutInCell="1" allowOverlap="1" wp14:anchorId="5E0713BC" wp14:editId="508CF9DF">
                <wp:simplePos x="0" y="0"/>
                <wp:positionH relativeFrom="column">
                  <wp:posOffset>5561965</wp:posOffset>
                </wp:positionH>
                <wp:positionV relativeFrom="paragraph">
                  <wp:posOffset>489585</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B826A0" w:rsidRDefault="00B826A0" w:rsidP="00B826A0">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37.95pt;margin-top:38.5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">
                <v:textbox>
                  <w:txbxContent>
                    <w:p w:rsidR="00B826A0" w:rsidRDefault="00B826A0" w:rsidP="00B826A0">
                      <w:pPr>
                        <w:rPr>
                          <w:sz w:val="16"/>
                          <w:szCs w:val="16"/>
                        </w:rPr>
                      </w:pPr>
                      <w:r>
                        <w:rPr>
                          <w:sz w:val="16"/>
                          <w:szCs w:val="16"/>
                        </w:rPr>
                        <w:t>Datos personales protegidos por el Art. 116 de la LGTAIP y el Art. 56 de la LTAIPEO</w:t>
                      </w:r>
                    </w:p>
                  </w:txbxContent>
                </v:textbox>
              </v:shape>
            </w:pict>
          </mc:Fallback>
        </mc:AlternateContent>
      </w:r>
      <w:r w:rsidR="00ED5294">
        <w:rPr>
          <w:rFonts w:ascii="Arial" w:eastAsia="Calibri" w:hAnsi="Arial" w:cs="Arial"/>
          <w:b/>
          <w:bCs/>
          <w:i/>
        </w:rPr>
        <w:t xml:space="preserve">CUARTO.- </w:t>
      </w:r>
      <w:r w:rsidR="00ED5294">
        <w:rPr>
          <w:rFonts w:ascii="Arial" w:eastAsia="Calibri" w:hAnsi="Arial" w:cs="Arial"/>
          <w:bCs/>
          <w:i/>
        </w:rPr>
        <w:t xml:space="preserve">Conforme a lo dispuesto en el artículo 142 fracción I y 143 fracciones I y II, de la Ley de Justicia Administrativa para el Estado, </w:t>
      </w:r>
      <w:r w:rsidR="00ED5294">
        <w:rPr>
          <w:rFonts w:ascii="Arial" w:eastAsia="Calibri" w:hAnsi="Arial" w:cs="Arial"/>
          <w:b/>
          <w:bCs/>
          <w:i/>
        </w:rPr>
        <w:t>NOTIFÍQUESE PERSONALMENTE A LA PARTE ACTORA Y POR OFICIO A LAS AUTORIDADES DEMANDADAS.CÚMPLASE.</w:t>
      </w:r>
      <w:r w:rsidR="00126D84">
        <w:rPr>
          <w:rFonts w:ascii="Arial" w:eastAsia="Calibri" w:hAnsi="Arial" w:cs="Arial"/>
          <w:bCs/>
          <w:i/>
        </w:rPr>
        <w:t>…”</w:t>
      </w:r>
    </w:p>
    <w:p w:rsidR="00D50CC8" w:rsidRPr="00820495" w:rsidRDefault="00D50CC8" w:rsidP="00D50CC8">
      <w:pPr>
        <w:spacing w:line="360" w:lineRule="auto"/>
        <w:ind w:left="851" w:right="616"/>
        <w:jc w:val="both"/>
        <w:rPr>
          <w:rFonts w:ascii="Arial" w:eastAsia="Calibri" w:hAnsi="Arial" w:cs="Arial"/>
          <w:bCs/>
          <w:i/>
          <w:sz w:val="24"/>
          <w:szCs w:val="24"/>
        </w:rPr>
      </w:pPr>
    </w:p>
    <w:p w:rsidR="00D50CC8" w:rsidRPr="002246A5" w:rsidRDefault="00D50CC8" w:rsidP="005F7651">
      <w:pPr>
        <w:widowControl w:val="0"/>
        <w:tabs>
          <w:tab w:val="left" w:pos="2835"/>
          <w:tab w:val="left" w:pos="7938"/>
        </w:tabs>
        <w:spacing w:line="360" w:lineRule="auto"/>
        <w:ind w:right="17"/>
        <w:jc w:val="center"/>
        <w:rPr>
          <w:rFonts w:ascii="Arial" w:eastAsia="Times New Roman" w:hAnsi="Arial" w:cs="Arial"/>
          <w:b/>
          <w:bCs/>
          <w:sz w:val="26"/>
          <w:szCs w:val="26"/>
          <w:lang w:eastAsia="es-ES"/>
        </w:rPr>
      </w:pPr>
      <w:r w:rsidRPr="002246A5">
        <w:rPr>
          <w:rFonts w:ascii="Arial" w:eastAsia="Times New Roman" w:hAnsi="Arial" w:cs="Arial"/>
          <w:b/>
          <w:bCs/>
          <w:sz w:val="26"/>
          <w:szCs w:val="26"/>
          <w:lang w:eastAsia="es-ES"/>
        </w:rPr>
        <w:t>C O N S I D E R A N D O</w:t>
      </w:r>
    </w:p>
    <w:p w:rsidR="002A28BA" w:rsidRPr="00195BF9" w:rsidRDefault="005F7651" w:rsidP="00ED5294">
      <w:pPr>
        <w:widowControl w:val="0"/>
        <w:tabs>
          <w:tab w:val="left" w:pos="7938"/>
        </w:tabs>
        <w:spacing w:before="240" w:line="360" w:lineRule="auto"/>
        <w:ind w:right="18" w:firstLine="709"/>
        <w:jc w:val="both"/>
        <w:rPr>
          <w:rFonts w:ascii="Arial" w:hAnsi="Arial" w:cs="Arial"/>
          <w:sz w:val="24"/>
          <w:szCs w:val="24"/>
          <w:lang w:eastAsia="es-ES"/>
        </w:rPr>
      </w:pPr>
      <w:r w:rsidRPr="002D0B1A">
        <w:rPr>
          <w:rFonts w:ascii="Arial" w:hAnsi="Arial" w:cs="Arial"/>
          <w:b/>
          <w:bCs/>
          <w:iCs/>
          <w:sz w:val="26"/>
          <w:szCs w:val="26"/>
        </w:rPr>
        <w:t xml:space="preserve">PRIMERO. </w:t>
      </w:r>
      <w:r w:rsidRPr="002D0B1A">
        <w:rPr>
          <w:rFonts w:ascii="Arial" w:hAnsi="Arial" w:cs="Arial"/>
          <w:bCs/>
          <w:iCs/>
          <w:sz w:val="26"/>
          <w:szCs w:val="26"/>
        </w:rPr>
        <w:t xml:space="preserve">Esta Sala Superior es competente para conocer del presente asunto, </w:t>
      </w:r>
      <w:r w:rsidRPr="002D0B1A">
        <w:rPr>
          <w:rFonts w:ascii="Arial" w:hAnsi="Arial" w:cs="Arial"/>
          <w:bCs/>
          <w:iCs/>
          <w:sz w:val="26"/>
          <w:szCs w:val="26"/>
          <w:lang w:eastAsia="es-ES"/>
        </w:rPr>
        <w:t>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w:t>
      </w:r>
      <w:r w:rsidRPr="002D0B1A">
        <w:rPr>
          <w:rFonts w:ascii="Arial" w:hAnsi="Arial" w:cs="Arial"/>
          <w:bCs/>
          <w:iCs/>
          <w:sz w:val="26"/>
          <w:szCs w:val="26"/>
        </w:rPr>
        <w:t xml:space="preserve"> así como los diversos 86, 88, 92, 93, fracción I, 94, 201, 206 y 208, de la Ley de Justicia Administrativa para el Estado de Oaxaca, vigente hasta el  veinte de octubre de dos mil diecisiete, </w:t>
      </w:r>
      <w:r w:rsidR="002A28BA" w:rsidRPr="00195BF9">
        <w:rPr>
          <w:rFonts w:ascii="Arial" w:hAnsi="Arial" w:cs="Arial"/>
          <w:bCs/>
          <w:iCs/>
          <w:sz w:val="24"/>
          <w:szCs w:val="24"/>
          <w:lang w:eastAsia="es-ES"/>
        </w:rPr>
        <w:t xml:space="preserve">dado </w:t>
      </w:r>
      <w:r w:rsidR="002A28BA" w:rsidRPr="00195BF9">
        <w:rPr>
          <w:rFonts w:ascii="Arial" w:hAnsi="Arial" w:cs="Arial"/>
          <w:bCs/>
          <w:iCs/>
          <w:sz w:val="24"/>
          <w:szCs w:val="24"/>
          <w:lang w:eastAsia="es-ES"/>
        </w:rPr>
        <w:lastRenderedPageBreak/>
        <w:t xml:space="preserve">que se trata de un Recurso de Revisión interpuesto en contra </w:t>
      </w:r>
      <w:r w:rsidR="00ED5294">
        <w:rPr>
          <w:rFonts w:ascii="Arial" w:hAnsi="Arial" w:cs="Arial"/>
          <w:bCs/>
          <w:iCs/>
          <w:sz w:val="24"/>
          <w:szCs w:val="24"/>
          <w:lang w:eastAsia="es-ES"/>
        </w:rPr>
        <w:t>de la sentencia de veintiuno de junio de dos mil diecisiete dictada por la</w:t>
      </w:r>
      <w:r w:rsidR="002A28BA">
        <w:rPr>
          <w:rFonts w:ascii="Arial" w:hAnsi="Arial" w:cs="Arial"/>
          <w:bCs/>
          <w:iCs/>
          <w:sz w:val="24"/>
          <w:szCs w:val="24"/>
          <w:lang w:eastAsia="es-ES"/>
        </w:rPr>
        <w:t xml:space="preserve"> </w:t>
      </w:r>
      <w:r w:rsidR="00126D84">
        <w:rPr>
          <w:rFonts w:ascii="Arial" w:hAnsi="Arial" w:cs="Arial"/>
          <w:bCs/>
          <w:iCs/>
          <w:sz w:val="24"/>
          <w:szCs w:val="24"/>
          <w:lang w:eastAsia="es-ES"/>
        </w:rPr>
        <w:t>Séptima</w:t>
      </w:r>
      <w:r w:rsidR="002A28BA">
        <w:rPr>
          <w:rFonts w:ascii="Arial" w:hAnsi="Arial" w:cs="Arial"/>
          <w:bCs/>
          <w:iCs/>
          <w:sz w:val="24"/>
          <w:szCs w:val="24"/>
          <w:lang w:eastAsia="es-ES"/>
        </w:rPr>
        <w:t xml:space="preserve"> Sala Unitaria de Primera Instancia en el expediente </w:t>
      </w:r>
      <w:r w:rsidR="002A28BA">
        <w:rPr>
          <w:rFonts w:ascii="Arial" w:hAnsi="Arial" w:cs="Arial"/>
          <w:b/>
          <w:bCs/>
          <w:iCs/>
          <w:sz w:val="24"/>
          <w:szCs w:val="24"/>
          <w:lang w:eastAsia="es-ES"/>
        </w:rPr>
        <w:t>0</w:t>
      </w:r>
      <w:r w:rsidR="00ED5294">
        <w:rPr>
          <w:rFonts w:ascii="Arial" w:hAnsi="Arial" w:cs="Arial"/>
          <w:b/>
          <w:bCs/>
          <w:iCs/>
          <w:sz w:val="24"/>
          <w:szCs w:val="24"/>
          <w:lang w:eastAsia="es-ES"/>
        </w:rPr>
        <w:t>427/2016</w:t>
      </w:r>
      <w:r w:rsidR="002A28BA">
        <w:rPr>
          <w:rFonts w:ascii="Arial" w:hAnsi="Arial" w:cs="Arial"/>
          <w:b/>
          <w:bCs/>
          <w:iCs/>
          <w:sz w:val="24"/>
          <w:szCs w:val="24"/>
          <w:lang w:eastAsia="es-ES"/>
        </w:rPr>
        <w:t>.</w:t>
      </w:r>
    </w:p>
    <w:p w:rsidR="00D50CC8" w:rsidRDefault="00D50CC8" w:rsidP="00D50CC8">
      <w:pPr>
        <w:widowControl w:val="0"/>
        <w:tabs>
          <w:tab w:val="left" w:pos="7938"/>
        </w:tabs>
        <w:spacing w:line="360" w:lineRule="auto"/>
        <w:ind w:right="18"/>
        <w:jc w:val="both"/>
        <w:rPr>
          <w:rFonts w:ascii="Arial" w:hAnsi="Arial" w:cs="Arial"/>
          <w:sz w:val="24"/>
          <w:szCs w:val="24"/>
          <w:lang w:eastAsia="es-ES"/>
        </w:rPr>
      </w:pPr>
    </w:p>
    <w:p w:rsidR="00D50CC8" w:rsidRPr="002246A5" w:rsidRDefault="005F7651" w:rsidP="00D50CC8">
      <w:pPr>
        <w:widowControl w:val="0"/>
        <w:tabs>
          <w:tab w:val="left" w:pos="7938"/>
        </w:tabs>
        <w:spacing w:line="360" w:lineRule="auto"/>
        <w:ind w:right="18"/>
        <w:jc w:val="both"/>
        <w:rPr>
          <w:rFonts w:ascii="Arial" w:hAnsi="Arial" w:cs="Arial"/>
          <w:sz w:val="26"/>
          <w:szCs w:val="26"/>
        </w:rPr>
      </w:pPr>
      <w:r>
        <w:rPr>
          <w:rFonts w:ascii="Arial" w:hAnsi="Arial" w:cs="Arial"/>
          <w:b/>
          <w:bCs/>
          <w:sz w:val="24"/>
          <w:szCs w:val="24"/>
        </w:rPr>
        <w:t xml:space="preserve">              </w:t>
      </w:r>
      <w:r w:rsidR="00D50CC8" w:rsidRPr="002246A5">
        <w:rPr>
          <w:rFonts w:ascii="Arial" w:hAnsi="Arial" w:cs="Arial"/>
          <w:b/>
          <w:bCs/>
          <w:sz w:val="26"/>
          <w:szCs w:val="26"/>
        </w:rPr>
        <w:t>SEGUNDO.</w:t>
      </w:r>
      <w:r w:rsidR="00D50CC8" w:rsidRPr="002246A5">
        <w:rPr>
          <w:rFonts w:ascii="Arial" w:hAnsi="Arial" w:cs="Arial"/>
          <w:bCs/>
          <w:sz w:val="26"/>
          <w:szCs w:val="26"/>
        </w:rPr>
        <w:t xml:space="preserve"> Los agravios hechos valer se encuentran expuestos en el escrito respectivo del recurrente, por lo que no existe necesidad de transcribirlos, al no transgredírsele derecho alguno, como tampoco se vulnera disposición expresa que imponga tal obligación</w:t>
      </w:r>
      <w:r w:rsidR="00D50CC8" w:rsidRPr="002246A5">
        <w:rPr>
          <w:rFonts w:ascii="Arial" w:hAnsi="Arial" w:cs="Arial"/>
          <w:sz w:val="26"/>
          <w:szCs w:val="26"/>
        </w:rPr>
        <w:t>.</w:t>
      </w:r>
    </w:p>
    <w:p w:rsidR="00D50CC8" w:rsidRPr="002246A5" w:rsidRDefault="00D50CC8" w:rsidP="00D50CC8">
      <w:pPr>
        <w:widowControl w:val="0"/>
        <w:tabs>
          <w:tab w:val="left" w:pos="7938"/>
        </w:tabs>
        <w:spacing w:line="360" w:lineRule="auto"/>
        <w:ind w:right="18"/>
        <w:jc w:val="both"/>
        <w:rPr>
          <w:rFonts w:ascii="Arial" w:hAnsi="Arial" w:cs="Arial"/>
          <w:bCs/>
          <w:sz w:val="26"/>
          <w:szCs w:val="26"/>
        </w:rPr>
      </w:pPr>
    </w:p>
    <w:p w:rsidR="000C4EDB" w:rsidRPr="002246A5" w:rsidRDefault="00D50CC8" w:rsidP="00ED5294">
      <w:pPr>
        <w:spacing w:line="360" w:lineRule="auto"/>
        <w:ind w:firstLine="709"/>
        <w:jc w:val="both"/>
        <w:rPr>
          <w:rFonts w:ascii="Arial" w:hAnsi="Arial" w:cs="Arial"/>
          <w:b/>
          <w:bCs/>
          <w:color w:val="000000"/>
          <w:sz w:val="26"/>
          <w:szCs w:val="26"/>
        </w:rPr>
      </w:pPr>
      <w:r w:rsidRPr="002246A5">
        <w:rPr>
          <w:rFonts w:ascii="Arial" w:hAnsi="Arial" w:cs="Arial"/>
          <w:b/>
          <w:bCs/>
          <w:color w:val="000000"/>
          <w:sz w:val="26"/>
          <w:szCs w:val="26"/>
        </w:rPr>
        <w:t xml:space="preserve">TERCERO. </w:t>
      </w:r>
      <w:r w:rsidR="000C4EDB" w:rsidRPr="002246A5">
        <w:rPr>
          <w:rFonts w:ascii="Arial" w:hAnsi="Arial" w:cs="Arial"/>
          <w:bCs/>
          <w:color w:val="000000"/>
          <w:sz w:val="26"/>
          <w:szCs w:val="26"/>
        </w:rPr>
        <w:t>Previo al dictado de la presente resolución, se acota, que si bien fueron recibidos dos escritos de inconformidades por cuerda separada, esta Superioridad advierte que los agravios expresados por los disconformes lo están en idénticos términos, en consecuencia, por economía procesal se procede a su estudio en esta misma resolución como sigue.</w:t>
      </w:r>
    </w:p>
    <w:p w:rsidR="000C4EDB" w:rsidRPr="002246A5" w:rsidRDefault="000C4EDB" w:rsidP="00ED5294">
      <w:pPr>
        <w:spacing w:line="360" w:lineRule="auto"/>
        <w:ind w:firstLine="709"/>
        <w:jc w:val="both"/>
        <w:rPr>
          <w:rFonts w:ascii="Arial" w:hAnsi="Arial" w:cs="Arial"/>
          <w:b/>
          <w:bCs/>
          <w:color w:val="000000"/>
          <w:sz w:val="26"/>
          <w:szCs w:val="26"/>
        </w:rPr>
      </w:pPr>
    </w:p>
    <w:p w:rsidR="000C4EDB" w:rsidRPr="002246A5" w:rsidRDefault="00ED5294" w:rsidP="00ED5294">
      <w:pPr>
        <w:spacing w:line="360" w:lineRule="auto"/>
        <w:ind w:firstLine="709"/>
        <w:jc w:val="both"/>
        <w:rPr>
          <w:rFonts w:ascii="Arial" w:hAnsi="Arial" w:cs="Arial"/>
          <w:bCs/>
          <w:color w:val="000000"/>
          <w:sz w:val="26"/>
          <w:szCs w:val="26"/>
        </w:rPr>
      </w:pPr>
      <w:r w:rsidRPr="002246A5">
        <w:rPr>
          <w:rFonts w:ascii="Arial" w:hAnsi="Arial" w:cs="Arial"/>
          <w:bCs/>
          <w:color w:val="000000"/>
          <w:sz w:val="26"/>
          <w:szCs w:val="26"/>
        </w:rPr>
        <w:t>Manifiesta</w:t>
      </w:r>
      <w:r w:rsidR="000C4EDB" w:rsidRPr="002246A5">
        <w:rPr>
          <w:rFonts w:ascii="Arial" w:hAnsi="Arial" w:cs="Arial"/>
          <w:bCs/>
          <w:color w:val="000000"/>
          <w:sz w:val="26"/>
          <w:szCs w:val="26"/>
        </w:rPr>
        <w:t>n</w:t>
      </w:r>
      <w:r w:rsidRPr="002246A5">
        <w:rPr>
          <w:rFonts w:ascii="Arial" w:hAnsi="Arial" w:cs="Arial"/>
          <w:bCs/>
          <w:color w:val="000000"/>
          <w:sz w:val="26"/>
          <w:szCs w:val="26"/>
        </w:rPr>
        <w:t xml:space="preserve"> l</w:t>
      </w:r>
      <w:r w:rsidR="000C4EDB" w:rsidRPr="002246A5">
        <w:rPr>
          <w:rFonts w:ascii="Arial" w:hAnsi="Arial" w:cs="Arial"/>
          <w:bCs/>
          <w:color w:val="000000"/>
          <w:sz w:val="26"/>
          <w:szCs w:val="26"/>
        </w:rPr>
        <w:t>os</w:t>
      </w:r>
      <w:r w:rsidRPr="002246A5">
        <w:rPr>
          <w:rFonts w:ascii="Arial" w:hAnsi="Arial" w:cs="Arial"/>
          <w:bCs/>
          <w:color w:val="000000"/>
          <w:sz w:val="26"/>
          <w:szCs w:val="26"/>
        </w:rPr>
        <w:t xml:space="preserve"> disconforme</w:t>
      </w:r>
      <w:r w:rsidR="000C4EDB" w:rsidRPr="002246A5">
        <w:rPr>
          <w:rFonts w:ascii="Arial" w:hAnsi="Arial" w:cs="Arial"/>
          <w:bCs/>
          <w:color w:val="000000"/>
          <w:sz w:val="26"/>
          <w:szCs w:val="26"/>
        </w:rPr>
        <w:t>s</w:t>
      </w:r>
      <w:r w:rsidRPr="002246A5">
        <w:rPr>
          <w:rFonts w:ascii="Arial" w:hAnsi="Arial" w:cs="Arial"/>
          <w:bCs/>
          <w:color w:val="000000"/>
          <w:sz w:val="26"/>
          <w:szCs w:val="26"/>
        </w:rPr>
        <w:t xml:space="preserve"> que la sentencia sujeta a revi</w:t>
      </w:r>
      <w:r w:rsidR="000C4EDB" w:rsidRPr="002246A5">
        <w:rPr>
          <w:rFonts w:ascii="Arial" w:hAnsi="Arial" w:cs="Arial"/>
          <w:bCs/>
          <w:color w:val="000000"/>
          <w:sz w:val="26"/>
          <w:szCs w:val="26"/>
        </w:rPr>
        <w:t>sión le agravia porque estiman</w:t>
      </w:r>
      <w:r w:rsidRPr="002246A5">
        <w:rPr>
          <w:rFonts w:ascii="Arial" w:hAnsi="Arial" w:cs="Arial"/>
          <w:bCs/>
          <w:color w:val="000000"/>
          <w:sz w:val="26"/>
          <w:szCs w:val="26"/>
        </w:rPr>
        <w:t xml:space="preserve"> infundada la consideración de la primera instancia, ya que asegura</w:t>
      </w:r>
      <w:r w:rsidR="000C4EDB" w:rsidRPr="002246A5">
        <w:rPr>
          <w:rFonts w:ascii="Arial" w:hAnsi="Arial" w:cs="Arial"/>
          <w:bCs/>
          <w:color w:val="000000"/>
          <w:sz w:val="26"/>
          <w:szCs w:val="26"/>
        </w:rPr>
        <w:t>n</w:t>
      </w:r>
      <w:r w:rsidRPr="002246A5">
        <w:rPr>
          <w:rFonts w:ascii="Arial" w:hAnsi="Arial" w:cs="Arial"/>
          <w:bCs/>
          <w:color w:val="000000"/>
          <w:sz w:val="26"/>
          <w:szCs w:val="26"/>
        </w:rPr>
        <w:t xml:space="preserve"> que el acto administrativo consistente en la detención de 21 veintiuno de febrero de 2016 dos mil dieciséis se encuentra debidamente fundada y motivada, ya que por disposición expresa se multará a las personas que ingieran bebidas alcohólicas en la vía pública, esto en términos del artículo 137 fracción V de la Ley de Ingresos Municipal para el Ejercicio Fiscal 2017 dos mil diecisiete (lo transcribe). Agregando, que el acto administrativo combatido cumple con los requisitos establecidos en el artículo 7 de la Ley de Justicia Administrativa para el Estado de Oaxaca, por lo que afirma</w:t>
      </w:r>
      <w:r w:rsidR="000C4EDB" w:rsidRPr="002246A5">
        <w:rPr>
          <w:rFonts w:ascii="Arial" w:hAnsi="Arial" w:cs="Arial"/>
          <w:bCs/>
          <w:color w:val="000000"/>
          <w:sz w:val="26"/>
          <w:szCs w:val="26"/>
        </w:rPr>
        <w:t>n</w:t>
      </w:r>
      <w:r w:rsidRPr="002246A5">
        <w:rPr>
          <w:rFonts w:ascii="Arial" w:hAnsi="Arial" w:cs="Arial"/>
          <w:bCs/>
          <w:color w:val="000000"/>
          <w:sz w:val="26"/>
          <w:szCs w:val="26"/>
        </w:rPr>
        <w:t xml:space="preserve">, que es improcedente la devolución de las cantidades ordenadas en la sentencia. </w:t>
      </w:r>
    </w:p>
    <w:p w:rsidR="000C4EDB" w:rsidRPr="002246A5" w:rsidRDefault="000C4EDB" w:rsidP="00ED5294">
      <w:pPr>
        <w:spacing w:line="360" w:lineRule="auto"/>
        <w:ind w:firstLine="709"/>
        <w:jc w:val="both"/>
        <w:rPr>
          <w:rFonts w:ascii="Arial" w:hAnsi="Arial" w:cs="Arial"/>
          <w:bCs/>
          <w:color w:val="000000"/>
          <w:sz w:val="26"/>
          <w:szCs w:val="26"/>
        </w:rPr>
      </w:pPr>
    </w:p>
    <w:p w:rsidR="00ED5294" w:rsidRPr="002246A5" w:rsidRDefault="00ED5294" w:rsidP="00ED5294">
      <w:pPr>
        <w:spacing w:line="360" w:lineRule="auto"/>
        <w:ind w:firstLine="709"/>
        <w:jc w:val="both"/>
        <w:rPr>
          <w:rFonts w:ascii="Arial" w:hAnsi="Arial" w:cs="Arial"/>
          <w:bCs/>
          <w:color w:val="000000"/>
          <w:sz w:val="26"/>
          <w:szCs w:val="26"/>
        </w:rPr>
      </w:pPr>
      <w:r w:rsidRPr="002246A5">
        <w:rPr>
          <w:rFonts w:ascii="Arial" w:hAnsi="Arial" w:cs="Arial"/>
          <w:bCs/>
          <w:color w:val="000000"/>
          <w:sz w:val="26"/>
          <w:szCs w:val="26"/>
        </w:rPr>
        <w:t>Además, que la devolución relativa a los $</w:t>
      </w:r>
      <w:r w:rsidR="004A7AAC">
        <w:rPr>
          <w:rFonts w:ascii="Arial" w:eastAsia="Calibri" w:hAnsi="Arial" w:cs="Arial"/>
          <w:bCs/>
          <w:i/>
        </w:rPr>
        <w:t>**********</w:t>
      </w:r>
      <w:r w:rsidRPr="002246A5">
        <w:rPr>
          <w:rFonts w:ascii="Arial" w:hAnsi="Arial" w:cs="Arial"/>
          <w:bCs/>
          <w:color w:val="000000"/>
          <w:sz w:val="26"/>
          <w:szCs w:val="26"/>
        </w:rPr>
        <w:t xml:space="preserve"> (</w:t>
      </w:r>
      <w:r w:rsidR="004A7AAC">
        <w:rPr>
          <w:rFonts w:ascii="Arial" w:eastAsia="Calibri" w:hAnsi="Arial" w:cs="Arial"/>
          <w:bCs/>
          <w:i/>
        </w:rPr>
        <w:t>**********</w:t>
      </w:r>
      <w:r w:rsidRPr="002246A5">
        <w:rPr>
          <w:rFonts w:ascii="Arial" w:hAnsi="Arial" w:cs="Arial"/>
          <w:bCs/>
          <w:color w:val="000000"/>
          <w:sz w:val="26"/>
          <w:szCs w:val="26"/>
        </w:rPr>
        <w:t xml:space="preserve"> pesos 00/100 m.n.), esta corresponde a un servicio adquirido al haberse extendido un certificado médico al administrado, por lo que no existe la obligación de hacer tal devolución, porque la autoridad que representa</w:t>
      </w:r>
      <w:r w:rsidR="000C4EDB" w:rsidRPr="002246A5">
        <w:rPr>
          <w:rFonts w:ascii="Arial" w:hAnsi="Arial" w:cs="Arial"/>
          <w:bCs/>
          <w:color w:val="000000"/>
          <w:sz w:val="26"/>
          <w:szCs w:val="26"/>
        </w:rPr>
        <w:t>n</w:t>
      </w:r>
      <w:r w:rsidRPr="002246A5">
        <w:rPr>
          <w:rFonts w:ascii="Arial" w:hAnsi="Arial" w:cs="Arial"/>
          <w:bCs/>
          <w:color w:val="000000"/>
          <w:sz w:val="26"/>
          <w:szCs w:val="26"/>
        </w:rPr>
        <w:t xml:space="preserve"> no está obligada a suplir la deficiencia de la queja. </w:t>
      </w:r>
    </w:p>
    <w:p w:rsidR="000C4EDB" w:rsidRPr="002246A5" w:rsidRDefault="000C4EDB" w:rsidP="00ED5294">
      <w:pPr>
        <w:spacing w:line="360" w:lineRule="auto"/>
        <w:ind w:firstLine="709"/>
        <w:jc w:val="both"/>
        <w:rPr>
          <w:rFonts w:ascii="Arial" w:hAnsi="Arial" w:cs="Arial"/>
          <w:bCs/>
          <w:color w:val="000000"/>
          <w:sz w:val="26"/>
          <w:szCs w:val="26"/>
        </w:rPr>
      </w:pPr>
    </w:p>
    <w:p w:rsidR="00471537" w:rsidRPr="002246A5" w:rsidRDefault="00471537" w:rsidP="00ED5294">
      <w:pPr>
        <w:spacing w:line="360" w:lineRule="auto"/>
        <w:ind w:firstLine="709"/>
        <w:jc w:val="both"/>
        <w:rPr>
          <w:rFonts w:ascii="Arial" w:hAnsi="Arial" w:cs="Arial"/>
          <w:bCs/>
          <w:color w:val="000000"/>
          <w:sz w:val="26"/>
          <w:szCs w:val="26"/>
        </w:rPr>
      </w:pPr>
      <w:r w:rsidRPr="002246A5">
        <w:rPr>
          <w:rFonts w:ascii="Arial" w:hAnsi="Arial" w:cs="Arial"/>
          <w:bCs/>
          <w:color w:val="000000"/>
          <w:sz w:val="26"/>
          <w:szCs w:val="26"/>
        </w:rPr>
        <w:t>Por estas razones, dice</w:t>
      </w:r>
      <w:r w:rsidR="000C4EDB" w:rsidRPr="002246A5">
        <w:rPr>
          <w:rFonts w:ascii="Arial" w:hAnsi="Arial" w:cs="Arial"/>
          <w:bCs/>
          <w:color w:val="000000"/>
          <w:sz w:val="26"/>
          <w:szCs w:val="26"/>
        </w:rPr>
        <w:t>n</w:t>
      </w:r>
      <w:r w:rsidRPr="002246A5">
        <w:rPr>
          <w:rFonts w:ascii="Arial" w:hAnsi="Arial" w:cs="Arial"/>
          <w:bCs/>
          <w:color w:val="000000"/>
          <w:sz w:val="26"/>
          <w:szCs w:val="26"/>
        </w:rPr>
        <w:t xml:space="preserve">, debe revocarse la sentencia alzada. </w:t>
      </w:r>
    </w:p>
    <w:p w:rsidR="000C4EDB" w:rsidRPr="002246A5" w:rsidRDefault="000C4EDB" w:rsidP="00ED5294">
      <w:pPr>
        <w:spacing w:line="360" w:lineRule="auto"/>
        <w:ind w:firstLine="709"/>
        <w:jc w:val="both"/>
        <w:rPr>
          <w:rFonts w:ascii="Arial" w:hAnsi="Arial" w:cs="Arial"/>
          <w:bCs/>
          <w:color w:val="000000"/>
          <w:sz w:val="26"/>
          <w:szCs w:val="26"/>
        </w:rPr>
      </w:pPr>
    </w:p>
    <w:p w:rsidR="00471537" w:rsidRPr="002246A5" w:rsidRDefault="00471537" w:rsidP="00ED5294">
      <w:pPr>
        <w:spacing w:line="360" w:lineRule="auto"/>
        <w:ind w:firstLine="709"/>
        <w:jc w:val="both"/>
        <w:rPr>
          <w:rFonts w:ascii="Arial" w:hAnsi="Arial" w:cs="Arial"/>
          <w:bCs/>
          <w:color w:val="000000"/>
          <w:sz w:val="26"/>
          <w:szCs w:val="26"/>
        </w:rPr>
      </w:pPr>
      <w:r w:rsidRPr="002246A5">
        <w:rPr>
          <w:rFonts w:ascii="Arial" w:hAnsi="Arial" w:cs="Arial"/>
          <w:bCs/>
          <w:color w:val="000000"/>
          <w:sz w:val="26"/>
          <w:szCs w:val="26"/>
        </w:rPr>
        <w:lastRenderedPageBreak/>
        <w:t>Al respecto, es pertinente destacar que de los autos remitidos para la solución del presente asunto que tienen pleno valor probatorio en términos del artículo 173 fracción I de la Ley de Justicia Administrativa para el Estado de Oaxaca, por tratarse de actuaciones judiciales, se tiene lo siguiente:</w:t>
      </w:r>
    </w:p>
    <w:p w:rsidR="00471537" w:rsidRPr="002246A5" w:rsidRDefault="00471537" w:rsidP="00ED5294">
      <w:pPr>
        <w:spacing w:line="360" w:lineRule="auto"/>
        <w:ind w:firstLine="709"/>
        <w:jc w:val="both"/>
        <w:rPr>
          <w:rFonts w:ascii="Arial" w:hAnsi="Arial" w:cs="Arial"/>
          <w:bCs/>
          <w:color w:val="000000"/>
          <w:sz w:val="26"/>
          <w:szCs w:val="26"/>
        </w:rPr>
      </w:pPr>
    </w:p>
    <w:p w:rsidR="00471537" w:rsidRPr="002246A5" w:rsidRDefault="00471537" w:rsidP="00471537">
      <w:pPr>
        <w:pStyle w:val="Prrafodelista"/>
        <w:numPr>
          <w:ilvl w:val="0"/>
          <w:numId w:val="2"/>
        </w:numPr>
        <w:spacing w:line="360" w:lineRule="auto"/>
        <w:jc w:val="both"/>
        <w:rPr>
          <w:rFonts w:ascii="Arial" w:hAnsi="Arial" w:cs="Arial"/>
          <w:bCs/>
          <w:i/>
          <w:color w:val="000000"/>
          <w:sz w:val="26"/>
          <w:szCs w:val="26"/>
        </w:rPr>
      </w:pPr>
      <w:r w:rsidRPr="002246A5">
        <w:rPr>
          <w:rFonts w:ascii="Arial" w:hAnsi="Arial" w:cs="Arial"/>
          <w:bCs/>
          <w:color w:val="000000"/>
          <w:sz w:val="26"/>
          <w:szCs w:val="26"/>
        </w:rPr>
        <w:t xml:space="preserve">Por auto de 19 diecinueve de septiembre de 2016 dos mil dieciséis, la primera instancia, al no haberse producido la contestación de demanda por parte de las enjuiciadas dentro del término legal, decretó </w:t>
      </w:r>
      <w:proofErr w:type="spellStart"/>
      <w:r w:rsidRPr="002246A5">
        <w:rPr>
          <w:rFonts w:ascii="Arial" w:hAnsi="Arial" w:cs="Arial"/>
          <w:bCs/>
          <w:color w:val="000000"/>
          <w:sz w:val="26"/>
          <w:szCs w:val="26"/>
        </w:rPr>
        <w:t>precluído</w:t>
      </w:r>
      <w:proofErr w:type="spellEnd"/>
      <w:r w:rsidRPr="002246A5">
        <w:rPr>
          <w:rFonts w:ascii="Arial" w:hAnsi="Arial" w:cs="Arial"/>
          <w:bCs/>
          <w:color w:val="000000"/>
          <w:sz w:val="26"/>
          <w:szCs w:val="26"/>
        </w:rPr>
        <w:t xml:space="preserve"> su derecho para contestar la demanda y las tuvo contestando la demanda en sentido afirmativo, salvo prueba en contrario, esto en términos de lo estatuido por el artículo 153 segundo párrafo de la  Ley de Justicia Administrativa para el Estado de Oaxaca. </w:t>
      </w:r>
    </w:p>
    <w:p w:rsidR="00471537" w:rsidRPr="002246A5" w:rsidRDefault="00471537" w:rsidP="00471537">
      <w:pPr>
        <w:spacing w:line="360" w:lineRule="auto"/>
        <w:jc w:val="both"/>
        <w:rPr>
          <w:rFonts w:ascii="Arial" w:hAnsi="Arial" w:cs="Arial"/>
          <w:bCs/>
          <w:i/>
          <w:color w:val="000000"/>
          <w:sz w:val="26"/>
          <w:szCs w:val="26"/>
        </w:rPr>
      </w:pPr>
    </w:p>
    <w:p w:rsidR="00471537" w:rsidRPr="002246A5" w:rsidRDefault="00471537" w:rsidP="002246A5">
      <w:pPr>
        <w:spacing w:line="360" w:lineRule="auto"/>
        <w:ind w:firstLine="708"/>
        <w:jc w:val="both"/>
        <w:rPr>
          <w:rFonts w:ascii="Arial" w:hAnsi="Arial" w:cs="Arial"/>
          <w:b/>
          <w:bCs/>
          <w:color w:val="000000"/>
          <w:sz w:val="26"/>
          <w:szCs w:val="26"/>
        </w:rPr>
      </w:pPr>
      <w:r w:rsidRPr="002246A5">
        <w:rPr>
          <w:rFonts w:ascii="Arial" w:hAnsi="Arial" w:cs="Arial"/>
          <w:b/>
          <w:bCs/>
          <w:color w:val="000000"/>
          <w:sz w:val="26"/>
          <w:szCs w:val="26"/>
        </w:rPr>
        <w:t xml:space="preserve">Importa lo anterior, </w:t>
      </w:r>
      <w:r w:rsidRPr="002246A5">
        <w:rPr>
          <w:rFonts w:ascii="Arial" w:hAnsi="Arial" w:cs="Arial"/>
          <w:bCs/>
          <w:color w:val="000000"/>
          <w:sz w:val="26"/>
          <w:szCs w:val="26"/>
        </w:rPr>
        <w:t>porque de las expresiones apuntadas por la</w:t>
      </w:r>
      <w:r w:rsidR="000C4EDB" w:rsidRPr="002246A5">
        <w:rPr>
          <w:rFonts w:ascii="Arial" w:hAnsi="Arial" w:cs="Arial"/>
          <w:bCs/>
          <w:color w:val="000000"/>
          <w:sz w:val="26"/>
          <w:szCs w:val="26"/>
        </w:rPr>
        <w:t>s</w:t>
      </w:r>
      <w:r w:rsidRPr="002246A5">
        <w:rPr>
          <w:rFonts w:ascii="Arial" w:hAnsi="Arial" w:cs="Arial"/>
          <w:bCs/>
          <w:color w:val="000000"/>
          <w:sz w:val="26"/>
          <w:szCs w:val="26"/>
        </w:rPr>
        <w:t xml:space="preserve"> aquí disconforme</w:t>
      </w:r>
      <w:r w:rsidR="000C4EDB" w:rsidRPr="002246A5">
        <w:rPr>
          <w:rFonts w:ascii="Arial" w:hAnsi="Arial" w:cs="Arial"/>
          <w:bCs/>
          <w:color w:val="000000"/>
          <w:sz w:val="26"/>
          <w:szCs w:val="26"/>
        </w:rPr>
        <w:t>s</w:t>
      </w:r>
      <w:r w:rsidRPr="002246A5">
        <w:rPr>
          <w:rFonts w:ascii="Arial" w:hAnsi="Arial" w:cs="Arial"/>
          <w:bCs/>
          <w:color w:val="000000"/>
          <w:sz w:val="26"/>
          <w:szCs w:val="26"/>
        </w:rPr>
        <w:t xml:space="preserve"> se tiene que </w:t>
      </w:r>
      <w:r w:rsidRPr="002246A5">
        <w:rPr>
          <w:rFonts w:ascii="Arial" w:hAnsi="Arial" w:cs="Arial"/>
          <w:b/>
          <w:bCs/>
          <w:color w:val="000000"/>
          <w:sz w:val="26"/>
          <w:szCs w:val="26"/>
        </w:rPr>
        <w:t>son inoperantes.</w:t>
      </w:r>
    </w:p>
    <w:p w:rsidR="00FF5B82" w:rsidRPr="002246A5" w:rsidRDefault="00B826A0" w:rsidP="00FF5B82">
      <w:pPr>
        <w:spacing w:line="360" w:lineRule="auto"/>
        <w:ind w:firstLine="708"/>
        <w:jc w:val="both"/>
        <w:rPr>
          <w:rFonts w:ascii="Arial" w:hAnsi="Arial" w:cs="Arial"/>
          <w:bCs/>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61312" behindDoc="0" locked="0" layoutInCell="1" allowOverlap="1" wp14:anchorId="72AAFD80" wp14:editId="24CC013A">
                <wp:simplePos x="0" y="0"/>
                <wp:positionH relativeFrom="column">
                  <wp:posOffset>5628640</wp:posOffset>
                </wp:positionH>
                <wp:positionV relativeFrom="paragraph">
                  <wp:posOffset>1616710</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B826A0" w:rsidRDefault="00B826A0" w:rsidP="00B826A0">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443.2pt;margin-top:127.3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">
                <v:textbox>
                  <w:txbxContent>
                    <w:p w:rsidR="00B826A0" w:rsidRDefault="00B826A0" w:rsidP="00B826A0">
                      <w:pPr>
                        <w:rPr>
                          <w:sz w:val="16"/>
                          <w:szCs w:val="16"/>
                        </w:rPr>
                      </w:pPr>
                      <w:r>
                        <w:rPr>
                          <w:sz w:val="16"/>
                          <w:szCs w:val="16"/>
                        </w:rPr>
                        <w:t>Datos personales protegidos por el Art. 116 de la LGTAIP y el Art. 56 de la LTAIPEO</w:t>
                      </w:r>
                    </w:p>
                  </w:txbxContent>
                </v:textbox>
              </v:shape>
            </w:pict>
          </mc:Fallback>
        </mc:AlternateContent>
      </w:r>
      <w:r w:rsidR="00471537" w:rsidRPr="002246A5">
        <w:rPr>
          <w:rFonts w:ascii="Arial" w:hAnsi="Arial" w:cs="Arial"/>
          <w:b/>
          <w:bCs/>
          <w:color w:val="000000"/>
          <w:sz w:val="26"/>
          <w:szCs w:val="26"/>
        </w:rPr>
        <w:t xml:space="preserve">En parte, </w:t>
      </w:r>
      <w:r w:rsidR="00471537" w:rsidRPr="002246A5">
        <w:rPr>
          <w:rFonts w:ascii="Arial" w:hAnsi="Arial" w:cs="Arial"/>
          <w:bCs/>
          <w:color w:val="000000"/>
          <w:sz w:val="26"/>
          <w:szCs w:val="26"/>
        </w:rPr>
        <w:t>porque en manera alguna combaten las razones que sostienen el fallo de la primera instancia, ya que se trata de meras afirmaciones genéricas encaminadas a sostener la legalidad del acto combati</w:t>
      </w:r>
      <w:r w:rsidR="000C4EDB" w:rsidRPr="002246A5">
        <w:rPr>
          <w:rFonts w:ascii="Arial" w:hAnsi="Arial" w:cs="Arial"/>
          <w:bCs/>
          <w:color w:val="000000"/>
          <w:sz w:val="26"/>
          <w:szCs w:val="26"/>
        </w:rPr>
        <w:t>d</w:t>
      </w:r>
      <w:r w:rsidR="00471537" w:rsidRPr="002246A5">
        <w:rPr>
          <w:rFonts w:ascii="Arial" w:hAnsi="Arial" w:cs="Arial"/>
          <w:bCs/>
          <w:color w:val="000000"/>
          <w:sz w:val="26"/>
          <w:szCs w:val="26"/>
        </w:rPr>
        <w:t xml:space="preserve">o, empero sin que logren desvirtuar la validez de la sentencia y, </w:t>
      </w:r>
      <w:r w:rsidR="00471537" w:rsidRPr="002246A5">
        <w:rPr>
          <w:rFonts w:ascii="Arial" w:hAnsi="Arial" w:cs="Arial"/>
          <w:b/>
          <w:bCs/>
          <w:color w:val="000000"/>
          <w:sz w:val="26"/>
          <w:szCs w:val="26"/>
        </w:rPr>
        <w:t xml:space="preserve">en otro aspecto, </w:t>
      </w:r>
      <w:r w:rsidR="00471537" w:rsidRPr="002246A5">
        <w:rPr>
          <w:rFonts w:ascii="Arial" w:hAnsi="Arial" w:cs="Arial"/>
          <w:bCs/>
          <w:color w:val="000000"/>
          <w:sz w:val="26"/>
          <w:szCs w:val="26"/>
        </w:rPr>
        <w:t>porque al haberl</w:t>
      </w:r>
      <w:r w:rsidR="000C4EDB" w:rsidRPr="002246A5">
        <w:rPr>
          <w:rFonts w:ascii="Arial" w:hAnsi="Arial" w:cs="Arial"/>
          <w:bCs/>
          <w:color w:val="000000"/>
          <w:sz w:val="26"/>
          <w:szCs w:val="26"/>
        </w:rPr>
        <w:t>es</w:t>
      </w:r>
      <w:r w:rsidR="00471537" w:rsidRPr="002246A5">
        <w:rPr>
          <w:rFonts w:ascii="Arial" w:hAnsi="Arial" w:cs="Arial"/>
          <w:bCs/>
          <w:color w:val="000000"/>
          <w:sz w:val="26"/>
          <w:szCs w:val="26"/>
        </w:rPr>
        <w:t xml:space="preserve"> decretado precluido su derecho para contestar la demanda y por contestando la demanda en sentido afirmativo, salvo prueba en contrario, omiti</w:t>
      </w:r>
      <w:r w:rsidR="000C4EDB" w:rsidRPr="002246A5">
        <w:rPr>
          <w:rFonts w:ascii="Arial" w:hAnsi="Arial" w:cs="Arial"/>
          <w:bCs/>
          <w:color w:val="000000"/>
          <w:sz w:val="26"/>
          <w:szCs w:val="26"/>
        </w:rPr>
        <w:t>eron</w:t>
      </w:r>
      <w:r w:rsidR="00471537" w:rsidRPr="002246A5">
        <w:rPr>
          <w:rFonts w:ascii="Arial" w:hAnsi="Arial" w:cs="Arial"/>
          <w:bCs/>
          <w:color w:val="000000"/>
          <w:sz w:val="26"/>
          <w:szCs w:val="26"/>
        </w:rPr>
        <w:t xml:space="preserve"> esbozar argumentos en su defensa ante la sala de origen, por lo que hacerlo en esta instancia no está permitido, debido a que el momento procesal oportuno para hacerlo es en la contestación de demanda, de donde sus expresiones se tornan novedosas y por ende esta Juzgadora está impedida a su </w:t>
      </w:r>
      <w:r w:rsidR="00FF5B82" w:rsidRPr="002246A5">
        <w:rPr>
          <w:rFonts w:ascii="Arial" w:hAnsi="Arial" w:cs="Arial"/>
          <w:bCs/>
          <w:color w:val="000000"/>
          <w:sz w:val="26"/>
          <w:szCs w:val="26"/>
        </w:rPr>
        <w:t>análisis, debido que la materia recursiva tiene por objetivo al análisis de la actuación de la primer</w:t>
      </w:r>
      <w:r w:rsidR="000C4EDB" w:rsidRPr="002246A5">
        <w:rPr>
          <w:rFonts w:ascii="Arial" w:hAnsi="Arial" w:cs="Arial"/>
          <w:bCs/>
          <w:color w:val="000000"/>
          <w:sz w:val="26"/>
          <w:szCs w:val="26"/>
        </w:rPr>
        <w:t>a</w:t>
      </w:r>
      <w:r w:rsidR="00FF5B82" w:rsidRPr="002246A5">
        <w:rPr>
          <w:rFonts w:ascii="Arial" w:hAnsi="Arial" w:cs="Arial"/>
          <w:bCs/>
          <w:color w:val="000000"/>
          <w:sz w:val="26"/>
          <w:szCs w:val="26"/>
        </w:rPr>
        <w:t xml:space="preserve"> instancia y no, de primera mano, el análisis de los actos combatidos. Estas consideraciones encuentran sustento en las jurisprudencias </w:t>
      </w:r>
      <w:r w:rsidR="00FF5B82" w:rsidRPr="002246A5">
        <w:rPr>
          <w:rFonts w:ascii="Arial" w:hAnsi="Arial" w:cs="Arial"/>
          <w:bCs/>
          <w:sz w:val="26"/>
          <w:szCs w:val="26"/>
        </w:rPr>
        <w:t xml:space="preserve">IV.3o. J/12 dictada por el Tercer Tribunal Colegiado del Cuarto Circuito en la octava época, la cual está publicada en la Gaceta del Semanario Judicial de la Federación número 57, de septiembre de 1992, y que es consultable a página 57, bajo el rubro y texto del tenor literal siguientes: </w:t>
      </w:r>
    </w:p>
    <w:p w:rsidR="00FF5B82" w:rsidRPr="00507699" w:rsidRDefault="00FF5B82" w:rsidP="00FF5B82">
      <w:pPr>
        <w:pStyle w:val="Sinespaciado"/>
        <w:spacing w:line="360" w:lineRule="auto"/>
        <w:jc w:val="both"/>
        <w:rPr>
          <w:rFonts w:ascii="Arial" w:hAnsi="Arial" w:cs="Arial"/>
          <w:bCs/>
          <w:sz w:val="26"/>
          <w:szCs w:val="26"/>
          <w:lang w:val="es-MX"/>
        </w:rPr>
      </w:pPr>
    </w:p>
    <w:p w:rsidR="00FF5B82" w:rsidRDefault="00FF5B82" w:rsidP="00FF5B82">
      <w:pPr>
        <w:pStyle w:val="Sinespaciado"/>
        <w:spacing w:line="360" w:lineRule="auto"/>
        <w:ind w:left="851" w:right="616"/>
        <w:jc w:val="both"/>
        <w:rPr>
          <w:rFonts w:ascii="Arial" w:hAnsi="Arial" w:cs="Arial"/>
          <w:bCs/>
          <w:i/>
          <w:lang w:val="es-MX"/>
        </w:rPr>
      </w:pPr>
      <w:r>
        <w:rPr>
          <w:rFonts w:ascii="Arial" w:hAnsi="Arial" w:cs="Arial"/>
          <w:b/>
          <w:bCs/>
          <w:i/>
          <w:lang w:val="es-MX"/>
        </w:rPr>
        <w:lastRenderedPageBreak/>
        <w:t>“</w:t>
      </w:r>
      <w:r w:rsidRPr="00FF5B82">
        <w:rPr>
          <w:rFonts w:ascii="Arial" w:hAnsi="Arial" w:cs="Arial"/>
          <w:b/>
          <w:bCs/>
          <w:i/>
          <w:lang w:val="es-MX"/>
        </w:rPr>
        <w:t>AGRAVIOS. DEBEN DE IMPUGNAR LA ILEGALIDAD DEL FALLO RECURRIDO</w:t>
      </w:r>
      <w:r w:rsidRPr="00FF5B82">
        <w:rPr>
          <w:rFonts w:ascii="Arial" w:hAnsi="Arial" w:cs="Arial"/>
          <w:bCs/>
          <w:i/>
          <w:lang w:val="es-MX"/>
        </w:rPr>
        <w:t>. Si el recurrente no formula ninguna objeción contra el considerando que rige el sentido del fallo y sólo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y exponer los argumentos y razonamientos tendientes a impugnar la ilegalidad del fallo, señalando las violaciones que cometió la autoridad recurrida.</w:t>
      </w:r>
      <w:r>
        <w:rPr>
          <w:rFonts w:ascii="Arial" w:hAnsi="Arial" w:cs="Arial"/>
          <w:bCs/>
          <w:i/>
          <w:lang w:val="es-MX"/>
        </w:rPr>
        <w:t>”</w:t>
      </w:r>
    </w:p>
    <w:p w:rsidR="00FF5B82" w:rsidRPr="00FF5B82" w:rsidRDefault="00FF5B82" w:rsidP="00FF5B82">
      <w:pPr>
        <w:pStyle w:val="Sinespaciado"/>
        <w:spacing w:line="360" w:lineRule="auto"/>
        <w:ind w:left="851" w:right="616"/>
        <w:jc w:val="both"/>
        <w:rPr>
          <w:rFonts w:ascii="Arial" w:hAnsi="Arial" w:cs="Arial"/>
          <w:bCs/>
          <w:i/>
          <w:sz w:val="24"/>
          <w:szCs w:val="24"/>
          <w:lang w:val="es-MX"/>
        </w:rPr>
      </w:pPr>
    </w:p>
    <w:p w:rsidR="00FF5B82" w:rsidRPr="002246A5" w:rsidRDefault="00FF5B82" w:rsidP="00FF5B82">
      <w:pPr>
        <w:pStyle w:val="Sinespaciado"/>
        <w:spacing w:line="360" w:lineRule="auto"/>
        <w:ind w:right="51"/>
        <w:jc w:val="both"/>
        <w:rPr>
          <w:rFonts w:ascii="Arial" w:hAnsi="Arial" w:cs="Arial"/>
          <w:sz w:val="26"/>
          <w:szCs w:val="26"/>
        </w:rPr>
      </w:pPr>
      <w:r w:rsidRPr="002246A5">
        <w:rPr>
          <w:rFonts w:ascii="Arial" w:hAnsi="Arial" w:cs="Arial"/>
          <w:bCs/>
          <w:sz w:val="26"/>
          <w:szCs w:val="26"/>
          <w:lang w:val="es-MX"/>
        </w:rPr>
        <w:t xml:space="preserve"> Y, la jurisprudencia </w:t>
      </w:r>
      <w:r w:rsidRPr="002246A5">
        <w:rPr>
          <w:rFonts w:ascii="Arial" w:hAnsi="Arial" w:cs="Arial"/>
          <w:sz w:val="26"/>
          <w:szCs w:val="26"/>
        </w:rPr>
        <w:t xml:space="preserve">1a./J. 150/2005 de la Primera Sala de la Suprema Corte de Justicia de la Nación, publicada en la página 52 del Semanario Judicial de la Federación y su Gaceta a Tomo XXII, de Diciembre de 2005, con el rubro y texto siguientes: </w:t>
      </w:r>
    </w:p>
    <w:p w:rsidR="00FF5B82" w:rsidRDefault="00FF5B82" w:rsidP="00FF5B82"/>
    <w:p w:rsidR="00224432" w:rsidRPr="002246A5" w:rsidRDefault="00FF5B82" w:rsidP="002246A5">
      <w:pPr>
        <w:spacing w:line="360" w:lineRule="auto"/>
        <w:ind w:left="851" w:right="616"/>
        <w:jc w:val="both"/>
        <w:rPr>
          <w:rFonts w:ascii="Arial" w:hAnsi="Arial" w:cs="Arial"/>
          <w:i/>
        </w:rPr>
      </w:pPr>
      <w:r>
        <w:rPr>
          <w:rFonts w:ascii="Arial" w:hAnsi="Arial" w:cs="Arial"/>
          <w:b/>
          <w:i/>
        </w:rPr>
        <w:t>“</w:t>
      </w:r>
      <w:r w:rsidRPr="006C4ED9">
        <w:rPr>
          <w:rFonts w:ascii="Arial" w:hAnsi="Arial" w:cs="Arial"/>
          <w:b/>
          <w:i/>
        </w:rPr>
        <w:t>AGRAVIOS INOPERANTES. LO SON AQUELLOS QUE SE REFIEREN A CUESTIONES NO INVOCADAS EN LA DEMANDA Y QUE, POR ENDE, CONSTITUYEN ASPECTOS NOVEDOSOS EN LA REVISIÓN</w:t>
      </w:r>
      <w:r w:rsidRPr="006C4ED9">
        <w:rPr>
          <w:rFonts w:ascii="Arial" w:hAnsi="Arial" w:cs="Arial"/>
          <w:i/>
        </w:rPr>
        <w:t xml:space="preserve">. En términos del artículo 88 de la Ley de Amparo, la parte a quien perjudica una sentencia tiene la carga procesal de demostrar su ilegalidad a través de los agravios correspondientes. En ese contexto, y atento al principio de estricto derecho previsto en el artículo 91, fracción I, de la ley mencionada, resultan inoperantes los agravios referidos a cuestiones no invocadas en la demanda de garantías, toda vez que al basarse en razones distintas a las originalmente señaladas, constituyen aspectos novedosos que no tienden a combatir los fundamentos y motivos establecidos en la sentencia recurrida, sino que introducen nuevas cuestiones que no fueron abordadas en el fallo combatido, de ahí que no exista propiamente agravio alguno que dé lugar a modificar o </w:t>
      </w:r>
      <w:r>
        <w:rPr>
          <w:rFonts w:ascii="Arial" w:hAnsi="Arial" w:cs="Arial"/>
          <w:i/>
        </w:rPr>
        <w:t>revocar la resolución recurrida.”</w:t>
      </w:r>
    </w:p>
    <w:p w:rsidR="00D50CC8" w:rsidRPr="002246A5" w:rsidRDefault="00224432" w:rsidP="00224432">
      <w:pPr>
        <w:pStyle w:val="Sinespaciado"/>
        <w:spacing w:line="360" w:lineRule="auto"/>
        <w:ind w:firstLine="708"/>
        <w:jc w:val="both"/>
        <w:rPr>
          <w:rFonts w:ascii="Arial" w:hAnsi="Arial" w:cs="Arial"/>
          <w:sz w:val="26"/>
          <w:szCs w:val="26"/>
        </w:rPr>
      </w:pPr>
      <w:r w:rsidRPr="002246A5">
        <w:rPr>
          <w:rFonts w:ascii="Arial" w:hAnsi="Arial" w:cs="Arial"/>
          <w:bCs/>
          <w:sz w:val="26"/>
          <w:szCs w:val="26"/>
          <w:lang w:val="es-MX"/>
        </w:rPr>
        <w:t xml:space="preserve">En estas consideraciones, debido a lo </w:t>
      </w:r>
      <w:r w:rsidRPr="002246A5">
        <w:rPr>
          <w:rFonts w:ascii="Arial" w:hAnsi="Arial" w:cs="Arial"/>
          <w:b/>
          <w:bCs/>
          <w:sz w:val="26"/>
          <w:szCs w:val="26"/>
          <w:lang w:val="es-MX"/>
        </w:rPr>
        <w:t xml:space="preserve">inoperante </w:t>
      </w:r>
      <w:r w:rsidRPr="002246A5">
        <w:rPr>
          <w:rFonts w:ascii="Arial" w:hAnsi="Arial" w:cs="Arial"/>
          <w:bCs/>
          <w:sz w:val="26"/>
          <w:szCs w:val="26"/>
          <w:lang w:val="es-MX"/>
        </w:rPr>
        <w:t xml:space="preserve">de los agravios externados se </w:t>
      </w:r>
      <w:r w:rsidRPr="002246A5">
        <w:rPr>
          <w:rFonts w:ascii="Arial" w:hAnsi="Arial" w:cs="Arial"/>
          <w:b/>
          <w:bCs/>
          <w:sz w:val="26"/>
          <w:szCs w:val="26"/>
          <w:lang w:val="es-MX"/>
        </w:rPr>
        <w:t xml:space="preserve">confirma </w:t>
      </w:r>
      <w:r w:rsidRPr="002246A5">
        <w:rPr>
          <w:rFonts w:ascii="Arial" w:hAnsi="Arial" w:cs="Arial"/>
          <w:bCs/>
          <w:sz w:val="26"/>
          <w:szCs w:val="26"/>
          <w:lang w:val="es-MX"/>
        </w:rPr>
        <w:t xml:space="preserve">la sentencia de 21 veintiuno de junio de 2017 dos mil diecisiete y, </w:t>
      </w:r>
      <w:r w:rsidR="00D50CC8" w:rsidRPr="002246A5">
        <w:rPr>
          <w:rFonts w:ascii="Arial" w:eastAsia="Calibri" w:hAnsi="Arial" w:cs="Arial"/>
          <w:bCs/>
          <w:sz w:val="26"/>
          <w:szCs w:val="26"/>
        </w:rPr>
        <w:t>c</w:t>
      </w:r>
      <w:r w:rsidR="00D50CC8" w:rsidRPr="002246A5">
        <w:rPr>
          <w:rFonts w:ascii="Arial" w:hAnsi="Arial" w:cs="Arial"/>
          <w:sz w:val="26"/>
          <w:szCs w:val="26"/>
        </w:rPr>
        <w:t xml:space="preserve">on fundamento en los artículos 207 y 208 de la Ley de Justicia Administrativa para el Estado, </w:t>
      </w:r>
      <w:r w:rsidR="00BF6C02" w:rsidRPr="002246A5">
        <w:rPr>
          <w:rFonts w:ascii="Arial" w:hAnsi="Arial" w:cs="Arial"/>
          <w:sz w:val="26"/>
          <w:szCs w:val="26"/>
        </w:rPr>
        <w:t xml:space="preserve">vigente hasta el veinte de octubre de dos mil diecisiete, </w:t>
      </w:r>
      <w:r w:rsidR="00D50CC8" w:rsidRPr="002246A5">
        <w:rPr>
          <w:rFonts w:ascii="Arial" w:hAnsi="Arial" w:cs="Arial"/>
          <w:sz w:val="26"/>
          <w:szCs w:val="26"/>
        </w:rPr>
        <w:t>se:</w:t>
      </w:r>
    </w:p>
    <w:p w:rsidR="00D50CC8" w:rsidRPr="002246A5" w:rsidRDefault="00D50CC8" w:rsidP="00D50CC8">
      <w:pPr>
        <w:pStyle w:val="Sinespaciado"/>
        <w:spacing w:line="360" w:lineRule="auto"/>
        <w:jc w:val="both"/>
        <w:rPr>
          <w:rFonts w:ascii="Arial" w:hAnsi="Arial" w:cs="Arial"/>
          <w:bCs/>
          <w:color w:val="000000"/>
          <w:sz w:val="26"/>
          <w:szCs w:val="26"/>
        </w:rPr>
      </w:pPr>
    </w:p>
    <w:p w:rsidR="00D50CC8" w:rsidRPr="002246A5" w:rsidRDefault="00D50CC8" w:rsidP="002246A5">
      <w:pPr>
        <w:tabs>
          <w:tab w:val="left" w:pos="1134"/>
        </w:tabs>
        <w:spacing w:line="360" w:lineRule="auto"/>
        <w:jc w:val="center"/>
        <w:rPr>
          <w:rFonts w:ascii="Arial" w:hAnsi="Arial" w:cs="Arial"/>
          <w:b/>
          <w:sz w:val="26"/>
          <w:szCs w:val="26"/>
        </w:rPr>
      </w:pPr>
      <w:r w:rsidRPr="002246A5">
        <w:rPr>
          <w:rFonts w:ascii="Arial" w:hAnsi="Arial" w:cs="Arial"/>
          <w:b/>
          <w:sz w:val="26"/>
          <w:szCs w:val="26"/>
        </w:rPr>
        <w:t>R E S U E L V E</w:t>
      </w:r>
    </w:p>
    <w:p w:rsidR="00D50CC8" w:rsidRPr="002246A5" w:rsidRDefault="00D50CC8" w:rsidP="00BF6C02">
      <w:pPr>
        <w:pStyle w:val="Textoindependiente21"/>
        <w:tabs>
          <w:tab w:val="left" w:pos="-1985"/>
          <w:tab w:val="left" w:pos="7938"/>
        </w:tabs>
        <w:spacing w:line="360" w:lineRule="auto"/>
        <w:ind w:right="17" w:firstLine="709"/>
        <w:rPr>
          <w:rFonts w:ascii="Arial" w:hAnsi="Arial" w:cs="Arial"/>
          <w:sz w:val="26"/>
          <w:szCs w:val="26"/>
        </w:rPr>
      </w:pPr>
      <w:r w:rsidRPr="002246A5">
        <w:rPr>
          <w:rFonts w:ascii="Arial" w:hAnsi="Arial" w:cs="Arial"/>
          <w:b/>
          <w:sz w:val="26"/>
          <w:szCs w:val="26"/>
        </w:rPr>
        <w:t>PRIMERO</w:t>
      </w:r>
      <w:r w:rsidRPr="002246A5">
        <w:rPr>
          <w:rFonts w:ascii="Arial" w:hAnsi="Arial" w:cs="Arial"/>
          <w:sz w:val="26"/>
          <w:szCs w:val="26"/>
        </w:rPr>
        <w:t xml:space="preserve">. Se </w:t>
      </w:r>
      <w:r w:rsidR="00224432" w:rsidRPr="002246A5">
        <w:rPr>
          <w:rFonts w:ascii="Arial" w:hAnsi="Arial" w:cs="Arial"/>
          <w:b/>
          <w:sz w:val="26"/>
          <w:szCs w:val="26"/>
        </w:rPr>
        <w:t xml:space="preserve">CONFIRMA </w:t>
      </w:r>
      <w:r w:rsidR="00224432" w:rsidRPr="002246A5">
        <w:rPr>
          <w:rFonts w:ascii="Arial" w:hAnsi="Arial" w:cs="Arial"/>
          <w:sz w:val="26"/>
          <w:szCs w:val="26"/>
        </w:rPr>
        <w:t>la sentencia recurrida</w:t>
      </w:r>
      <w:r w:rsidRPr="002246A5">
        <w:rPr>
          <w:rFonts w:ascii="Arial" w:hAnsi="Arial" w:cs="Arial"/>
          <w:b/>
          <w:sz w:val="26"/>
          <w:szCs w:val="26"/>
        </w:rPr>
        <w:t xml:space="preserve">, </w:t>
      </w:r>
      <w:r w:rsidRPr="002246A5">
        <w:rPr>
          <w:rFonts w:ascii="Arial" w:hAnsi="Arial" w:cs="Arial"/>
          <w:sz w:val="26"/>
          <w:szCs w:val="26"/>
        </w:rPr>
        <w:t xml:space="preserve"> en los términos apuntados en el considerando que antecede.</w:t>
      </w:r>
    </w:p>
    <w:p w:rsidR="00BF6C02" w:rsidRPr="002246A5" w:rsidRDefault="00BF6C02" w:rsidP="00BF6C02">
      <w:pPr>
        <w:pStyle w:val="Textoindependiente21"/>
        <w:tabs>
          <w:tab w:val="left" w:pos="-1985"/>
          <w:tab w:val="left" w:pos="7938"/>
        </w:tabs>
        <w:spacing w:line="360" w:lineRule="auto"/>
        <w:ind w:right="17" w:firstLine="709"/>
        <w:rPr>
          <w:rFonts w:ascii="Arial" w:hAnsi="Arial" w:cs="Arial"/>
          <w:sz w:val="26"/>
          <w:szCs w:val="26"/>
        </w:rPr>
      </w:pPr>
    </w:p>
    <w:p w:rsidR="00BF6C02" w:rsidRPr="002246A5" w:rsidRDefault="00D50CC8" w:rsidP="00D50CC8">
      <w:pPr>
        <w:spacing w:line="360" w:lineRule="auto"/>
        <w:ind w:firstLine="708"/>
        <w:jc w:val="both"/>
        <w:rPr>
          <w:rFonts w:ascii="Arial" w:hAnsi="Arial" w:cs="Arial"/>
          <w:sz w:val="26"/>
          <w:szCs w:val="26"/>
        </w:rPr>
      </w:pPr>
      <w:r w:rsidRPr="002246A5">
        <w:rPr>
          <w:rFonts w:ascii="Arial" w:hAnsi="Arial" w:cs="Arial"/>
          <w:b/>
          <w:sz w:val="26"/>
          <w:szCs w:val="26"/>
        </w:rPr>
        <w:lastRenderedPageBreak/>
        <w:t xml:space="preserve">SEGUNDO. </w:t>
      </w:r>
      <w:r w:rsidR="000C4EDB" w:rsidRPr="002246A5">
        <w:rPr>
          <w:rFonts w:ascii="Arial" w:hAnsi="Arial" w:cs="Arial"/>
          <w:sz w:val="26"/>
          <w:szCs w:val="26"/>
        </w:rPr>
        <w:t xml:space="preserve">En términos del artículo 104 fracción VIII de la Ley de Justicia Administrativa para el Estado de Oaxaca y </w:t>
      </w:r>
      <w:r w:rsidR="00537885" w:rsidRPr="002246A5">
        <w:rPr>
          <w:rFonts w:ascii="Arial" w:hAnsi="Arial" w:cs="Arial"/>
          <w:sz w:val="26"/>
          <w:szCs w:val="26"/>
        </w:rPr>
        <w:t xml:space="preserve">34 fracción XXIII del Reglamento Interno del Tribunal de lo Contencioso Administrativo y de Cuentas, </w:t>
      </w:r>
      <w:r w:rsidR="00537885" w:rsidRPr="002246A5">
        <w:rPr>
          <w:rFonts w:ascii="Arial" w:hAnsi="Arial" w:cs="Arial"/>
          <w:b/>
          <w:sz w:val="26"/>
          <w:szCs w:val="26"/>
        </w:rPr>
        <w:t xml:space="preserve">glósese </w:t>
      </w:r>
      <w:r w:rsidR="00537885" w:rsidRPr="002246A5">
        <w:rPr>
          <w:rFonts w:ascii="Arial" w:hAnsi="Arial" w:cs="Arial"/>
          <w:sz w:val="26"/>
          <w:szCs w:val="26"/>
        </w:rPr>
        <w:t xml:space="preserve">copia certificada de la presente resolución al  recurso de revisión </w:t>
      </w:r>
      <w:r w:rsidR="00537885" w:rsidRPr="002246A5">
        <w:rPr>
          <w:rFonts w:ascii="Arial" w:hAnsi="Arial" w:cs="Arial"/>
          <w:b/>
          <w:sz w:val="26"/>
          <w:szCs w:val="26"/>
        </w:rPr>
        <w:t>656/2017.</w:t>
      </w:r>
      <w:r w:rsidR="00BF6C02" w:rsidRPr="002246A5">
        <w:rPr>
          <w:rFonts w:ascii="Arial" w:hAnsi="Arial" w:cs="Arial"/>
          <w:sz w:val="26"/>
          <w:szCs w:val="26"/>
        </w:rPr>
        <w:t xml:space="preserve"> </w:t>
      </w:r>
    </w:p>
    <w:p w:rsidR="00BF6C02" w:rsidRPr="002246A5" w:rsidRDefault="00BF6C02" w:rsidP="00D50CC8">
      <w:pPr>
        <w:spacing w:line="360" w:lineRule="auto"/>
        <w:ind w:firstLine="708"/>
        <w:jc w:val="both"/>
        <w:rPr>
          <w:rFonts w:ascii="Arial" w:hAnsi="Arial" w:cs="Arial"/>
          <w:sz w:val="26"/>
          <w:szCs w:val="26"/>
        </w:rPr>
      </w:pPr>
    </w:p>
    <w:p w:rsidR="00BF6C02" w:rsidRPr="002246A5" w:rsidRDefault="00537885" w:rsidP="00BF6C02">
      <w:pPr>
        <w:spacing w:line="360" w:lineRule="auto"/>
        <w:ind w:firstLine="708"/>
        <w:jc w:val="both"/>
        <w:rPr>
          <w:rFonts w:ascii="Arial" w:eastAsia="Calibri" w:hAnsi="Arial" w:cs="Arial"/>
          <w:sz w:val="26"/>
          <w:szCs w:val="26"/>
        </w:rPr>
      </w:pPr>
      <w:r w:rsidRPr="002246A5">
        <w:rPr>
          <w:rFonts w:ascii="Arial" w:hAnsi="Arial" w:cs="Arial"/>
          <w:b/>
          <w:sz w:val="26"/>
          <w:szCs w:val="26"/>
        </w:rPr>
        <w:t xml:space="preserve">TERCERO. </w:t>
      </w:r>
      <w:r w:rsidR="00BF6C02" w:rsidRPr="002246A5">
        <w:rPr>
          <w:rFonts w:ascii="Arial" w:hAnsi="Arial" w:cs="Arial"/>
          <w:b/>
          <w:sz w:val="26"/>
          <w:szCs w:val="26"/>
        </w:rPr>
        <w:t>NOTIFÍQUESE Y CÚ</w:t>
      </w:r>
      <w:r w:rsidR="00D50CC8" w:rsidRPr="002246A5">
        <w:rPr>
          <w:rFonts w:ascii="Arial" w:hAnsi="Arial" w:cs="Arial"/>
          <w:b/>
          <w:sz w:val="26"/>
          <w:szCs w:val="26"/>
        </w:rPr>
        <w:t>MPLASE,</w:t>
      </w:r>
      <w:r w:rsidR="00D50CC8" w:rsidRPr="002246A5">
        <w:rPr>
          <w:rFonts w:ascii="Arial" w:hAnsi="Arial" w:cs="Arial"/>
          <w:sz w:val="26"/>
          <w:szCs w:val="26"/>
        </w:rPr>
        <w:t xml:space="preserve"> con copia certificada de la presente resolución, vuelvan las constancias remitidas a la </w:t>
      </w:r>
      <w:r w:rsidR="004958D6" w:rsidRPr="002246A5">
        <w:rPr>
          <w:rFonts w:ascii="Arial" w:hAnsi="Arial" w:cs="Arial"/>
          <w:sz w:val="26"/>
          <w:szCs w:val="26"/>
        </w:rPr>
        <w:t>Séptima</w:t>
      </w:r>
      <w:r w:rsidR="003B46E1" w:rsidRPr="002246A5">
        <w:rPr>
          <w:rFonts w:ascii="Arial" w:hAnsi="Arial" w:cs="Arial"/>
          <w:sz w:val="26"/>
          <w:szCs w:val="26"/>
        </w:rPr>
        <w:t xml:space="preserve"> </w:t>
      </w:r>
      <w:r w:rsidR="00D50CC8" w:rsidRPr="002246A5">
        <w:rPr>
          <w:rFonts w:ascii="Arial" w:hAnsi="Arial" w:cs="Arial"/>
          <w:sz w:val="26"/>
          <w:szCs w:val="26"/>
        </w:rPr>
        <w:t xml:space="preserve">Sala Unitaria de Primera Instancia, </w:t>
      </w:r>
      <w:r w:rsidR="00D50CC8" w:rsidRPr="002246A5">
        <w:rPr>
          <w:rFonts w:ascii="Arial" w:eastAsia="Calibri" w:hAnsi="Arial" w:cs="Arial"/>
          <w:sz w:val="26"/>
          <w:szCs w:val="26"/>
        </w:rPr>
        <w:t>y en su oportunidad archívese el cuade</w:t>
      </w:r>
      <w:r w:rsidR="00BF6C02" w:rsidRPr="002246A5">
        <w:rPr>
          <w:rFonts w:ascii="Arial" w:eastAsia="Calibri" w:hAnsi="Arial" w:cs="Arial"/>
          <w:sz w:val="26"/>
          <w:szCs w:val="26"/>
        </w:rPr>
        <w:t>rno de revisión como concluido.</w:t>
      </w:r>
    </w:p>
    <w:p w:rsidR="00BF6C02" w:rsidRPr="002246A5" w:rsidRDefault="00BF6C02" w:rsidP="005F7651">
      <w:pPr>
        <w:pStyle w:val="Sinespaciado"/>
        <w:spacing w:line="360" w:lineRule="auto"/>
        <w:ind w:firstLine="708"/>
        <w:jc w:val="both"/>
        <w:rPr>
          <w:rFonts w:ascii="Arial" w:hAnsi="Arial" w:cs="Arial"/>
          <w:sz w:val="26"/>
          <w:szCs w:val="26"/>
        </w:rPr>
      </w:pPr>
    </w:p>
    <w:p w:rsidR="005F7651" w:rsidRPr="002246A5" w:rsidRDefault="005F7651" w:rsidP="005F7651">
      <w:pPr>
        <w:pStyle w:val="Sinespaciado"/>
        <w:spacing w:line="360" w:lineRule="auto"/>
        <w:ind w:firstLine="708"/>
        <w:jc w:val="both"/>
        <w:rPr>
          <w:rFonts w:ascii="Arial" w:hAnsi="Arial" w:cs="Arial"/>
          <w:sz w:val="26"/>
          <w:szCs w:val="26"/>
        </w:rPr>
      </w:pPr>
      <w:r w:rsidRPr="002246A5">
        <w:rPr>
          <w:rFonts w:ascii="Arial" w:hAnsi="Arial" w:cs="Arial"/>
          <w:sz w:val="26"/>
          <w:szCs w:val="26"/>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5F7651" w:rsidRPr="002246A5" w:rsidRDefault="005F7651" w:rsidP="005F7651">
      <w:pPr>
        <w:spacing w:line="360" w:lineRule="auto"/>
        <w:ind w:firstLine="708"/>
        <w:jc w:val="both"/>
        <w:rPr>
          <w:rFonts w:ascii="Arial" w:hAnsi="Arial" w:cs="Arial"/>
          <w:bCs/>
          <w:sz w:val="26"/>
          <w:szCs w:val="26"/>
        </w:rPr>
      </w:pPr>
    </w:p>
    <w:p w:rsidR="005F7651" w:rsidRDefault="005F7651" w:rsidP="005F7651">
      <w:pPr>
        <w:spacing w:line="360" w:lineRule="auto"/>
        <w:ind w:firstLine="708"/>
        <w:jc w:val="both"/>
        <w:rPr>
          <w:rFonts w:ascii="Arial" w:hAnsi="Arial" w:cs="Arial"/>
          <w:bCs/>
          <w:sz w:val="26"/>
          <w:szCs w:val="26"/>
        </w:rPr>
      </w:pPr>
    </w:p>
    <w:p w:rsidR="005F7651" w:rsidRDefault="005F7651" w:rsidP="005F7651">
      <w:pPr>
        <w:spacing w:line="360" w:lineRule="auto"/>
        <w:ind w:firstLine="708"/>
        <w:jc w:val="both"/>
        <w:rPr>
          <w:rFonts w:ascii="Arial" w:hAnsi="Arial" w:cs="Arial"/>
          <w:bCs/>
          <w:sz w:val="26"/>
          <w:szCs w:val="26"/>
        </w:rPr>
      </w:pPr>
    </w:p>
    <w:p w:rsidR="005F7651" w:rsidRDefault="005F7651" w:rsidP="005F7651">
      <w:pPr>
        <w:jc w:val="center"/>
        <w:rPr>
          <w:rFonts w:ascii="Arial" w:hAnsi="Arial" w:cs="Arial"/>
          <w:sz w:val="26"/>
          <w:szCs w:val="26"/>
        </w:rPr>
      </w:pPr>
      <w:r>
        <w:rPr>
          <w:rFonts w:ascii="Arial" w:hAnsi="Arial" w:cs="Arial"/>
          <w:sz w:val="26"/>
          <w:szCs w:val="26"/>
        </w:rPr>
        <w:t>MAGISTRADA MARÍA ELENA VILLA DE JARQUÍN.</w:t>
      </w:r>
    </w:p>
    <w:p w:rsidR="005F7651" w:rsidRDefault="005F7651" w:rsidP="005F7651">
      <w:pPr>
        <w:jc w:val="center"/>
        <w:rPr>
          <w:rFonts w:ascii="Arial" w:hAnsi="Arial" w:cs="Arial"/>
          <w:sz w:val="26"/>
          <w:szCs w:val="26"/>
        </w:rPr>
      </w:pPr>
      <w:r>
        <w:rPr>
          <w:rFonts w:ascii="Arial" w:hAnsi="Arial" w:cs="Arial"/>
          <w:sz w:val="26"/>
          <w:szCs w:val="26"/>
        </w:rPr>
        <w:t xml:space="preserve">ENCARGADA DEL DESPACHO DE LA PRESIDENCIA </w:t>
      </w:r>
    </w:p>
    <w:p w:rsidR="005F7651" w:rsidRDefault="005F7651" w:rsidP="005F7651">
      <w:pPr>
        <w:jc w:val="center"/>
        <w:rPr>
          <w:rFonts w:ascii="Arial" w:hAnsi="Arial" w:cs="Arial"/>
          <w:sz w:val="26"/>
          <w:szCs w:val="26"/>
        </w:rPr>
      </w:pPr>
    </w:p>
    <w:p w:rsidR="005F7651" w:rsidRDefault="005F7651" w:rsidP="005F7651">
      <w:pPr>
        <w:spacing w:line="360" w:lineRule="auto"/>
        <w:rPr>
          <w:rFonts w:ascii="Arial" w:hAnsi="Arial" w:cs="Arial"/>
          <w:b/>
          <w:sz w:val="26"/>
          <w:szCs w:val="26"/>
        </w:rPr>
      </w:pPr>
    </w:p>
    <w:p w:rsidR="005F7651" w:rsidRDefault="005F7651" w:rsidP="005F7651">
      <w:pPr>
        <w:spacing w:line="360" w:lineRule="auto"/>
        <w:jc w:val="center"/>
        <w:rPr>
          <w:rFonts w:ascii="Arial" w:hAnsi="Arial" w:cs="Arial"/>
          <w:sz w:val="26"/>
          <w:szCs w:val="26"/>
        </w:rPr>
      </w:pPr>
      <w:r>
        <w:rPr>
          <w:rFonts w:ascii="Arial" w:hAnsi="Arial" w:cs="Arial"/>
          <w:sz w:val="26"/>
          <w:szCs w:val="26"/>
        </w:rPr>
        <w:t>MAGISTRADO HUGO VILLEGAS AQUINO.</w:t>
      </w:r>
    </w:p>
    <w:p w:rsidR="005F7651" w:rsidRDefault="005F7651" w:rsidP="005F7651">
      <w:pPr>
        <w:spacing w:line="360" w:lineRule="auto"/>
        <w:rPr>
          <w:rFonts w:ascii="Arial" w:hAnsi="Arial" w:cs="Arial"/>
          <w:b/>
          <w:sz w:val="16"/>
          <w:szCs w:val="16"/>
        </w:rPr>
      </w:pPr>
    </w:p>
    <w:p w:rsidR="005F7651" w:rsidRDefault="00B826A0" w:rsidP="005F7651">
      <w:pPr>
        <w:spacing w:line="360" w:lineRule="auto"/>
        <w:rPr>
          <w:rFonts w:ascii="Arial" w:hAnsi="Arial" w:cs="Arial"/>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63360" behindDoc="0" locked="0" layoutInCell="1" allowOverlap="1" wp14:anchorId="6B172AC4" wp14:editId="72D09B55">
                <wp:simplePos x="0" y="0"/>
                <wp:positionH relativeFrom="column">
                  <wp:posOffset>5438140</wp:posOffset>
                </wp:positionH>
                <wp:positionV relativeFrom="paragraph">
                  <wp:posOffset>123825</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B826A0" w:rsidRDefault="00B826A0" w:rsidP="00B826A0">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8" type="#_x0000_t202" style="position:absolute;margin-left:428.2pt;margin-top:9.7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">
                <v:textbox>
                  <w:txbxContent>
                    <w:p w:rsidR="00B826A0" w:rsidRDefault="00B826A0" w:rsidP="00B826A0">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p w:rsidR="005F7651" w:rsidRDefault="005F7651" w:rsidP="005F7651">
      <w:pPr>
        <w:spacing w:line="360" w:lineRule="auto"/>
        <w:rPr>
          <w:rFonts w:ascii="Arial" w:hAnsi="Arial" w:cs="Arial"/>
          <w:sz w:val="26"/>
          <w:szCs w:val="26"/>
        </w:rPr>
      </w:pPr>
    </w:p>
    <w:p w:rsidR="005F7651" w:rsidRDefault="005F7651" w:rsidP="005F7651">
      <w:pPr>
        <w:spacing w:line="360" w:lineRule="auto"/>
        <w:jc w:val="center"/>
        <w:rPr>
          <w:rFonts w:ascii="Arial" w:hAnsi="Arial" w:cs="Arial"/>
          <w:sz w:val="26"/>
          <w:szCs w:val="26"/>
        </w:rPr>
      </w:pPr>
    </w:p>
    <w:p w:rsidR="005F7651" w:rsidRDefault="005F7651" w:rsidP="005F7651">
      <w:pPr>
        <w:spacing w:line="360" w:lineRule="auto"/>
        <w:jc w:val="center"/>
        <w:rPr>
          <w:rFonts w:ascii="Arial" w:hAnsi="Arial" w:cs="Arial"/>
          <w:sz w:val="26"/>
          <w:szCs w:val="26"/>
        </w:rPr>
      </w:pPr>
      <w:r>
        <w:rPr>
          <w:rFonts w:ascii="Arial" w:hAnsi="Arial" w:cs="Arial"/>
          <w:sz w:val="26"/>
          <w:szCs w:val="26"/>
        </w:rPr>
        <w:t>MAGISTRADO ADRIÁN QUIROGA AVENDAÑO.</w:t>
      </w:r>
    </w:p>
    <w:p w:rsidR="005F7651" w:rsidRDefault="005F7651" w:rsidP="005F7651">
      <w:pPr>
        <w:spacing w:line="360" w:lineRule="auto"/>
        <w:rPr>
          <w:rFonts w:ascii="Arial" w:hAnsi="Arial" w:cs="Arial"/>
          <w:sz w:val="26"/>
          <w:szCs w:val="26"/>
        </w:rPr>
      </w:pPr>
    </w:p>
    <w:p w:rsidR="005F7651" w:rsidRDefault="005F7651" w:rsidP="005F7651">
      <w:pPr>
        <w:spacing w:line="360" w:lineRule="auto"/>
        <w:rPr>
          <w:rFonts w:ascii="Arial" w:hAnsi="Arial" w:cs="Arial"/>
          <w:sz w:val="26"/>
          <w:szCs w:val="26"/>
        </w:rPr>
      </w:pPr>
    </w:p>
    <w:p w:rsidR="005F7651" w:rsidRDefault="005F7651" w:rsidP="005F7651">
      <w:pPr>
        <w:spacing w:line="360" w:lineRule="auto"/>
        <w:rPr>
          <w:rFonts w:ascii="Arial" w:hAnsi="Arial" w:cs="Arial"/>
          <w:sz w:val="26"/>
          <w:szCs w:val="26"/>
        </w:rPr>
      </w:pPr>
    </w:p>
    <w:p w:rsidR="005F7651" w:rsidRDefault="005F7651" w:rsidP="005F7651">
      <w:pPr>
        <w:spacing w:line="360" w:lineRule="auto"/>
        <w:rPr>
          <w:rFonts w:ascii="Arial" w:hAnsi="Arial" w:cs="Arial"/>
          <w:sz w:val="26"/>
          <w:szCs w:val="26"/>
        </w:rPr>
      </w:pPr>
    </w:p>
    <w:p w:rsidR="005F7651" w:rsidRDefault="005F7651" w:rsidP="005F7651">
      <w:pPr>
        <w:spacing w:line="360" w:lineRule="auto"/>
        <w:jc w:val="center"/>
        <w:rPr>
          <w:rFonts w:ascii="Arial" w:hAnsi="Arial" w:cs="Arial"/>
          <w:sz w:val="26"/>
          <w:szCs w:val="26"/>
        </w:rPr>
      </w:pPr>
      <w:r>
        <w:rPr>
          <w:rFonts w:ascii="Arial" w:hAnsi="Arial" w:cs="Arial"/>
          <w:sz w:val="26"/>
          <w:szCs w:val="26"/>
        </w:rPr>
        <w:t>MAGISTRADO ENRIQUE PACHECO MARTÍNEZ.</w:t>
      </w:r>
    </w:p>
    <w:p w:rsidR="005F7651" w:rsidRDefault="005F7651" w:rsidP="005F7651">
      <w:pPr>
        <w:spacing w:line="360" w:lineRule="auto"/>
        <w:jc w:val="center"/>
        <w:rPr>
          <w:rFonts w:ascii="Arial" w:hAnsi="Arial" w:cs="Arial"/>
          <w:sz w:val="26"/>
          <w:szCs w:val="26"/>
        </w:rPr>
      </w:pPr>
    </w:p>
    <w:p w:rsidR="005F7651" w:rsidRDefault="005F7651" w:rsidP="005F7651">
      <w:pPr>
        <w:spacing w:line="360" w:lineRule="auto"/>
        <w:jc w:val="center"/>
        <w:rPr>
          <w:rFonts w:ascii="Arial" w:hAnsi="Arial" w:cs="Arial"/>
          <w:sz w:val="26"/>
          <w:szCs w:val="26"/>
        </w:rPr>
      </w:pPr>
    </w:p>
    <w:p w:rsidR="005F7651" w:rsidRDefault="005F7651" w:rsidP="005F7651">
      <w:pPr>
        <w:jc w:val="center"/>
        <w:rPr>
          <w:rFonts w:ascii="Arial" w:hAnsi="Arial" w:cs="Arial"/>
          <w:sz w:val="26"/>
          <w:szCs w:val="26"/>
        </w:rPr>
      </w:pPr>
    </w:p>
    <w:p w:rsidR="005F7651" w:rsidRDefault="005F7651" w:rsidP="005F7651">
      <w:pPr>
        <w:jc w:val="center"/>
        <w:rPr>
          <w:rFonts w:ascii="Arial" w:hAnsi="Arial" w:cs="Arial"/>
          <w:sz w:val="26"/>
          <w:szCs w:val="26"/>
        </w:rPr>
      </w:pPr>
    </w:p>
    <w:p w:rsidR="005F7651" w:rsidRDefault="005F7651" w:rsidP="005F7651">
      <w:pPr>
        <w:jc w:val="center"/>
        <w:rPr>
          <w:rFonts w:ascii="Arial" w:hAnsi="Arial" w:cs="Arial"/>
          <w:sz w:val="26"/>
          <w:szCs w:val="26"/>
        </w:rPr>
      </w:pPr>
      <w:r>
        <w:rPr>
          <w:rFonts w:ascii="Arial" w:hAnsi="Arial" w:cs="Arial"/>
          <w:sz w:val="26"/>
          <w:szCs w:val="26"/>
        </w:rPr>
        <w:t>LICENCIADA SANDRA PÉREZ CRUZ.</w:t>
      </w:r>
    </w:p>
    <w:p w:rsidR="00D50CC8" w:rsidRPr="002246A5" w:rsidRDefault="005F7651" w:rsidP="002246A5">
      <w:pPr>
        <w:jc w:val="center"/>
        <w:rPr>
          <w:rFonts w:ascii="Arial" w:hAnsi="Arial" w:cs="Arial"/>
          <w:sz w:val="26"/>
          <w:szCs w:val="26"/>
        </w:rPr>
      </w:pPr>
      <w:r>
        <w:rPr>
          <w:rFonts w:ascii="Arial" w:hAnsi="Arial" w:cs="Arial"/>
          <w:sz w:val="26"/>
          <w:szCs w:val="26"/>
        </w:rPr>
        <w:t>SECRETARIA GENERAL DE ACUERDOS.</w:t>
      </w:r>
    </w:p>
    <w:sectPr w:rsidR="00D50CC8" w:rsidRPr="002246A5" w:rsidSect="005F7651">
      <w:headerReference w:type="even" r:id="rId9"/>
      <w:headerReference w:type="default" r:id="rId10"/>
      <w:footerReference w:type="default" r:id="rId11"/>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03F" w:rsidRDefault="001A203F">
      <w:r>
        <w:separator/>
      </w:r>
    </w:p>
  </w:endnote>
  <w:endnote w:type="continuationSeparator" w:id="0">
    <w:p w:rsidR="001A203F" w:rsidRDefault="001A2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6A0" w:rsidRDefault="00B826A0">
    <w:pPr>
      <w:pStyle w:val="Piedepgina"/>
    </w:pPr>
    <w:r>
      <w:rPr>
        <w:noProof/>
        <w:lang w:eastAsia="es-MX"/>
      </w:rPr>
      <mc:AlternateContent>
        <mc:Choice Requires="wps">
          <w:drawing>
            <wp:anchor distT="0" distB="0" distL="114300" distR="114300" simplePos="0" relativeHeight="251659264" behindDoc="0" locked="0" layoutInCell="1" allowOverlap="1" wp14:anchorId="37E40C1B" wp14:editId="42B134AF">
              <wp:simplePos x="0" y="0"/>
              <wp:positionH relativeFrom="column">
                <wp:posOffset>-1757045</wp:posOffset>
              </wp:positionH>
              <wp:positionV relativeFrom="paragraph">
                <wp:posOffset>-4478655</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B826A0" w:rsidRDefault="00B826A0" w:rsidP="00B826A0">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9" type="#_x0000_t202" style="position:absolute;margin-left:-138.35pt;margin-top:-352.6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Qs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zziy0&#10;1KLNHqRDJhULagjI5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">
              <v:textbox>
                <w:txbxContent>
                  <w:p w:rsidR="00B826A0" w:rsidRDefault="00B826A0" w:rsidP="00B826A0">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03F" w:rsidRDefault="001A203F">
      <w:r>
        <w:separator/>
      </w:r>
    </w:p>
  </w:footnote>
  <w:footnote w:type="continuationSeparator" w:id="0">
    <w:p w:rsidR="001A203F" w:rsidRDefault="001A20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2A6EF0" w:rsidRDefault="003B46E1">
        <w:pPr>
          <w:pStyle w:val="Encabezado"/>
          <w:jc w:val="center"/>
        </w:pPr>
        <w:r>
          <w:fldChar w:fldCharType="begin"/>
        </w:r>
        <w:r>
          <w:instrText>PAGE   \* MERGEFORMAT</w:instrText>
        </w:r>
        <w:r>
          <w:fldChar w:fldCharType="separate"/>
        </w:r>
        <w:r>
          <w:rPr>
            <w:noProof/>
          </w:rPr>
          <w:t>8</w:t>
        </w:r>
        <w:r>
          <w:fldChar w:fldCharType="end"/>
        </w:r>
      </w:p>
    </w:sdtContent>
  </w:sdt>
  <w:p w:rsidR="002A6EF0" w:rsidRDefault="00B826A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927607" w:rsidRDefault="003B46E1" w:rsidP="00206B99">
        <w:pPr>
          <w:pStyle w:val="Encabezado"/>
          <w:jc w:val="center"/>
          <w:rPr>
            <w:noProof/>
          </w:rPr>
        </w:pPr>
        <w:r>
          <w:fldChar w:fldCharType="begin"/>
        </w:r>
        <w:r>
          <w:instrText xml:space="preserve"> PAGE   \* MERGEFORMAT </w:instrText>
        </w:r>
        <w:r>
          <w:fldChar w:fldCharType="separate"/>
        </w:r>
        <w:r w:rsidR="00B826A0">
          <w:rPr>
            <w:noProof/>
          </w:rPr>
          <w:t>6</w:t>
        </w:r>
        <w:r>
          <w:rPr>
            <w:noProof/>
          </w:rPr>
          <w:fldChar w:fldCharType="end"/>
        </w:r>
      </w:p>
      <w:p w:rsidR="00655BA3" w:rsidRDefault="00B826A0" w:rsidP="00206B99">
        <w:pPr>
          <w:pStyle w:val="Encabezado"/>
          <w:jc w:val="center"/>
        </w:pPr>
      </w:p>
    </w:sdtContent>
  </w:sdt>
  <w:p w:rsidR="00655BA3" w:rsidRDefault="00B826A0" w:rsidP="00927607">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62639"/>
    <w:multiLevelType w:val="hybridMultilevel"/>
    <w:tmpl w:val="E1D07FE6"/>
    <w:lvl w:ilvl="0" w:tplc="6E68F5F2">
      <w:numFmt w:val="bullet"/>
      <w:lvlText w:val=""/>
      <w:lvlJc w:val="left"/>
      <w:pPr>
        <w:ind w:left="1069" w:hanging="360"/>
      </w:pPr>
      <w:rPr>
        <w:rFonts w:ascii="Symbol" w:eastAsiaTheme="minorHAnsi" w:hAnsi="Symbol" w:cs="Arial" w:hint="default"/>
        <w:i w:val="0"/>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
    <w:nsid w:val="507C5DA7"/>
    <w:multiLevelType w:val="hybridMultilevel"/>
    <w:tmpl w:val="89D40170"/>
    <w:lvl w:ilvl="0" w:tplc="12081358">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C8"/>
    <w:rsid w:val="000A427C"/>
    <w:rsid w:val="000C4EDB"/>
    <w:rsid w:val="000D38F3"/>
    <w:rsid w:val="00126D84"/>
    <w:rsid w:val="001A203F"/>
    <w:rsid w:val="001A7C5F"/>
    <w:rsid w:val="001D7374"/>
    <w:rsid w:val="00224432"/>
    <w:rsid w:val="002246A5"/>
    <w:rsid w:val="0024422C"/>
    <w:rsid w:val="002A28BA"/>
    <w:rsid w:val="002C47FA"/>
    <w:rsid w:val="002C506E"/>
    <w:rsid w:val="00313095"/>
    <w:rsid w:val="0035602E"/>
    <w:rsid w:val="00383353"/>
    <w:rsid w:val="003B46E1"/>
    <w:rsid w:val="003D0464"/>
    <w:rsid w:val="00410378"/>
    <w:rsid w:val="00444F60"/>
    <w:rsid w:val="004467A3"/>
    <w:rsid w:val="00471537"/>
    <w:rsid w:val="004958D6"/>
    <w:rsid w:val="004A7AAC"/>
    <w:rsid w:val="00537885"/>
    <w:rsid w:val="005878DD"/>
    <w:rsid w:val="005F7651"/>
    <w:rsid w:val="007034DE"/>
    <w:rsid w:val="00704FDD"/>
    <w:rsid w:val="00730111"/>
    <w:rsid w:val="007617D1"/>
    <w:rsid w:val="0078247C"/>
    <w:rsid w:val="00836344"/>
    <w:rsid w:val="009841C5"/>
    <w:rsid w:val="00996623"/>
    <w:rsid w:val="009C7C8D"/>
    <w:rsid w:val="00A0672E"/>
    <w:rsid w:val="00AA40B9"/>
    <w:rsid w:val="00AC16EE"/>
    <w:rsid w:val="00AD6DCE"/>
    <w:rsid w:val="00B37154"/>
    <w:rsid w:val="00B826A0"/>
    <w:rsid w:val="00BA42B2"/>
    <w:rsid w:val="00BA554F"/>
    <w:rsid w:val="00BF6C02"/>
    <w:rsid w:val="00C64FB6"/>
    <w:rsid w:val="00D50CC8"/>
    <w:rsid w:val="00D67EB8"/>
    <w:rsid w:val="00DF52D8"/>
    <w:rsid w:val="00E56E21"/>
    <w:rsid w:val="00ED5294"/>
    <w:rsid w:val="00F2644C"/>
    <w:rsid w:val="00F6491A"/>
    <w:rsid w:val="00FF5B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CC8"/>
    <w:pPr>
      <w:spacing w:after="0" w:line="240" w:lineRule="auto"/>
    </w:pPr>
    <w:rPr>
      <w:lang w:val="es-MX"/>
    </w:rPr>
  </w:style>
  <w:style w:type="paragraph" w:styleId="Ttulo1">
    <w:name w:val="heading 1"/>
    <w:basedOn w:val="Normal"/>
    <w:next w:val="Normal"/>
    <w:link w:val="Ttulo1Car"/>
    <w:uiPriority w:val="9"/>
    <w:qFormat/>
    <w:rsid w:val="00D50CC8"/>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50CC8"/>
    <w:rPr>
      <w:rFonts w:asciiTheme="majorHAnsi" w:eastAsiaTheme="majorEastAsia" w:hAnsiTheme="majorHAnsi" w:cstheme="majorBidi"/>
      <w:b/>
      <w:bCs/>
      <w:color w:val="2E74B5" w:themeColor="accent1" w:themeShade="BF"/>
      <w:sz w:val="28"/>
      <w:szCs w:val="28"/>
    </w:rPr>
  </w:style>
  <w:style w:type="paragraph" w:customStyle="1" w:styleId="Textoindependiente21">
    <w:name w:val="Texto independiente 21"/>
    <w:basedOn w:val="Normal"/>
    <w:rsid w:val="00D50CC8"/>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D50CC8"/>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D50CC8"/>
    <w:rPr>
      <w:rFonts w:ascii="Times New Roman" w:eastAsia="PMingLiU" w:hAnsi="Times New Roman" w:cs="Times New Roman"/>
      <w:sz w:val="24"/>
      <w:szCs w:val="24"/>
      <w:lang w:eastAsia="zh-TW"/>
    </w:rPr>
  </w:style>
  <w:style w:type="paragraph" w:styleId="Sinespaciado">
    <w:name w:val="No Spacing"/>
    <w:uiPriority w:val="1"/>
    <w:qFormat/>
    <w:rsid w:val="00D50CC8"/>
    <w:pPr>
      <w:spacing w:after="0" w:line="240" w:lineRule="auto"/>
    </w:pPr>
  </w:style>
  <w:style w:type="paragraph" w:styleId="Prrafodelista">
    <w:name w:val="List Paragraph"/>
    <w:basedOn w:val="Normal"/>
    <w:uiPriority w:val="34"/>
    <w:qFormat/>
    <w:rsid w:val="00F6491A"/>
    <w:pPr>
      <w:ind w:left="720"/>
      <w:contextualSpacing/>
    </w:pPr>
  </w:style>
  <w:style w:type="paragraph" w:styleId="Textonotapie">
    <w:name w:val="footnote text"/>
    <w:basedOn w:val="Normal"/>
    <w:link w:val="TextonotapieCar"/>
    <w:uiPriority w:val="99"/>
    <w:semiHidden/>
    <w:unhideWhenUsed/>
    <w:rsid w:val="0078247C"/>
    <w:rPr>
      <w:sz w:val="20"/>
      <w:szCs w:val="20"/>
    </w:rPr>
  </w:style>
  <w:style w:type="character" w:customStyle="1" w:styleId="TextonotapieCar">
    <w:name w:val="Texto nota pie Car"/>
    <w:basedOn w:val="Fuentedeprrafopredeter"/>
    <w:link w:val="Textonotapie"/>
    <w:uiPriority w:val="99"/>
    <w:semiHidden/>
    <w:rsid w:val="0078247C"/>
    <w:rPr>
      <w:sz w:val="20"/>
      <w:szCs w:val="20"/>
      <w:lang w:val="es-MX"/>
    </w:rPr>
  </w:style>
  <w:style w:type="character" w:styleId="Refdenotaalpie">
    <w:name w:val="footnote reference"/>
    <w:basedOn w:val="Fuentedeprrafopredeter"/>
    <w:uiPriority w:val="99"/>
    <w:semiHidden/>
    <w:unhideWhenUsed/>
    <w:rsid w:val="0078247C"/>
    <w:rPr>
      <w:vertAlign w:val="superscript"/>
    </w:rPr>
  </w:style>
  <w:style w:type="paragraph" w:styleId="Piedepgina">
    <w:name w:val="footer"/>
    <w:basedOn w:val="Normal"/>
    <w:link w:val="PiedepginaCar"/>
    <w:uiPriority w:val="99"/>
    <w:unhideWhenUsed/>
    <w:rsid w:val="005F7651"/>
    <w:pPr>
      <w:tabs>
        <w:tab w:val="center" w:pos="4419"/>
        <w:tab w:val="right" w:pos="8838"/>
      </w:tabs>
    </w:pPr>
  </w:style>
  <w:style w:type="character" w:customStyle="1" w:styleId="PiedepginaCar">
    <w:name w:val="Pie de página Car"/>
    <w:basedOn w:val="Fuentedeprrafopredeter"/>
    <w:link w:val="Piedepgina"/>
    <w:uiPriority w:val="99"/>
    <w:rsid w:val="005F7651"/>
    <w:rPr>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CC8"/>
    <w:pPr>
      <w:spacing w:after="0" w:line="240" w:lineRule="auto"/>
    </w:pPr>
    <w:rPr>
      <w:lang w:val="es-MX"/>
    </w:rPr>
  </w:style>
  <w:style w:type="paragraph" w:styleId="Ttulo1">
    <w:name w:val="heading 1"/>
    <w:basedOn w:val="Normal"/>
    <w:next w:val="Normal"/>
    <w:link w:val="Ttulo1Car"/>
    <w:uiPriority w:val="9"/>
    <w:qFormat/>
    <w:rsid w:val="00D50CC8"/>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50CC8"/>
    <w:rPr>
      <w:rFonts w:asciiTheme="majorHAnsi" w:eastAsiaTheme="majorEastAsia" w:hAnsiTheme="majorHAnsi" w:cstheme="majorBidi"/>
      <w:b/>
      <w:bCs/>
      <w:color w:val="2E74B5" w:themeColor="accent1" w:themeShade="BF"/>
      <w:sz w:val="28"/>
      <w:szCs w:val="28"/>
    </w:rPr>
  </w:style>
  <w:style w:type="paragraph" w:customStyle="1" w:styleId="Textoindependiente21">
    <w:name w:val="Texto independiente 21"/>
    <w:basedOn w:val="Normal"/>
    <w:rsid w:val="00D50CC8"/>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D50CC8"/>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D50CC8"/>
    <w:rPr>
      <w:rFonts w:ascii="Times New Roman" w:eastAsia="PMingLiU" w:hAnsi="Times New Roman" w:cs="Times New Roman"/>
      <w:sz w:val="24"/>
      <w:szCs w:val="24"/>
      <w:lang w:eastAsia="zh-TW"/>
    </w:rPr>
  </w:style>
  <w:style w:type="paragraph" w:styleId="Sinespaciado">
    <w:name w:val="No Spacing"/>
    <w:uiPriority w:val="1"/>
    <w:qFormat/>
    <w:rsid w:val="00D50CC8"/>
    <w:pPr>
      <w:spacing w:after="0" w:line="240" w:lineRule="auto"/>
    </w:pPr>
  </w:style>
  <w:style w:type="paragraph" w:styleId="Prrafodelista">
    <w:name w:val="List Paragraph"/>
    <w:basedOn w:val="Normal"/>
    <w:uiPriority w:val="34"/>
    <w:qFormat/>
    <w:rsid w:val="00F6491A"/>
    <w:pPr>
      <w:ind w:left="720"/>
      <w:contextualSpacing/>
    </w:pPr>
  </w:style>
  <w:style w:type="paragraph" w:styleId="Textonotapie">
    <w:name w:val="footnote text"/>
    <w:basedOn w:val="Normal"/>
    <w:link w:val="TextonotapieCar"/>
    <w:uiPriority w:val="99"/>
    <w:semiHidden/>
    <w:unhideWhenUsed/>
    <w:rsid w:val="0078247C"/>
    <w:rPr>
      <w:sz w:val="20"/>
      <w:szCs w:val="20"/>
    </w:rPr>
  </w:style>
  <w:style w:type="character" w:customStyle="1" w:styleId="TextonotapieCar">
    <w:name w:val="Texto nota pie Car"/>
    <w:basedOn w:val="Fuentedeprrafopredeter"/>
    <w:link w:val="Textonotapie"/>
    <w:uiPriority w:val="99"/>
    <w:semiHidden/>
    <w:rsid w:val="0078247C"/>
    <w:rPr>
      <w:sz w:val="20"/>
      <w:szCs w:val="20"/>
      <w:lang w:val="es-MX"/>
    </w:rPr>
  </w:style>
  <w:style w:type="character" w:styleId="Refdenotaalpie">
    <w:name w:val="footnote reference"/>
    <w:basedOn w:val="Fuentedeprrafopredeter"/>
    <w:uiPriority w:val="99"/>
    <w:semiHidden/>
    <w:unhideWhenUsed/>
    <w:rsid w:val="0078247C"/>
    <w:rPr>
      <w:vertAlign w:val="superscript"/>
    </w:rPr>
  </w:style>
  <w:style w:type="paragraph" w:styleId="Piedepgina">
    <w:name w:val="footer"/>
    <w:basedOn w:val="Normal"/>
    <w:link w:val="PiedepginaCar"/>
    <w:uiPriority w:val="99"/>
    <w:unhideWhenUsed/>
    <w:rsid w:val="005F7651"/>
    <w:pPr>
      <w:tabs>
        <w:tab w:val="center" w:pos="4419"/>
        <w:tab w:val="right" w:pos="8838"/>
      </w:tabs>
    </w:pPr>
  </w:style>
  <w:style w:type="character" w:customStyle="1" w:styleId="PiedepginaCar">
    <w:name w:val="Pie de página Car"/>
    <w:basedOn w:val="Fuentedeprrafopredeter"/>
    <w:link w:val="Piedepgina"/>
    <w:uiPriority w:val="99"/>
    <w:rsid w:val="005F7651"/>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EDEB3-BDAD-4A5D-8055-819D20701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6</Pages>
  <Words>1811</Words>
  <Characters>9966</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TCA-Personal</cp:lastModifiedBy>
  <cp:revision>15</cp:revision>
  <dcterms:created xsi:type="dcterms:W3CDTF">2018-03-08T16:45:00Z</dcterms:created>
  <dcterms:modified xsi:type="dcterms:W3CDTF">2018-12-10T16:21:00Z</dcterms:modified>
</cp:coreProperties>
</file>