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4A0" w:firstRow="1" w:lastRow="0" w:firstColumn="1" w:lastColumn="0" w:noHBand="0" w:noVBand="1"/>
      </w:tblPr>
      <w:tblGrid>
        <w:gridCol w:w="2356"/>
        <w:gridCol w:w="7426"/>
      </w:tblGrid>
      <w:tr w:rsidR="005D153F">
        <w:tc>
          <w:tcPr>
            <w:tcW w:w="2356" w:type="dxa"/>
          </w:tcPr>
          <w:p w:rsidR="005D153F" w:rsidRDefault="005D153F">
            <w:pPr>
              <w:spacing w:after="0" w:line="240" w:lineRule="auto"/>
              <w:rPr>
                <w:rFonts w:ascii="Arial" w:hAnsi="Arial"/>
                <w:b/>
                <w:sz w:val="26"/>
              </w:rPr>
            </w:pPr>
          </w:p>
        </w:tc>
        <w:tc>
          <w:tcPr>
            <w:tcW w:w="7426" w:type="dxa"/>
          </w:tcPr>
          <w:p w:rsidR="005D153F" w:rsidRDefault="00955F65">
            <w:pPr>
              <w:tabs>
                <w:tab w:val="left" w:pos="3103"/>
              </w:tabs>
              <w:spacing w:after="0" w:line="240" w:lineRule="auto"/>
              <w:ind w:left="1260" w:right="497" w:hanging="1119"/>
              <w:jc w:val="both"/>
              <w:rPr>
                <w:rFonts w:ascii="Arial" w:hAnsi="Arial"/>
                <w:b/>
                <w:caps/>
                <w:sz w:val="26"/>
              </w:rPr>
            </w:pPr>
            <w:r>
              <w:rPr>
                <w:rFonts w:ascii="Arial" w:hAnsi="Arial"/>
                <w:b/>
                <w:i/>
                <w:caps/>
                <w:sz w:val="26"/>
              </w:rPr>
              <w:t xml:space="preserve">                </w:t>
            </w:r>
            <w:r>
              <w:rPr>
                <w:rFonts w:ascii="Arial" w:hAnsi="Arial"/>
                <w:b/>
                <w:caps/>
                <w:sz w:val="26"/>
              </w:rPr>
              <w:t>SALA SUPERIOR DEL TRIBUNAL DE JUSTICIA ADMINISTRATIVA DEL ESTADO de oaxaca.</w:t>
            </w:r>
          </w:p>
          <w:p w:rsidR="005D153F" w:rsidRDefault="00955F65">
            <w:pPr>
              <w:pStyle w:val="Encabezado"/>
              <w:ind w:left="1260" w:right="51"/>
              <w:jc w:val="both"/>
              <w:rPr>
                <w:rFonts w:ascii="Arial" w:hAnsi="Arial"/>
                <w:b/>
                <w:caps/>
                <w:sz w:val="26"/>
                <w:lang w:val="es-PE"/>
              </w:rPr>
            </w:pPr>
            <w:r>
              <w:rPr>
                <w:rFonts w:ascii="Arial" w:hAnsi="Arial"/>
                <w:b/>
                <w:caps/>
                <w:sz w:val="26"/>
                <w:lang w:val="es-PE"/>
              </w:rPr>
              <w:t xml:space="preserve">               </w:t>
            </w:r>
          </w:p>
          <w:p w:rsidR="005D153F" w:rsidRDefault="00955F65">
            <w:pPr>
              <w:pStyle w:val="Encabezado"/>
              <w:ind w:right="51"/>
              <w:jc w:val="both"/>
              <w:rPr>
                <w:rFonts w:ascii="Arial" w:hAnsi="Arial"/>
                <w:b/>
                <w:caps/>
                <w:sz w:val="26"/>
                <w:lang w:val="es-PE"/>
              </w:rPr>
            </w:pPr>
            <w:r>
              <w:rPr>
                <w:rFonts w:ascii="Arial" w:hAnsi="Arial"/>
                <w:b/>
                <w:caps/>
                <w:sz w:val="26"/>
                <w:lang w:val="es-PE"/>
              </w:rPr>
              <w:t xml:space="preserve">                 RECURSO DE REVISIÓN:   618/2017</w:t>
            </w:r>
          </w:p>
          <w:p w:rsidR="005D153F" w:rsidRDefault="005D153F">
            <w:pPr>
              <w:pStyle w:val="Encabezado"/>
              <w:ind w:left="1260" w:right="51"/>
              <w:jc w:val="both"/>
              <w:rPr>
                <w:rFonts w:ascii="Arial" w:hAnsi="Arial"/>
                <w:b/>
                <w:caps/>
                <w:sz w:val="26"/>
                <w:lang w:val="es-PE"/>
              </w:rPr>
            </w:pPr>
          </w:p>
          <w:p w:rsidR="005D153F" w:rsidRDefault="00955F65">
            <w:pPr>
              <w:pStyle w:val="Encabezado"/>
              <w:ind w:left="1260" w:right="497" w:hanging="1119"/>
              <w:jc w:val="both"/>
              <w:rPr>
                <w:rFonts w:ascii="Arial" w:hAnsi="Arial"/>
                <w:b/>
                <w:caps/>
                <w:sz w:val="26"/>
                <w:lang w:val="es-PE"/>
              </w:rPr>
            </w:pPr>
            <w:r>
              <w:rPr>
                <w:rFonts w:ascii="Arial" w:hAnsi="Arial"/>
                <w:b/>
                <w:caps/>
                <w:sz w:val="26"/>
                <w:lang w:val="es-PE"/>
              </w:rPr>
              <w:t xml:space="preserve">               incidente de resarcimiento de daños y perjuicios deducido del </w:t>
            </w:r>
            <w:r>
              <w:rPr>
                <w:rFonts w:ascii="Arial" w:hAnsi="Arial"/>
                <w:b/>
                <w:caps/>
                <w:sz w:val="26"/>
              </w:rPr>
              <w:t>EXPEDIENTE:</w:t>
            </w:r>
            <w:r>
              <w:rPr>
                <w:rFonts w:ascii="Arial" w:hAnsi="Arial"/>
                <w:b/>
                <w:caps/>
                <w:sz w:val="26"/>
                <w:lang w:val="es-PE"/>
              </w:rPr>
              <w:t xml:space="preserve"> 0173/2016 de la sexta sala unitaria DE PRIMERA INSTANCIA.</w:t>
            </w:r>
          </w:p>
          <w:p w:rsidR="005D153F" w:rsidRDefault="005D153F">
            <w:pPr>
              <w:pStyle w:val="Encabezado"/>
              <w:ind w:left="1260" w:right="51" w:hanging="1119"/>
              <w:jc w:val="both"/>
              <w:rPr>
                <w:rFonts w:ascii="Arial" w:hAnsi="Arial"/>
                <w:b/>
                <w:caps/>
                <w:sz w:val="26"/>
                <w:lang w:val="es-PE"/>
              </w:rPr>
            </w:pPr>
          </w:p>
          <w:p w:rsidR="005D153F" w:rsidRDefault="00955F65">
            <w:pPr>
              <w:pStyle w:val="Encabezado"/>
              <w:ind w:left="1260" w:right="497" w:hanging="1134"/>
              <w:jc w:val="both"/>
              <w:rPr>
                <w:rFonts w:ascii="Arial" w:hAnsi="Arial"/>
                <w:b/>
                <w:caps/>
                <w:sz w:val="26"/>
                <w:lang w:val="es-PE"/>
              </w:rPr>
            </w:pPr>
            <w:r>
              <w:rPr>
                <w:rFonts w:ascii="Arial" w:hAnsi="Arial"/>
                <w:b/>
                <w:caps/>
                <w:sz w:val="26"/>
                <w:lang w:val="es-PE"/>
              </w:rPr>
              <w:t xml:space="preserve">                ponente: magISTRADo </w:t>
            </w:r>
            <w:r>
              <w:rPr>
                <w:rFonts w:ascii="Arial" w:hAnsi="Arial"/>
                <w:b/>
                <w:sz w:val="26"/>
                <w:lang w:val="es-PE"/>
              </w:rPr>
              <w:t xml:space="preserve">ADRIÁN </w:t>
            </w:r>
            <w:r>
              <w:rPr>
                <w:rFonts w:ascii="Arial" w:hAnsi="Arial"/>
                <w:b/>
                <w:caps/>
                <w:sz w:val="26"/>
                <w:lang w:val="es-PE"/>
              </w:rPr>
              <w:t>quiroga avendaño.</w:t>
            </w:r>
          </w:p>
        </w:tc>
      </w:tr>
      <w:tr w:rsidR="005D153F">
        <w:tc>
          <w:tcPr>
            <w:tcW w:w="2356" w:type="dxa"/>
          </w:tcPr>
          <w:p w:rsidR="005D153F" w:rsidRDefault="005D153F">
            <w:pPr>
              <w:spacing w:after="0" w:line="240" w:lineRule="auto"/>
              <w:rPr>
                <w:rFonts w:ascii="Arial" w:hAnsi="Arial"/>
                <w:b/>
                <w:sz w:val="26"/>
              </w:rPr>
            </w:pPr>
          </w:p>
        </w:tc>
        <w:tc>
          <w:tcPr>
            <w:tcW w:w="7426" w:type="dxa"/>
          </w:tcPr>
          <w:p w:rsidR="005D153F" w:rsidRDefault="00955F65">
            <w:pPr>
              <w:tabs>
                <w:tab w:val="left" w:pos="3103"/>
              </w:tabs>
              <w:spacing w:after="0" w:line="240" w:lineRule="auto"/>
              <w:ind w:left="2961" w:hanging="2961"/>
              <w:jc w:val="both"/>
              <w:rPr>
                <w:rFonts w:ascii="Arial" w:hAnsi="Arial"/>
                <w:b/>
                <w:caps/>
                <w:sz w:val="26"/>
              </w:rPr>
            </w:pPr>
            <w:r>
              <w:rPr>
                <w:rFonts w:ascii="Arial" w:hAnsi="Arial"/>
                <w:b/>
                <w:i/>
                <w:caps/>
                <w:sz w:val="26"/>
              </w:rPr>
              <w:t xml:space="preserve">                                   </w:t>
            </w:r>
          </w:p>
        </w:tc>
      </w:tr>
      <w:tr w:rsidR="005D153F">
        <w:tc>
          <w:tcPr>
            <w:tcW w:w="2356" w:type="dxa"/>
          </w:tcPr>
          <w:p w:rsidR="005D153F" w:rsidRDefault="005D153F">
            <w:pPr>
              <w:spacing w:after="0" w:line="240" w:lineRule="auto"/>
              <w:rPr>
                <w:rFonts w:ascii="Arial" w:hAnsi="Arial"/>
                <w:b/>
                <w:sz w:val="26"/>
              </w:rPr>
            </w:pPr>
          </w:p>
        </w:tc>
        <w:tc>
          <w:tcPr>
            <w:tcW w:w="7426" w:type="dxa"/>
          </w:tcPr>
          <w:p w:rsidR="005D153F" w:rsidRDefault="005D153F">
            <w:pPr>
              <w:tabs>
                <w:tab w:val="left" w:pos="3103"/>
              </w:tabs>
              <w:spacing w:after="0" w:line="240" w:lineRule="auto"/>
              <w:ind w:left="2961" w:hanging="2961"/>
              <w:jc w:val="both"/>
              <w:rPr>
                <w:rFonts w:ascii="Arial" w:hAnsi="Arial"/>
                <w:b/>
                <w:i/>
                <w:caps/>
                <w:sz w:val="26"/>
              </w:rPr>
            </w:pPr>
          </w:p>
        </w:tc>
      </w:tr>
    </w:tbl>
    <w:p w:rsidR="005D153F" w:rsidRDefault="00955F65">
      <w:pPr>
        <w:spacing w:after="0" w:line="360" w:lineRule="auto"/>
        <w:jc w:val="both"/>
        <w:rPr>
          <w:rFonts w:ascii="Arial" w:hAnsi="Arial"/>
          <w:b/>
          <w:sz w:val="26"/>
        </w:rPr>
      </w:pPr>
      <w:r>
        <w:rPr>
          <w:rFonts w:ascii="Arial" w:hAnsi="Arial"/>
          <w:b/>
          <w:sz w:val="26"/>
        </w:rPr>
        <w:t>OAXACA DE JUÁREZ, OAXACA A 8 OCHO DE MARZO DE 2018 DOS MIL DIECIOCHO.</w:t>
      </w:r>
    </w:p>
    <w:p w:rsidR="005D153F" w:rsidRDefault="00955F65">
      <w:pPr>
        <w:spacing w:after="0" w:line="360" w:lineRule="auto"/>
        <w:ind w:firstLine="708"/>
        <w:jc w:val="both"/>
        <w:rPr>
          <w:rFonts w:ascii="Arial" w:hAnsi="Arial"/>
          <w:sz w:val="26"/>
        </w:rPr>
      </w:pPr>
      <w:r>
        <w:rPr>
          <w:rFonts w:ascii="Arial" w:hAnsi="Arial"/>
          <w:sz w:val="26"/>
        </w:rPr>
        <w:t xml:space="preserve">Por recibido el Cuaderno de Revisión </w:t>
      </w:r>
      <w:r>
        <w:rPr>
          <w:rFonts w:ascii="Arial" w:hAnsi="Arial"/>
          <w:b/>
          <w:sz w:val="26"/>
        </w:rPr>
        <w:t xml:space="preserve">618/2017 </w:t>
      </w:r>
      <w:r>
        <w:rPr>
          <w:rFonts w:ascii="Arial" w:hAnsi="Arial"/>
          <w:sz w:val="26"/>
        </w:rPr>
        <w:t xml:space="preserve">que remite la Secretaría General de Acuerdos, con motivo del recurso de revisión interpuesto por </w:t>
      </w:r>
      <w:r w:rsidR="00AF3CD7">
        <w:rPr>
          <w:rFonts w:ascii="Arial" w:hAnsi="Arial"/>
          <w:b/>
          <w:sz w:val="26"/>
        </w:rPr>
        <w:t>**********</w:t>
      </w:r>
      <w:r>
        <w:rPr>
          <w:rFonts w:ascii="Arial" w:hAnsi="Arial"/>
          <w:b/>
          <w:sz w:val="26"/>
        </w:rPr>
        <w:t xml:space="preserve">, </w:t>
      </w:r>
      <w:r>
        <w:rPr>
          <w:rFonts w:ascii="Arial" w:hAnsi="Arial"/>
          <w:sz w:val="26"/>
          <w:lang w:eastAsia="es-ES"/>
        </w:rPr>
        <w:t xml:space="preserve">apoderado legal de la parte actora </w:t>
      </w:r>
      <w:r>
        <w:rPr>
          <w:rFonts w:ascii="Arial" w:hAnsi="Arial"/>
          <w:b/>
          <w:sz w:val="26"/>
          <w:lang w:eastAsia="es-ES"/>
        </w:rPr>
        <w:t>”IMECA” INGENIERIA Y CONSTRUCCION S.A. DE C.V</w:t>
      </w:r>
      <w:r>
        <w:rPr>
          <w:rFonts w:ascii="Arial" w:hAnsi="Arial"/>
          <w:sz w:val="26"/>
        </w:rPr>
        <w:t xml:space="preserve">; en contra del acuerdo de 23 veintitrés de octubre de 2017 dos mil diecisiete,  dictado en incidente de resarcimiento de daños y perjuicios deducido del expediente </w:t>
      </w:r>
      <w:r>
        <w:rPr>
          <w:rFonts w:ascii="Arial" w:hAnsi="Arial"/>
          <w:b/>
          <w:sz w:val="26"/>
        </w:rPr>
        <w:t xml:space="preserve">0173/2016, </w:t>
      </w:r>
      <w:r>
        <w:rPr>
          <w:rFonts w:ascii="Arial" w:hAnsi="Arial"/>
          <w:sz w:val="26"/>
        </w:rPr>
        <w:t xml:space="preserve">del índice de la Sexta Sala Unitaria de Primera Instancia, relativo al juicio de nulidad promovido por </w:t>
      </w:r>
      <w:r>
        <w:rPr>
          <w:rFonts w:ascii="Arial" w:hAnsi="Arial"/>
          <w:b/>
          <w:sz w:val="26"/>
        </w:rPr>
        <w:t>EL RECURRENTE</w:t>
      </w:r>
      <w:r>
        <w:rPr>
          <w:rFonts w:ascii="Arial" w:hAnsi="Arial"/>
          <w:sz w:val="26"/>
        </w:rPr>
        <w:t>,</w:t>
      </w:r>
      <w:r>
        <w:rPr>
          <w:rFonts w:ascii="Arial" w:hAnsi="Arial"/>
          <w:b/>
          <w:sz w:val="26"/>
        </w:rPr>
        <w:t xml:space="preserve"> </w:t>
      </w:r>
      <w:r>
        <w:rPr>
          <w:rFonts w:ascii="Arial" w:hAnsi="Arial"/>
          <w:sz w:val="26"/>
        </w:rPr>
        <w:t xml:space="preserve">en contra del </w:t>
      </w:r>
      <w:r>
        <w:rPr>
          <w:rFonts w:ascii="Arial" w:hAnsi="Arial"/>
          <w:b/>
          <w:sz w:val="26"/>
        </w:rPr>
        <w:t>PRESIDENTE MUNICIPAL Y H. AYUNTAMIENTO CONSTITUCIONAL DE SAN PEDRO POCHUTLA, OAXACA</w:t>
      </w:r>
      <w:r>
        <w:rPr>
          <w:rFonts w:ascii="Arial" w:hAnsi="Arial"/>
          <w:sz w:val="26"/>
        </w:rPr>
        <w:t>.</w:t>
      </w:r>
    </w:p>
    <w:p w:rsidR="005D153F" w:rsidRDefault="00955F65">
      <w:pPr>
        <w:spacing w:after="0" w:line="360" w:lineRule="auto"/>
        <w:jc w:val="both"/>
        <w:rPr>
          <w:rFonts w:ascii="Arial" w:hAnsi="Arial"/>
          <w:sz w:val="26"/>
        </w:rPr>
      </w:pPr>
      <w:r>
        <w:rPr>
          <w:rFonts w:ascii="Arial" w:hAnsi="Arial"/>
          <w:sz w:val="26"/>
        </w:rPr>
        <w:t>En consecuencia, se procede a dictar resolución en los siguientes términos:</w:t>
      </w:r>
    </w:p>
    <w:p w:rsidR="005D153F" w:rsidRDefault="00955F65">
      <w:pPr>
        <w:spacing w:after="0" w:line="360" w:lineRule="auto"/>
        <w:jc w:val="center"/>
        <w:rPr>
          <w:rFonts w:ascii="Arial" w:hAnsi="Arial"/>
          <w:b/>
          <w:sz w:val="26"/>
        </w:rPr>
      </w:pPr>
      <w:r>
        <w:rPr>
          <w:rFonts w:ascii="Arial" w:hAnsi="Arial"/>
          <w:b/>
          <w:sz w:val="26"/>
        </w:rPr>
        <w:t>R E S U L T A N D O</w:t>
      </w:r>
    </w:p>
    <w:p w:rsidR="005D153F" w:rsidRDefault="00955F65">
      <w:pPr>
        <w:spacing w:after="0" w:line="360" w:lineRule="auto"/>
        <w:ind w:firstLine="708"/>
        <w:jc w:val="both"/>
        <w:rPr>
          <w:rFonts w:ascii="Arial" w:hAnsi="Arial"/>
          <w:sz w:val="26"/>
        </w:rPr>
      </w:pPr>
      <w:r>
        <w:rPr>
          <w:rFonts w:ascii="Arial" w:hAnsi="Arial"/>
          <w:b/>
          <w:sz w:val="26"/>
        </w:rPr>
        <w:t xml:space="preserve">PRIMERO. </w:t>
      </w:r>
      <w:r>
        <w:rPr>
          <w:rFonts w:ascii="Arial" w:hAnsi="Arial"/>
          <w:sz w:val="26"/>
        </w:rPr>
        <w:t xml:space="preserve">Inconforme con el acuerdo de 23 veintitrés de octubre de 2017 dos mil diecisiete, dictado en incidente de resarcimiento de daños y perjuicios deducido del expediente </w:t>
      </w:r>
      <w:r>
        <w:rPr>
          <w:rFonts w:ascii="Arial" w:hAnsi="Arial"/>
          <w:b/>
          <w:sz w:val="26"/>
        </w:rPr>
        <w:t xml:space="preserve">0173/2016, </w:t>
      </w:r>
      <w:r>
        <w:rPr>
          <w:rFonts w:ascii="Arial" w:hAnsi="Arial"/>
          <w:sz w:val="26"/>
        </w:rPr>
        <w:t xml:space="preserve">del índice de la Sexta Sala Unitaria de Primera Instancia, el C. </w:t>
      </w:r>
      <w:r w:rsidR="00AF3CD7">
        <w:rPr>
          <w:rFonts w:ascii="Arial" w:hAnsi="Arial"/>
          <w:sz w:val="26"/>
        </w:rPr>
        <w:t>**********</w:t>
      </w:r>
      <w:r>
        <w:rPr>
          <w:rFonts w:ascii="Arial" w:hAnsi="Arial"/>
          <w:sz w:val="26"/>
        </w:rPr>
        <w:t xml:space="preserve">, </w:t>
      </w:r>
      <w:r>
        <w:rPr>
          <w:rFonts w:ascii="Arial" w:hAnsi="Arial"/>
          <w:sz w:val="26"/>
          <w:lang w:eastAsia="es-ES"/>
        </w:rPr>
        <w:t>apoderado legal de la parte actora ”IMECA” INGENIERIA Y CONSTRUCCION S.A. DE C.V.,</w:t>
      </w:r>
      <w:r>
        <w:rPr>
          <w:rFonts w:ascii="Arial" w:hAnsi="Arial"/>
          <w:lang w:eastAsia="es-ES"/>
        </w:rPr>
        <w:t xml:space="preserve"> </w:t>
      </w:r>
      <w:r>
        <w:rPr>
          <w:rFonts w:ascii="Arial" w:hAnsi="Arial"/>
          <w:sz w:val="26"/>
        </w:rPr>
        <w:t xml:space="preserve"> interpuso en su contra recurso de revisión.</w:t>
      </w:r>
    </w:p>
    <w:p w:rsidR="005D153F" w:rsidRDefault="005D153F">
      <w:pPr>
        <w:spacing w:after="0" w:line="360" w:lineRule="auto"/>
        <w:ind w:firstLine="708"/>
        <w:jc w:val="both"/>
        <w:rPr>
          <w:rFonts w:ascii="Arial" w:hAnsi="Arial"/>
          <w:sz w:val="26"/>
        </w:rPr>
      </w:pPr>
    </w:p>
    <w:p w:rsidR="005D153F" w:rsidRDefault="00955F65">
      <w:pPr>
        <w:spacing w:after="0" w:line="360" w:lineRule="auto"/>
        <w:ind w:firstLine="708"/>
        <w:jc w:val="both"/>
      </w:pPr>
      <w:r>
        <w:rPr>
          <w:rFonts w:ascii="Arial" w:hAnsi="Arial"/>
          <w:b/>
          <w:sz w:val="26"/>
          <w:lang w:val="es-MX"/>
        </w:rPr>
        <w:t xml:space="preserve">SEGUNDO. </w:t>
      </w:r>
      <w:r>
        <w:rPr>
          <w:rFonts w:ascii="Arial" w:hAnsi="Arial"/>
          <w:sz w:val="26"/>
        </w:rPr>
        <w:t>El acuerdo recurrido es el siguiente:</w:t>
      </w:r>
      <w:r>
        <w:t xml:space="preserve"> </w:t>
      </w:r>
    </w:p>
    <w:p w:rsidR="005D153F" w:rsidRDefault="005D153F">
      <w:pPr>
        <w:spacing w:after="0" w:line="360" w:lineRule="auto"/>
        <w:ind w:firstLine="708"/>
        <w:jc w:val="both"/>
      </w:pPr>
    </w:p>
    <w:p w:rsidR="005D153F" w:rsidRDefault="00955F65">
      <w:pPr>
        <w:widowControl w:val="0"/>
        <w:tabs>
          <w:tab w:val="left" w:pos="7938"/>
        </w:tabs>
        <w:spacing w:after="0" w:line="360" w:lineRule="auto"/>
        <w:ind w:left="851" w:right="616"/>
        <w:jc w:val="both"/>
        <w:rPr>
          <w:rFonts w:ascii="Arial" w:hAnsi="Arial"/>
          <w:lang w:eastAsia="es-ES"/>
        </w:rPr>
      </w:pPr>
      <w:r>
        <w:rPr>
          <w:rFonts w:ascii="Arial" w:hAnsi="Arial"/>
          <w:sz w:val="24"/>
          <w:lang w:eastAsia="es-ES"/>
        </w:rPr>
        <w:t xml:space="preserve">    “</w:t>
      </w:r>
      <w:r>
        <w:rPr>
          <w:rFonts w:ascii="Arial" w:hAnsi="Arial"/>
          <w:lang w:eastAsia="es-ES"/>
        </w:rPr>
        <w:t xml:space="preserve">Por recibido en la Oficialía de Partes Común de este Tribunal, el 22 veintidós de septiembre del año que transcurre, el escrito del </w:t>
      </w:r>
      <w:r>
        <w:rPr>
          <w:rFonts w:ascii="Arial" w:hAnsi="Arial"/>
          <w:lang w:eastAsia="es-ES"/>
        </w:rPr>
        <w:lastRenderedPageBreak/>
        <w:t xml:space="preserve">apoderado legal de la parte actora ”IMECA” INGENIERIA Y CONSTRUCCION S.A. DE C.V., mediante el que dice interponer </w:t>
      </w:r>
      <w:r>
        <w:rPr>
          <w:rFonts w:ascii="Arial" w:hAnsi="Arial"/>
          <w:b/>
          <w:lang w:eastAsia="es-ES"/>
        </w:rPr>
        <w:t xml:space="preserve">incidente de pago de daños y perjuicios derivados del incumplimiento de la sentencia de fecha 25 veinticinco de enero del 2013 dos mil trece dictada en el expediente 9/2012, ahora 173/2016 del índice de esta Sala, en contra del Municipio de San Pedro Pochutla, Oaxaca, </w:t>
      </w:r>
      <w:r>
        <w:rPr>
          <w:rFonts w:ascii="Arial" w:hAnsi="Arial"/>
          <w:lang w:eastAsia="es-ES"/>
        </w:rPr>
        <w:t xml:space="preserve">que deviene de la falta de pago al contrato de obra pública MSP/FISE-0572/2002/2009, de la construcción del boulevard de acceso a la población de San Pedro Pochutla, Oaxaca, de la cantidad restante sobre lo pactado de $5,000,000.00 (cinco millones de pesos); incidente de daños y perjuicios que interpone con fundamento en el artículo 96, fracción X, de la Ley de Justicia Administrativa para el Estado de Oaxaca y diversos numerales del Código Civil del Estado; del estudio integral de los argumentos que expone y de los fundamentos que invoca en el escrito de cuenta, se resuelve lo siguiente: </w:t>
      </w:r>
    </w:p>
    <w:p w:rsidR="005D153F" w:rsidRDefault="00955F65">
      <w:pPr>
        <w:pStyle w:val="Prrafodelista"/>
        <w:widowControl w:val="0"/>
        <w:numPr>
          <w:ilvl w:val="0"/>
          <w:numId w:val="10"/>
        </w:numPr>
        <w:tabs>
          <w:tab w:val="left" w:pos="7938"/>
        </w:tabs>
        <w:spacing w:after="0" w:line="360" w:lineRule="auto"/>
        <w:ind w:right="616"/>
        <w:jc w:val="both"/>
        <w:rPr>
          <w:rFonts w:ascii="Arial" w:hAnsi="Arial"/>
          <w:lang w:eastAsia="es-ES"/>
        </w:rPr>
      </w:pPr>
      <w:r>
        <w:rPr>
          <w:rFonts w:ascii="Arial" w:hAnsi="Arial"/>
          <w:lang w:eastAsia="es-ES"/>
        </w:rPr>
        <w:t>El incidente de pago de daños y perjuicio que plantea, no se encuentra contemplado en la Ley de Justicia Administrativa para el Estado de Oaxaca, sino únicamente el de acumulación y el de notificaciones.</w:t>
      </w:r>
    </w:p>
    <w:p w:rsidR="005D153F" w:rsidRDefault="00955F65" w:rsidP="00DF5767">
      <w:pPr>
        <w:pStyle w:val="Prrafodelista"/>
        <w:widowControl w:val="0"/>
        <w:numPr>
          <w:ilvl w:val="0"/>
          <w:numId w:val="10"/>
        </w:numPr>
        <w:tabs>
          <w:tab w:val="left" w:pos="7938"/>
        </w:tabs>
        <w:spacing w:after="0" w:line="360" w:lineRule="auto"/>
        <w:ind w:right="758"/>
        <w:jc w:val="both"/>
        <w:rPr>
          <w:rFonts w:ascii="Arial" w:hAnsi="Arial"/>
          <w:lang w:eastAsia="es-ES"/>
        </w:rPr>
      </w:pPr>
      <w:r>
        <w:rPr>
          <w:rFonts w:ascii="Arial" w:hAnsi="Arial"/>
          <w:lang w:eastAsia="es-ES"/>
        </w:rPr>
        <w:t>La fracción X, del artículo 96, de la Ley de Justicia Administrativa para el Estado de Oaxaca, establece que las Salas Unitarias del Tribunal de lo Contencioso Administrativo y de Cuentas son competentes para conocer y resolver de los juicios, entre otros del resarcimientos de daños y perjuicios, sin embargo, no se actualiza en vía incidental, puesto que tal planteamiento se debe argumentar en el escrito inicial de demanda como prestación, conforme a la fracción VI del artículo 147 de la Ley invocada.</w:t>
      </w:r>
    </w:p>
    <w:p w:rsidR="005D153F" w:rsidRDefault="00DF5767">
      <w:pPr>
        <w:pStyle w:val="Prrafodelista"/>
        <w:widowControl w:val="0"/>
        <w:numPr>
          <w:ilvl w:val="0"/>
          <w:numId w:val="10"/>
        </w:numPr>
        <w:tabs>
          <w:tab w:val="left" w:pos="7938"/>
        </w:tabs>
        <w:spacing w:after="0" w:line="360" w:lineRule="auto"/>
        <w:ind w:right="616"/>
        <w:jc w:val="both"/>
        <w:rPr>
          <w:rFonts w:ascii="Arial" w:hAnsi="Arial"/>
          <w:lang w:eastAsia="es-ES"/>
        </w:rPr>
      </w:pPr>
      <w:r>
        <w:rPr>
          <w:rFonts w:ascii="Times New Roman" w:hAnsi="Times New Roman"/>
          <w:noProof/>
          <w:sz w:val="24"/>
          <w:szCs w:val="24"/>
          <w:lang w:val="es-MX" w:eastAsia="es-MX"/>
        </w:rPr>
        <mc:AlternateContent>
          <mc:Choice Requires="wps">
            <w:drawing>
              <wp:anchor distT="0" distB="0" distL="114300" distR="114300" simplePos="0" relativeHeight="251660288" behindDoc="0" locked="0" layoutInCell="1" allowOverlap="1" wp14:anchorId="2C9A2337" wp14:editId="3045BBF0">
                <wp:simplePos x="0" y="0"/>
                <wp:positionH relativeFrom="column">
                  <wp:posOffset>-1561848</wp:posOffset>
                </wp:positionH>
                <wp:positionV relativeFrom="paragraph">
                  <wp:posOffset>543955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F5767" w:rsidRDefault="00DF5767" w:rsidP="00DF576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A2337" id="_x0000_t202" coordsize="21600,21600" o:spt="202" path="m,l,21600r21600,l21600,xe">
                <v:stroke joinstyle="miter"/>
                <v:path gradientshapeok="t" o:connecttype="rect"/>
              </v:shapetype>
              <v:shape id="Cuadro de texto 1" o:spid="_x0000_s1026" type="#_x0000_t202" style="position:absolute;left:0;text-align:left;margin-left:-123pt;margin-top:42.85pt;width:84.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">
                <v:textbox>
                  <w:txbxContent>
                    <w:p w:rsidR="00DF5767" w:rsidRDefault="00DF5767" w:rsidP="00DF5767">
                      <w:pPr>
                        <w:rPr>
                          <w:sz w:val="16"/>
                          <w:szCs w:val="16"/>
                        </w:rPr>
                      </w:pPr>
                      <w:r>
                        <w:rPr>
                          <w:sz w:val="16"/>
                          <w:szCs w:val="16"/>
                        </w:rPr>
                        <w:t>Datos personales protegidos por el Art. 116 de la LGTAIP y el Art. 56 de la LTAIPEO</w:t>
                      </w:r>
                    </w:p>
                  </w:txbxContent>
                </v:textbox>
              </v:shape>
            </w:pict>
          </mc:Fallback>
        </mc:AlternateContent>
      </w:r>
      <w:r w:rsidR="00955F65">
        <w:rPr>
          <w:rFonts w:ascii="Arial" w:hAnsi="Arial"/>
          <w:lang w:eastAsia="es-ES"/>
        </w:rPr>
        <w:t>Los preceptos legales invocados correspondientes al Código Civil del Estado de Oaxaca, no son aplicables al caso, puesto que tal normatividad no  es supletoria a la Ley de la materia, caso contrario al Código de Procedimientos Civiles del Estado como lo indica el artículo 3 de la Ley invocada.</w:t>
      </w:r>
    </w:p>
    <w:p w:rsidR="005D153F" w:rsidRDefault="005D153F">
      <w:pPr>
        <w:widowControl w:val="0"/>
        <w:tabs>
          <w:tab w:val="left" w:pos="7938"/>
        </w:tabs>
        <w:spacing w:after="0" w:line="360" w:lineRule="auto"/>
        <w:ind w:left="1091" w:right="616"/>
        <w:jc w:val="both"/>
        <w:rPr>
          <w:rFonts w:ascii="Arial" w:hAnsi="Arial"/>
          <w:lang w:eastAsia="es-ES"/>
        </w:rPr>
      </w:pPr>
    </w:p>
    <w:p w:rsidR="005D153F" w:rsidRDefault="00955F65" w:rsidP="00DF5767">
      <w:pPr>
        <w:widowControl w:val="0"/>
        <w:tabs>
          <w:tab w:val="left" w:pos="7938"/>
        </w:tabs>
        <w:spacing w:after="0" w:line="360" w:lineRule="auto"/>
        <w:ind w:right="616"/>
        <w:jc w:val="both"/>
        <w:rPr>
          <w:rFonts w:ascii="Arial" w:hAnsi="Arial"/>
          <w:lang w:eastAsia="es-ES"/>
        </w:rPr>
      </w:pPr>
      <w:r>
        <w:rPr>
          <w:rFonts w:ascii="Arial" w:hAnsi="Arial"/>
          <w:lang w:eastAsia="es-ES"/>
        </w:rPr>
        <w:t xml:space="preserve">          De lo expuesto en las líneas precedentes </w:t>
      </w:r>
      <w:r>
        <w:rPr>
          <w:rFonts w:ascii="Arial" w:hAnsi="Arial"/>
          <w:b/>
          <w:lang w:eastAsia="es-ES"/>
        </w:rPr>
        <w:t xml:space="preserve">se determina desechar de plano el presente incidente de Pago de Daños y Perjuicios promovido por </w:t>
      </w:r>
      <w:r w:rsidR="00AF3CD7">
        <w:rPr>
          <w:rFonts w:ascii="Arial" w:hAnsi="Arial"/>
          <w:b/>
          <w:lang w:eastAsia="es-ES"/>
        </w:rPr>
        <w:t>**********</w:t>
      </w:r>
      <w:r>
        <w:rPr>
          <w:rFonts w:ascii="Arial" w:hAnsi="Arial"/>
          <w:b/>
          <w:lang w:eastAsia="es-ES"/>
        </w:rPr>
        <w:t xml:space="preserve">, en su carácter de Apoderado Legal de la empresa denominada “IMECA” INGENIERIA Y CONSTRUCCIONES, S.A. DE .C.V, </w:t>
      </w:r>
      <w:r>
        <w:rPr>
          <w:rFonts w:ascii="Arial" w:hAnsi="Arial"/>
          <w:lang w:eastAsia="es-ES"/>
        </w:rPr>
        <w:t>como lo establece el artículo 127 de la Ley de Justicia Administrativa para el Estado de Oaxaca, consecuentemente se ordena archivar el presente cuaderno de queja como asunto concluido.”</w:t>
      </w:r>
    </w:p>
    <w:p w:rsidR="005D153F" w:rsidRDefault="005D153F">
      <w:pPr>
        <w:pStyle w:val="Prrafodelista"/>
        <w:widowControl w:val="0"/>
        <w:tabs>
          <w:tab w:val="left" w:pos="7938"/>
        </w:tabs>
        <w:spacing w:after="0" w:line="360" w:lineRule="auto"/>
        <w:ind w:left="851" w:right="616" w:firstLine="283"/>
        <w:jc w:val="both"/>
        <w:rPr>
          <w:rFonts w:ascii="Arial" w:hAnsi="Arial"/>
          <w:lang w:eastAsia="es-ES"/>
        </w:rPr>
      </w:pPr>
    </w:p>
    <w:p w:rsidR="005D153F" w:rsidRDefault="00955F65">
      <w:pPr>
        <w:spacing w:line="360" w:lineRule="auto"/>
        <w:jc w:val="center"/>
        <w:rPr>
          <w:rFonts w:ascii="Arial" w:hAnsi="Arial"/>
          <w:b/>
          <w:sz w:val="26"/>
          <w:lang w:eastAsia="es-ES"/>
        </w:rPr>
      </w:pPr>
      <w:r>
        <w:rPr>
          <w:rFonts w:ascii="Arial" w:hAnsi="Arial"/>
          <w:b/>
          <w:sz w:val="26"/>
          <w:lang w:eastAsia="es-ES"/>
        </w:rPr>
        <w:t>C O N S I D E R A N D O</w:t>
      </w:r>
    </w:p>
    <w:p w:rsidR="005D153F" w:rsidRDefault="00955F65">
      <w:pPr>
        <w:spacing w:line="360" w:lineRule="auto"/>
        <w:ind w:firstLine="708"/>
        <w:jc w:val="both"/>
        <w:rPr>
          <w:rFonts w:ascii="Arial" w:hAnsi="Arial"/>
          <w:sz w:val="26"/>
        </w:rPr>
      </w:pPr>
      <w:r>
        <w:rPr>
          <w:rFonts w:ascii="Arial" w:hAnsi="Arial"/>
          <w:b/>
          <w:sz w:val="26"/>
        </w:rPr>
        <w:lastRenderedPageBreak/>
        <w:t xml:space="preserve">PRIMERO. </w:t>
      </w:r>
      <w:r>
        <w:rPr>
          <w:rFonts w:ascii="Arial" w:hAnsi="Arial"/>
          <w:sz w:val="26"/>
        </w:rPr>
        <w:t xml:space="preserve">Esta Sala Superior es competente para conocer del presente asunto, </w:t>
      </w:r>
      <w:r>
        <w:rPr>
          <w:rFonts w:ascii="Arial" w:hAnsi="Arial"/>
          <w:sz w:val="26"/>
          <w:lang w:eastAsia="es-ES"/>
        </w:rPr>
        <w:t>de conformidad con lo dispuesto por los artículos 114 QUÁTER, párrafo tercero de la Constitución Política del Estado Libre y Soberano de Oaxaca vigente; CUARTO y DÉCIMO TRANSITORIOS del Decreto número 786 de la Sexagésima Tercera Legislatura Constitucional del Estado Libre y Soberano de Oaxaca, publicado en el Extra del Periódico Oficial del Gobierno del Estado el 16 dieciséis de enero de 2018 dos mil dieciocho,</w:t>
      </w:r>
      <w:r>
        <w:rPr>
          <w:rFonts w:ascii="Arial" w:hAnsi="Arial"/>
          <w:sz w:val="26"/>
        </w:rPr>
        <w:t xml:space="preserve"> 86, 88, 92, 93, fracción I, 94, 201, 206 y 208, de la Ley de Justicia Administrativa para el Estado de Oaxaca, vigente hasta el 20 de octubre de 2017 dos mil diecisiete, dado que se trata de un  Recurso de Revisión interpuesto en contra el acuerdo de 23 veintitrés de octubre de 2017 dos mil diecisiete, dictado en incidente de resarcimiento de daños y perjuicios deducido del expediente </w:t>
      </w:r>
      <w:r>
        <w:rPr>
          <w:rFonts w:ascii="Arial" w:hAnsi="Arial"/>
          <w:b/>
          <w:sz w:val="26"/>
        </w:rPr>
        <w:t xml:space="preserve">0173/2016, </w:t>
      </w:r>
      <w:r>
        <w:rPr>
          <w:rFonts w:ascii="Arial" w:hAnsi="Arial"/>
          <w:sz w:val="26"/>
        </w:rPr>
        <w:t>del índice de la Sexta Sala Unitaria de Primera Instancia.</w:t>
      </w:r>
    </w:p>
    <w:p w:rsidR="005D153F" w:rsidRDefault="00955F65">
      <w:pPr>
        <w:spacing w:line="360" w:lineRule="auto"/>
        <w:ind w:firstLine="708"/>
        <w:jc w:val="both"/>
        <w:rPr>
          <w:rFonts w:ascii="Arial" w:hAnsi="Arial"/>
          <w:sz w:val="26"/>
        </w:rPr>
      </w:pPr>
      <w:r>
        <w:rPr>
          <w:rFonts w:ascii="Arial" w:hAnsi="Arial"/>
          <w:sz w:val="26"/>
        </w:rPr>
        <w:t xml:space="preserve"> </w:t>
      </w:r>
      <w:r>
        <w:rPr>
          <w:rFonts w:ascii="Arial" w:hAnsi="Arial"/>
          <w:b/>
          <w:sz w:val="26"/>
        </w:rPr>
        <w:t>SEGUNDO.</w:t>
      </w:r>
      <w:r>
        <w:rPr>
          <w:rFonts w:ascii="Arial" w:hAnsi="Arial"/>
          <w:b/>
          <w:sz w:val="26"/>
          <w:lang w:val="es-MX"/>
        </w:rPr>
        <w:t xml:space="preserve"> </w:t>
      </w:r>
      <w:r>
        <w:rPr>
          <w:rFonts w:ascii="Arial" w:hAnsi="Arial"/>
          <w:sz w:val="26"/>
        </w:rPr>
        <w:t>Los agravios hechos valer se encuentran expuestos en el escrito del recurrente, por lo que no existe necesidad de transcribirlos, al no transgredirle derecho alguno, como tampoco se vulnera disposición expresa que imponga tal obligación.</w:t>
      </w:r>
    </w:p>
    <w:p w:rsidR="005D153F" w:rsidRDefault="00955F65">
      <w:pPr>
        <w:spacing w:line="360" w:lineRule="auto"/>
        <w:jc w:val="both"/>
        <w:rPr>
          <w:rFonts w:ascii="Arial" w:hAnsi="Arial"/>
        </w:rPr>
      </w:pPr>
      <w:r>
        <w:rPr>
          <w:rFonts w:ascii="Arial" w:hAnsi="Arial"/>
          <w:sz w:val="26"/>
        </w:rPr>
        <w:t>Se invoca en apoyo, la Tesis, publicada en la Gaceta del Semanario Judicial de la Federación, Volumen 81, Sexta Parte, Séptima  Época, pagina 23, bajo el rubro y texto siguiente</w:t>
      </w:r>
      <w:r>
        <w:rPr>
          <w:rFonts w:ascii="Arial" w:hAnsi="Arial"/>
        </w:rPr>
        <w:t>:</w:t>
      </w:r>
    </w:p>
    <w:p w:rsidR="005D153F" w:rsidRDefault="00955F65">
      <w:pPr>
        <w:spacing w:line="240" w:lineRule="auto"/>
        <w:ind w:left="851" w:right="900"/>
        <w:jc w:val="both"/>
        <w:rPr>
          <w:rFonts w:ascii="Arial" w:hAnsi="Arial"/>
          <w:lang w:eastAsia="es-MX"/>
        </w:rPr>
      </w:pPr>
      <w:r>
        <w:rPr>
          <w:rFonts w:ascii="Arial" w:hAnsi="Arial"/>
          <w:lang w:eastAsia="es-MX"/>
        </w:rPr>
        <w:t>“</w:t>
      </w:r>
      <w:r>
        <w:rPr>
          <w:rFonts w:ascii="Arial" w:hAnsi="Arial"/>
          <w:b/>
          <w:lang w:eastAsia="es-MX"/>
        </w:rPr>
        <w:t>CONCEPTOS DE VIOLACIÓN. NO ES OBLIGATORIO TRANSCRIBIRLOS EN LA SENTENCIA</w:t>
      </w:r>
      <w:r>
        <w:rPr>
          <w:rFonts w:ascii="Arial" w:hAnsi="Arial"/>
          <w:lang w:eastAsia="es-MX"/>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w:t>
      </w:r>
    </w:p>
    <w:p w:rsidR="005D153F" w:rsidRDefault="005D153F">
      <w:pPr>
        <w:pStyle w:val="Sinespaciado"/>
        <w:spacing w:line="360" w:lineRule="auto"/>
        <w:jc w:val="both"/>
        <w:rPr>
          <w:rFonts w:ascii="Arial" w:hAnsi="Arial"/>
          <w:b/>
          <w:sz w:val="26"/>
          <w:lang w:val="es-MX"/>
        </w:rPr>
      </w:pPr>
    </w:p>
    <w:p w:rsidR="005D153F" w:rsidRDefault="00955F65">
      <w:pPr>
        <w:pStyle w:val="Sinespaciado"/>
        <w:spacing w:line="360" w:lineRule="auto"/>
        <w:ind w:firstLine="708"/>
        <w:jc w:val="both"/>
        <w:rPr>
          <w:rFonts w:ascii="Arial" w:hAnsi="Arial"/>
          <w:sz w:val="26"/>
          <w:lang w:eastAsia="es-ES"/>
        </w:rPr>
      </w:pPr>
      <w:r>
        <w:rPr>
          <w:rFonts w:ascii="Arial" w:hAnsi="Arial"/>
          <w:b/>
          <w:sz w:val="26"/>
          <w:lang w:val="es-MX"/>
        </w:rPr>
        <w:t>TERCERO.</w:t>
      </w:r>
      <w:r>
        <w:rPr>
          <w:rFonts w:ascii="Arial" w:hAnsi="Arial"/>
          <w:sz w:val="26"/>
          <w:lang w:val="es-MX"/>
        </w:rPr>
        <w:t xml:space="preserve"> </w:t>
      </w:r>
      <w:r>
        <w:rPr>
          <w:rFonts w:ascii="Arial" w:hAnsi="Arial"/>
          <w:color w:val="000000"/>
          <w:sz w:val="26"/>
          <w:lang w:val="es-MX"/>
        </w:rPr>
        <w:t xml:space="preserve">El acto recurrido es el </w:t>
      </w:r>
      <w:r>
        <w:rPr>
          <w:rFonts w:ascii="Arial" w:hAnsi="Arial"/>
          <w:sz w:val="26"/>
        </w:rPr>
        <w:t xml:space="preserve">acuerdo de 23 veintitrés de octubre de 2017 dos mil diecisiete, dictado en incidente de resarcimiento de daños y perjuicios deducido del expediente </w:t>
      </w:r>
      <w:r>
        <w:rPr>
          <w:rFonts w:ascii="Arial" w:hAnsi="Arial"/>
          <w:b/>
          <w:sz w:val="26"/>
        </w:rPr>
        <w:t xml:space="preserve">0173/2016, </w:t>
      </w:r>
      <w:r>
        <w:rPr>
          <w:rFonts w:ascii="Arial" w:hAnsi="Arial"/>
          <w:sz w:val="26"/>
        </w:rPr>
        <w:t xml:space="preserve">del índice de la Sexta Sala Unitaria de Primera Instancia, en el cual se desecha de plano el </w:t>
      </w:r>
      <w:r>
        <w:rPr>
          <w:rFonts w:ascii="Arial" w:hAnsi="Arial"/>
          <w:sz w:val="26"/>
          <w:lang w:eastAsia="es-ES"/>
        </w:rPr>
        <w:t xml:space="preserve">incidente de pago de daños y perjuicios promovido por </w:t>
      </w:r>
      <w:r>
        <w:rPr>
          <w:rFonts w:ascii="Arial" w:hAnsi="Arial"/>
          <w:sz w:val="26"/>
        </w:rPr>
        <w:t xml:space="preserve">C. </w:t>
      </w:r>
      <w:r w:rsidR="00AF3CD7">
        <w:rPr>
          <w:rFonts w:ascii="Arial" w:hAnsi="Arial"/>
          <w:sz w:val="26"/>
        </w:rPr>
        <w:t>**********</w:t>
      </w:r>
      <w:r>
        <w:rPr>
          <w:rFonts w:ascii="Arial" w:hAnsi="Arial"/>
          <w:sz w:val="26"/>
        </w:rPr>
        <w:t xml:space="preserve">, </w:t>
      </w:r>
      <w:r>
        <w:rPr>
          <w:rFonts w:ascii="Arial" w:hAnsi="Arial"/>
          <w:sz w:val="26"/>
          <w:lang w:eastAsia="es-ES"/>
        </w:rPr>
        <w:t>apoderado legal de la parte actora ”IMECA” INGENIERIA Y CONSTRUCCION S.A. DE C.V.,</w:t>
      </w:r>
      <w:r>
        <w:rPr>
          <w:rFonts w:ascii="Arial" w:hAnsi="Arial"/>
          <w:lang w:eastAsia="es-ES"/>
        </w:rPr>
        <w:t xml:space="preserve"> </w:t>
      </w:r>
      <w:r>
        <w:rPr>
          <w:rFonts w:ascii="Arial" w:hAnsi="Arial"/>
          <w:sz w:val="26"/>
        </w:rPr>
        <w:t xml:space="preserve"> </w:t>
      </w:r>
      <w:r>
        <w:rPr>
          <w:rFonts w:ascii="Arial" w:hAnsi="Arial"/>
          <w:sz w:val="26"/>
          <w:lang w:eastAsia="es-ES"/>
        </w:rPr>
        <w:t xml:space="preserve"> </w:t>
      </w:r>
      <w:r>
        <w:rPr>
          <w:rFonts w:ascii="Arial" w:hAnsi="Arial"/>
          <w:sz w:val="26"/>
          <w:lang w:eastAsia="es-ES"/>
        </w:rPr>
        <w:lastRenderedPageBreak/>
        <w:t xml:space="preserve">conceptos que indica se derivan del incumplimiento de la sentencia de fecha 25 veinticinco de enero del 2013 dos mil trece, dictada en el citado expediente, que deviene de la falta de pago al contrato de obra pública MSP/FISE-0572/2002/2009, de la construcción del boulevard de acceso a la población de San Pedro Pochutla, Oaxaca, de la cantidad restante sobre lo pactado de $5,000,000.00 (cinco millones de pesos). </w:t>
      </w:r>
    </w:p>
    <w:p w:rsidR="005D153F" w:rsidRDefault="005D153F">
      <w:pPr>
        <w:pStyle w:val="Sinespaciado"/>
        <w:spacing w:line="360" w:lineRule="auto"/>
        <w:ind w:firstLine="708"/>
        <w:jc w:val="both"/>
        <w:rPr>
          <w:rFonts w:ascii="Arial" w:hAnsi="Arial"/>
          <w:sz w:val="26"/>
          <w:lang w:eastAsia="es-ES"/>
        </w:rPr>
      </w:pPr>
    </w:p>
    <w:p w:rsidR="005D153F" w:rsidRDefault="00955F65">
      <w:pPr>
        <w:pStyle w:val="Sinespaciado"/>
        <w:spacing w:line="360" w:lineRule="auto"/>
        <w:ind w:firstLine="708"/>
        <w:jc w:val="both"/>
        <w:rPr>
          <w:rFonts w:ascii="Arial" w:hAnsi="Arial"/>
          <w:color w:val="000000"/>
          <w:sz w:val="26"/>
          <w:lang w:val="es-MX"/>
        </w:rPr>
      </w:pPr>
      <w:r>
        <w:rPr>
          <w:rFonts w:ascii="Arial" w:hAnsi="Arial"/>
          <w:color w:val="000000"/>
          <w:sz w:val="26"/>
          <w:lang w:val="es-MX"/>
        </w:rPr>
        <w:t>Ahora bien, el artículo 206 de la Ley de Justicia Administrativa prevé las hipótesis en contra de las cuales procede el recurso de revisión ante el Tribunal de lo Contencioso Administrativo y de Cuentas, al tenor siguiente:</w:t>
      </w:r>
    </w:p>
    <w:p w:rsidR="005D153F" w:rsidRDefault="005D153F">
      <w:pPr>
        <w:pStyle w:val="Sinespaciado"/>
        <w:spacing w:line="360" w:lineRule="auto"/>
        <w:ind w:firstLine="708"/>
        <w:jc w:val="both"/>
        <w:rPr>
          <w:rFonts w:ascii="Arial" w:hAnsi="Arial"/>
          <w:color w:val="000000"/>
          <w:sz w:val="26"/>
          <w:lang w:val="es-MX"/>
        </w:rPr>
      </w:pPr>
    </w:p>
    <w:p w:rsidR="005D153F" w:rsidRDefault="00955F65">
      <w:pPr>
        <w:pStyle w:val="Sinespaciado"/>
        <w:tabs>
          <w:tab w:val="left" w:pos="7513"/>
        </w:tabs>
        <w:spacing w:line="360" w:lineRule="auto"/>
        <w:ind w:left="851" w:right="900"/>
        <w:jc w:val="both"/>
        <w:rPr>
          <w:rFonts w:ascii="Arial" w:hAnsi="Arial"/>
          <w:i/>
          <w:color w:val="000000"/>
          <w:lang w:val="es-MX"/>
        </w:rPr>
      </w:pPr>
      <w:r>
        <w:rPr>
          <w:rFonts w:ascii="Arial" w:hAnsi="Arial"/>
          <w:b/>
          <w:i/>
          <w:color w:val="000000"/>
          <w:lang w:val="es-MX"/>
        </w:rPr>
        <w:t xml:space="preserve"> “Artículo 206.- </w:t>
      </w:r>
      <w:r>
        <w:rPr>
          <w:rFonts w:ascii="Arial" w:hAnsi="Arial"/>
          <w:i/>
          <w:color w:val="000000"/>
          <w:lang w:val="es-MX"/>
        </w:rPr>
        <w:t xml:space="preserve">Contra los acuerdos y resoluciones dictados por las Salas de Primera instancia, procede el recurso de revisión, cuyo conocimiento y resolución corresponde a la Sala Superior: </w:t>
      </w:r>
    </w:p>
    <w:p w:rsidR="005D153F" w:rsidRDefault="00955F65">
      <w:pPr>
        <w:pStyle w:val="Sinespaciado"/>
        <w:spacing w:line="360" w:lineRule="auto"/>
        <w:ind w:left="851" w:right="618"/>
        <w:jc w:val="both"/>
        <w:rPr>
          <w:rFonts w:ascii="Arial" w:hAnsi="Arial"/>
          <w:i/>
          <w:color w:val="000000"/>
          <w:lang w:val="es-MX"/>
        </w:rPr>
      </w:pPr>
      <w:r>
        <w:rPr>
          <w:rFonts w:ascii="Arial" w:hAnsi="Arial"/>
          <w:i/>
          <w:color w:val="000000"/>
          <w:lang w:val="es-MX"/>
        </w:rPr>
        <w:t>Podrán ser impugnadas por las partes, mediante recurso de revisión:</w:t>
      </w:r>
    </w:p>
    <w:p w:rsidR="005D153F" w:rsidRDefault="00955F65">
      <w:pPr>
        <w:pStyle w:val="Sinespaciado"/>
        <w:numPr>
          <w:ilvl w:val="0"/>
          <w:numId w:val="7"/>
        </w:numPr>
        <w:spacing w:line="360" w:lineRule="auto"/>
        <w:ind w:left="851" w:right="618" w:firstLine="0"/>
        <w:jc w:val="both"/>
        <w:rPr>
          <w:rFonts w:ascii="Arial" w:hAnsi="Arial"/>
          <w:i/>
          <w:lang w:val="es-MX"/>
        </w:rPr>
      </w:pPr>
      <w:r>
        <w:rPr>
          <w:rFonts w:ascii="Arial" w:hAnsi="Arial"/>
          <w:i/>
          <w:color w:val="000000"/>
          <w:lang w:val="es-MX"/>
        </w:rPr>
        <w:t>Los acuerdos que admitan o desechen la demanda, su contestación o ampliación;</w:t>
      </w:r>
    </w:p>
    <w:p w:rsidR="005D153F" w:rsidRDefault="00955F65">
      <w:pPr>
        <w:pStyle w:val="Sinespaciado"/>
        <w:numPr>
          <w:ilvl w:val="0"/>
          <w:numId w:val="7"/>
        </w:numPr>
        <w:spacing w:line="360" w:lineRule="auto"/>
        <w:ind w:left="851" w:right="618" w:firstLine="0"/>
        <w:jc w:val="both"/>
        <w:rPr>
          <w:rFonts w:ascii="Arial" w:hAnsi="Arial"/>
          <w:i/>
          <w:lang w:val="es-MX"/>
        </w:rPr>
      </w:pPr>
      <w:r>
        <w:rPr>
          <w:rFonts w:ascii="Arial" w:hAnsi="Arial"/>
          <w:i/>
          <w:color w:val="000000"/>
          <w:lang w:val="es-MX"/>
        </w:rPr>
        <w:t>El acuerdo que deseche pruebas;</w:t>
      </w:r>
    </w:p>
    <w:p w:rsidR="005D153F" w:rsidRDefault="00955F65">
      <w:pPr>
        <w:pStyle w:val="Sinespaciado"/>
        <w:numPr>
          <w:ilvl w:val="0"/>
          <w:numId w:val="7"/>
        </w:numPr>
        <w:spacing w:line="360" w:lineRule="auto"/>
        <w:ind w:left="851" w:right="618" w:firstLine="0"/>
        <w:jc w:val="both"/>
        <w:rPr>
          <w:rFonts w:ascii="Arial" w:hAnsi="Arial"/>
          <w:i/>
          <w:lang w:val="es-MX"/>
        </w:rPr>
      </w:pPr>
      <w:r>
        <w:rPr>
          <w:rFonts w:ascii="Arial" w:hAnsi="Arial"/>
          <w:i/>
          <w:color w:val="000000"/>
          <w:lang w:val="es-MX"/>
        </w:rPr>
        <w:t>El acuerdo que rechace la intervención del tercero;</w:t>
      </w:r>
    </w:p>
    <w:p w:rsidR="005D153F" w:rsidRDefault="00955F65">
      <w:pPr>
        <w:pStyle w:val="Sinespaciado"/>
        <w:numPr>
          <w:ilvl w:val="0"/>
          <w:numId w:val="7"/>
        </w:numPr>
        <w:spacing w:line="360" w:lineRule="auto"/>
        <w:ind w:left="851" w:right="618" w:firstLine="0"/>
        <w:jc w:val="both"/>
        <w:rPr>
          <w:rFonts w:ascii="Arial" w:hAnsi="Arial"/>
          <w:i/>
          <w:lang w:val="es-MX"/>
        </w:rPr>
      </w:pPr>
      <w:r>
        <w:rPr>
          <w:rFonts w:ascii="Arial" w:hAnsi="Arial"/>
          <w:i/>
          <w:color w:val="000000"/>
          <w:lang w:val="es-MX"/>
        </w:rPr>
        <w:t>Los acuerdos que decreten, nieguen o revoquen la suspensión;</w:t>
      </w:r>
    </w:p>
    <w:p w:rsidR="005D153F" w:rsidRDefault="00955F65">
      <w:pPr>
        <w:pStyle w:val="Sinespaciado"/>
        <w:numPr>
          <w:ilvl w:val="0"/>
          <w:numId w:val="7"/>
        </w:numPr>
        <w:spacing w:line="360" w:lineRule="auto"/>
        <w:ind w:left="851" w:right="618" w:firstLine="0"/>
        <w:jc w:val="both"/>
        <w:rPr>
          <w:rFonts w:ascii="Arial" w:hAnsi="Arial"/>
          <w:i/>
          <w:lang w:val="es-MX"/>
        </w:rPr>
      </w:pPr>
      <w:r>
        <w:rPr>
          <w:rFonts w:ascii="Arial" w:hAnsi="Arial"/>
          <w:i/>
          <w:color w:val="000000"/>
          <w:lang w:val="es-MX"/>
        </w:rPr>
        <w:t>Las resoluciones que decidan incidentes;</w:t>
      </w:r>
    </w:p>
    <w:p w:rsidR="005D153F" w:rsidRDefault="00955F65">
      <w:pPr>
        <w:pStyle w:val="Sinespaciado"/>
        <w:numPr>
          <w:ilvl w:val="0"/>
          <w:numId w:val="7"/>
        </w:numPr>
        <w:spacing w:line="360" w:lineRule="auto"/>
        <w:ind w:left="851" w:right="618" w:firstLine="0"/>
        <w:jc w:val="both"/>
        <w:rPr>
          <w:rFonts w:ascii="Arial" w:hAnsi="Arial"/>
          <w:i/>
          <w:lang w:val="es-MX"/>
        </w:rPr>
      </w:pPr>
      <w:r>
        <w:rPr>
          <w:rFonts w:ascii="Arial" w:hAnsi="Arial"/>
          <w:i/>
          <w:color w:val="000000"/>
          <w:lang w:val="es-MX"/>
        </w:rPr>
        <w:t>Las resoluciones que decreten o nieguen el sobreseimiento;</w:t>
      </w:r>
    </w:p>
    <w:p w:rsidR="005D153F" w:rsidRDefault="00DF5767">
      <w:pPr>
        <w:pStyle w:val="Sinespaciado"/>
        <w:numPr>
          <w:ilvl w:val="0"/>
          <w:numId w:val="7"/>
        </w:numPr>
        <w:spacing w:line="360" w:lineRule="auto"/>
        <w:ind w:left="851" w:right="618" w:firstLine="0"/>
        <w:jc w:val="both"/>
        <w:rPr>
          <w:rFonts w:ascii="Arial" w:hAnsi="Arial"/>
          <w:i/>
          <w:lang w:val="es-MX"/>
        </w:rPr>
      </w:pPr>
      <w:r>
        <w:rPr>
          <w:rFonts w:ascii="Times New Roman" w:hAnsi="Times New Roman"/>
          <w:noProof/>
          <w:sz w:val="24"/>
          <w:szCs w:val="24"/>
          <w:lang w:val="es-MX" w:eastAsia="es-MX"/>
        </w:rPr>
        <mc:AlternateContent>
          <mc:Choice Requires="wps">
            <w:drawing>
              <wp:anchor distT="0" distB="0" distL="114300" distR="114300" simplePos="0" relativeHeight="251663360" behindDoc="0" locked="0" layoutInCell="1" allowOverlap="1" wp14:anchorId="41678EEC" wp14:editId="3CE2BA9E">
                <wp:simplePos x="0" y="0"/>
                <wp:positionH relativeFrom="column">
                  <wp:posOffset>-1474937</wp:posOffset>
                </wp:positionH>
                <wp:positionV relativeFrom="paragraph">
                  <wp:posOffset>897326</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F5767" w:rsidRDefault="00DF5767" w:rsidP="00DF576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78EEC" id="Cuadro de texto 2" o:spid="_x0000_s1027" type="#_x0000_t202" style="position:absolute;left:0;text-align:left;margin-left:-116.15pt;margin-top:70.6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">
                <v:textbox>
                  <w:txbxContent>
                    <w:p w:rsidR="00DF5767" w:rsidRDefault="00DF5767" w:rsidP="00DF5767">
                      <w:pPr>
                        <w:rPr>
                          <w:sz w:val="16"/>
                          <w:szCs w:val="16"/>
                        </w:rPr>
                      </w:pPr>
                      <w:r>
                        <w:rPr>
                          <w:sz w:val="16"/>
                          <w:szCs w:val="16"/>
                        </w:rPr>
                        <w:t>Datos personales protegidos por el Art. 116 de la LGTAIP y el Art. 56 de la LTAIPEO</w:t>
                      </w:r>
                    </w:p>
                  </w:txbxContent>
                </v:textbox>
              </v:shape>
            </w:pict>
          </mc:Fallback>
        </mc:AlternateContent>
      </w:r>
      <w:r w:rsidR="00955F65">
        <w:rPr>
          <w:rFonts w:ascii="Arial" w:hAnsi="Arial"/>
          <w:i/>
          <w:color w:val="000000"/>
          <w:lang w:val="es-MX"/>
        </w:rPr>
        <w:t>Las sentencias que decidan la cuestión planteada. Por violaciones cometidas durante el procedimiento del juicio, cuando hayan dejado sin defensa al recurrente y trasciendan al sentido de la sentencia; y</w:t>
      </w:r>
    </w:p>
    <w:p w:rsidR="005D153F" w:rsidRDefault="00955F65">
      <w:pPr>
        <w:pStyle w:val="Sinespaciado"/>
        <w:numPr>
          <w:ilvl w:val="0"/>
          <w:numId w:val="7"/>
        </w:numPr>
        <w:spacing w:line="360" w:lineRule="auto"/>
        <w:ind w:left="851" w:right="618" w:firstLine="0"/>
        <w:jc w:val="both"/>
        <w:rPr>
          <w:rFonts w:ascii="Arial" w:hAnsi="Arial"/>
          <w:i/>
          <w:lang w:val="es-MX"/>
        </w:rPr>
      </w:pPr>
      <w:r>
        <w:rPr>
          <w:rFonts w:ascii="Arial" w:hAnsi="Arial"/>
          <w:i/>
          <w:color w:val="000000"/>
          <w:lang w:val="es-MX"/>
        </w:rPr>
        <w:t>Las resoluciones que pongan fin al procedimiento de ejecución de la sentencia.”</w:t>
      </w:r>
    </w:p>
    <w:p w:rsidR="005D153F" w:rsidRDefault="005D153F">
      <w:pPr>
        <w:pStyle w:val="Sinespaciado"/>
        <w:spacing w:line="360" w:lineRule="auto"/>
        <w:ind w:left="851" w:right="618"/>
        <w:jc w:val="both"/>
        <w:rPr>
          <w:rFonts w:ascii="Arial" w:hAnsi="Arial"/>
          <w:i/>
          <w:lang w:val="es-MX"/>
        </w:rPr>
      </w:pPr>
    </w:p>
    <w:p w:rsidR="005D153F" w:rsidRDefault="00955F65">
      <w:pPr>
        <w:pStyle w:val="Sinespaciado"/>
        <w:spacing w:line="360" w:lineRule="auto"/>
        <w:ind w:right="49" w:firstLine="708"/>
        <w:jc w:val="both"/>
        <w:rPr>
          <w:rFonts w:ascii="Arial" w:hAnsi="Arial"/>
          <w:color w:val="000000"/>
          <w:sz w:val="26"/>
          <w:lang w:val="es-MX"/>
        </w:rPr>
      </w:pPr>
      <w:r>
        <w:rPr>
          <w:rFonts w:ascii="Arial" w:hAnsi="Arial"/>
          <w:color w:val="000000"/>
          <w:sz w:val="26"/>
          <w:lang w:val="es-MX"/>
        </w:rPr>
        <w:t xml:space="preserve">Artículo que establece las hipótesis jurídicas en contra de las cuales procede el recurso de revisión, dentro de las cuales no encuadra el acuerdo recurrido. </w:t>
      </w:r>
    </w:p>
    <w:p w:rsidR="005D153F" w:rsidRDefault="005D153F">
      <w:pPr>
        <w:pStyle w:val="Sinespaciado"/>
        <w:spacing w:line="360" w:lineRule="auto"/>
        <w:ind w:right="49" w:firstLine="708"/>
        <w:jc w:val="both"/>
        <w:rPr>
          <w:rFonts w:ascii="Arial" w:hAnsi="Arial"/>
          <w:color w:val="000000"/>
          <w:sz w:val="26"/>
          <w:lang w:val="es-MX"/>
        </w:rPr>
      </w:pPr>
    </w:p>
    <w:p w:rsidR="005D153F" w:rsidRDefault="00955F65">
      <w:pPr>
        <w:pStyle w:val="Sinespaciado"/>
        <w:spacing w:line="360" w:lineRule="auto"/>
        <w:ind w:right="49" w:firstLine="708"/>
        <w:jc w:val="both"/>
        <w:rPr>
          <w:rFonts w:ascii="Arial" w:hAnsi="Arial"/>
          <w:color w:val="000000"/>
          <w:sz w:val="26"/>
          <w:lang w:val="es-MX"/>
        </w:rPr>
      </w:pPr>
      <w:r>
        <w:rPr>
          <w:rFonts w:ascii="Arial" w:hAnsi="Arial"/>
          <w:color w:val="000000"/>
          <w:sz w:val="26"/>
          <w:lang w:val="es-MX"/>
        </w:rPr>
        <w:t xml:space="preserve">Además, el Magistrado de la Sexta Sala Unitaria de Primera Instancia, funda su determinación en el artículo 194 de la Ley de Justicia Administrativa para el Estado de Oaxaca,  para proceder a desechar de plano, el incidente </w:t>
      </w:r>
      <w:r>
        <w:rPr>
          <w:rFonts w:ascii="Arial" w:hAnsi="Arial"/>
          <w:sz w:val="26"/>
          <w:lang w:eastAsia="es-ES"/>
        </w:rPr>
        <w:t xml:space="preserve">de pago de daños y perjuicios promovido por </w:t>
      </w:r>
      <w:r w:rsidR="00AF3CD7">
        <w:rPr>
          <w:rFonts w:ascii="Arial" w:hAnsi="Arial"/>
          <w:sz w:val="26"/>
        </w:rPr>
        <w:t>**********</w:t>
      </w:r>
      <w:r>
        <w:rPr>
          <w:rFonts w:ascii="Arial" w:hAnsi="Arial"/>
          <w:sz w:val="26"/>
        </w:rPr>
        <w:t xml:space="preserve">, </w:t>
      </w:r>
      <w:r>
        <w:rPr>
          <w:rFonts w:ascii="Arial" w:hAnsi="Arial"/>
          <w:sz w:val="26"/>
          <w:lang w:eastAsia="es-ES"/>
        </w:rPr>
        <w:t xml:space="preserve">apoderado legal de la parte </w:t>
      </w:r>
      <w:proofErr w:type="gramStart"/>
      <w:r>
        <w:rPr>
          <w:rFonts w:ascii="Arial" w:hAnsi="Arial"/>
          <w:sz w:val="26"/>
          <w:lang w:eastAsia="es-ES"/>
        </w:rPr>
        <w:t>actora ”</w:t>
      </w:r>
      <w:proofErr w:type="gramEnd"/>
      <w:r>
        <w:rPr>
          <w:rFonts w:ascii="Arial" w:hAnsi="Arial"/>
          <w:sz w:val="26"/>
          <w:lang w:eastAsia="es-ES"/>
        </w:rPr>
        <w:t xml:space="preserve">IMECA” </w:t>
      </w:r>
      <w:r>
        <w:rPr>
          <w:rFonts w:ascii="Arial" w:hAnsi="Arial"/>
          <w:sz w:val="26"/>
          <w:lang w:eastAsia="es-ES"/>
        </w:rPr>
        <w:lastRenderedPageBreak/>
        <w:t xml:space="preserve">INGENIERIA Y CONSTRUCCION S.A. DE C.V., toda vez que dicho incidente </w:t>
      </w:r>
      <w:r>
        <w:rPr>
          <w:rFonts w:ascii="Arial" w:hAnsi="Arial"/>
          <w:color w:val="000000"/>
          <w:sz w:val="26"/>
          <w:lang w:val="es-MX"/>
        </w:rPr>
        <w:t>no encuadra en ninguno de los supuesto que establece el citado precepto, mismo que refiere lo siguiente:</w:t>
      </w:r>
    </w:p>
    <w:p w:rsidR="005D153F" w:rsidRDefault="005D153F">
      <w:pPr>
        <w:pStyle w:val="Sinespaciado"/>
        <w:ind w:right="49"/>
        <w:jc w:val="both"/>
        <w:rPr>
          <w:rFonts w:ascii="Arial" w:hAnsi="Arial"/>
          <w:color w:val="000000"/>
          <w:sz w:val="18"/>
        </w:rPr>
      </w:pPr>
    </w:p>
    <w:p w:rsidR="005D153F" w:rsidRDefault="00955F65">
      <w:pPr>
        <w:pStyle w:val="Sinespaciado"/>
        <w:tabs>
          <w:tab w:val="left" w:pos="7513"/>
        </w:tabs>
        <w:ind w:left="851" w:right="900"/>
        <w:jc w:val="both"/>
        <w:rPr>
          <w:rFonts w:ascii="Arial" w:hAnsi="Arial"/>
          <w:i/>
          <w:color w:val="000000"/>
          <w:lang w:val="es-MX"/>
        </w:rPr>
      </w:pPr>
      <w:r>
        <w:rPr>
          <w:rFonts w:ascii="Arial" w:hAnsi="Arial"/>
          <w:b/>
          <w:color w:val="000000"/>
        </w:rPr>
        <w:t>“</w:t>
      </w:r>
      <w:r>
        <w:rPr>
          <w:rFonts w:ascii="Arial" w:hAnsi="Arial"/>
          <w:b/>
          <w:i/>
          <w:color w:val="000000"/>
          <w:lang w:val="es-MX"/>
        </w:rPr>
        <w:t>ARTICULO 194</w:t>
      </w:r>
      <w:r>
        <w:rPr>
          <w:rFonts w:ascii="Arial" w:hAnsi="Arial"/>
          <w:i/>
          <w:color w:val="000000"/>
          <w:lang w:val="es-MX"/>
        </w:rPr>
        <w:t>.- En el procedimiento contencioso administrativo, no habrá  más incidentes que los establecidos en la presente Ley. Se tramitarán como de previo y especial pronunciamiento, con suspensión de la tramitación del juicio en lo principal. Procederán los siguientes:</w:t>
      </w:r>
    </w:p>
    <w:p w:rsidR="005D153F" w:rsidRDefault="005D153F">
      <w:pPr>
        <w:pStyle w:val="Sinespaciado"/>
        <w:tabs>
          <w:tab w:val="left" w:pos="7513"/>
        </w:tabs>
        <w:ind w:left="851" w:right="900"/>
        <w:jc w:val="both"/>
        <w:rPr>
          <w:rFonts w:ascii="Arial" w:hAnsi="Arial"/>
          <w:i/>
          <w:color w:val="000000"/>
          <w:lang w:val="es-MX"/>
        </w:rPr>
      </w:pPr>
    </w:p>
    <w:p w:rsidR="005D153F" w:rsidRDefault="00955F65">
      <w:pPr>
        <w:pStyle w:val="Sinespaciado"/>
        <w:tabs>
          <w:tab w:val="left" w:pos="7513"/>
        </w:tabs>
        <w:ind w:left="851" w:right="900"/>
        <w:jc w:val="both"/>
        <w:rPr>
          <w:rFonts w:ascii="Arial" w:hAnsi="Arial"/>
          <w:i/>
          <w:color w:val="000000"/>
          <w:lang w:val="es-MX"/>
        </w:rPr>
      </w:pPr>
      <w:r>
        <w:rPr>
          <w:rFonts w:ascii="Arial" w:hAnsi="Arial"/>
          <w:i/>
          <w:color w:val="000000"/>
          <w:lang w:val="es-MX"/>
        </w:rPr>
        <w:t>I.      El de acumulación de autos;</w:t>
      </w:r>
    </w:p>
    <w:p w:rsidR="005D153F" w:rsidRDefault="005D153F">
      <w:pPr>
        <w:pStyle w:val="Sinespaciado"/>
        <w:tabs>
          <w:tab w:val="left" w:pos="7513"/>
        </w:tabs>
        <w:ind w:left="851" w:right="900"/>
        <w:jc w:val="both"/>
        <w:rPr>
          <w:rFonts w:ascii="Arial" w:hAnsi="Arial"/>
          <w:i/>
          <w:color w:val="000000"/>
          <w:lang w:val="es-MX"/>
        </w:rPr>
      </w:pPr>
    </w:p>
    <w:p w:rsidR="005D153F" w:rsidRDefault="00955F65">
      <w:pPr>
        <w:pStyle w:val="Sinespaciado"/>
        <w:tabs>
          <w:tab w:val="left" w:pos="7513"/>
        </w:tabs>
        <w:ind w:left="851" w:right="900"/>
        <w:jc w:val="both"/>
        <w:rPr>
          <w:rFonts w:ascii="Arial" w:hAnsi="Arial"/>
          <w:i/>
          <w:color w:val="000000"/>
          <w:lang w:val="es-MX"/>
        </w:rPr>
      </w:pPr>
      <w:r>
        <w:rPr>
          <w:rFonts w:ascii="Arial" w:hAnsi="Arial"/>
          <w:i/>
          <w:color w:val="000000"/>
          <w:lang w:val="es-MX"/>
        </w:rPr>
        <w:t>II.     El de nulidad de notificaciones, y</w:t>
      </w:r>
    </w:p>
    <w:p w:rsidR="005D153F" w:rsidRDefault="005D153F">
      <w:pPr>
        <w:pStyle w:val="Sinespaciado"/>
        <w:tabs>
          <w:tab w:val="left" w:pos="7513"/>
        </w:tabs>
        <w:ind w:left="851" w:right="900"/>
        <w:jc w:val="both"/>
        <w:rPr>
          <w:rFonts w:ascii="Arial" w:hAnsi="Arial"/>
          <w:i/>
          <w:color w:val="000000"/>
          <w:lang w:val="es-MX"/>
        </w:rPr>
      </w:pPr>
    </w:p>
    <w:p w:rsidR="005D153F" w:rsidRDefault="00955F65">
      <w:pPr>
        <w:pStyle w:val="Sinespaciado"/>
        <w:tabs>
          <w:tab w:val="left" w:pos="7513"/>
        </w:tabs>
        <w:ind w:left="851" w:right="900"/>
        <w:jc w:val="both"/>
        <w:rPr>
          <w:rFonts w:ascii="Arial" w:hAnsi="Arial"/>
          <w:i/>
          <w:color w:val="000000"/>
          <w:lang w:val="es-MX"/>
        </w:rPr>
      </w:pPr>
      <w:r>
        <w:rPr>
          <w:rFonts w:ascii="Arial" w:hAnsi="Arial"/>
          <w:i/>
          <w:color w:val="000000"/>
          <w:lang w:val="es-MX"/>
        </w:rPr>
        <w:t>III.    El de interrupción del procedimiento por causa de muerte, incapacidad, declaración de ausencia,  quiebra,  disolución  de  la  persona  moral  o  desaparición  del  órgano  de  la administración pública.</w:t>
      </w:r>
    </w:p>
    <w:p w:rsidR="005D153F" w:rsidRDefault="005D153F">
      <w:pPr>
        <w:pStyle w:val="Sinespaciado"/>
        <w:tabs>
          <w:tab w:val="left" w:pos="7513"/>
        </w:tabs>
        <w:ind w:left="851" w:right="900"/>
        <w:jc w:val="both"/>
        <w:rPr>
          <w:rFonts w:ascii="Arial" w:hAnsi="Arial"/>
          <w:i/>
          <w:color w:val="000000"/>
          <w:lang w:val="es-MX"/>
        </w:rPr>
      </w:pPr>
    </w:p>
    <w:p w:rsidR="005D153F" w:rsidRDefault="00955F65">
      <w:pPr>
        <w:pStyle w:val="Sinespaciado"/>
        <w:tabs>
          <w:tab w:val="left" w:pos="7513"/>
        </w:tabs>
        <w:ind w:left="851" w:right="900"/>
        <w:jc w:val="both"/>
        <w:rPr>
          <w:rFonts w:ascii="Arial" w:hAnsi="Arial"/>
          <w:color w:val="000000"/>
        </w:rPr>
      </w:pPr>
      <w:r>
        <w:rPr>
          <w:rFonts w:ascii="Arial" w:hAnsi="Arial"/>
          <w:i/>
          <w:color w:val="000000"/>
          <w:lang w:val="es-MX"/>
        </w:rPr>
        <w:t>La promoción de cualquier incidente, notoriamente improcedente, se desechará de plano</w:t>
      </w:r>
      <w:r>
        <w:rPr>
          <w:rFonts w:ascii="Arial" w:hAnsi="Arial"/>
          <w:color w:val="000000"/>
        </w:rPr>
        <w:t>.”</w:t>
      </w:r>
    </w:p>
    <w:p w:rsidR="005D153F" w:rsidRDefault="005D153F">
      <w:pPr>
        <w:pStyle w:val="Sinespaciado"/>
        <w:tabs>
          <w:tab w:val="left" w:pos="7513"/>
        </w:tabs>
        <w:ind w:left="851" w:right="900"/>
        <w:jc w:val="both"/>
        <w:rPr>
          <w:rFonts w:ascii="Arial" w:hAnsi="Arial"/>
          <w:color w:val="000000"/>
        </w:rPr>
      </w:pPr>
    </w:p>
    <w:p w:rsidR="005D153F" w:rsidRDefault="005D153F">
      <w:pPr>
        <w:pStyle w:val="Sinespaciado"/>
        <w:ind w:right="49"/>
        <w:jc w:val="both"/>
        <w:rPr>
          <w:rFonts w:ascii="Arial" w:hAnsi="Arial"/>
          <w:color w:val="000000"/>
          <w:sz w:val="18"/>
        </w:rPr>
      </w:pPr>
    </w:p>
    <w:p w:rsidR="005D153F" w:rsidRDefault="00955F65">
      <w:pPr>
        <w:pStyle w:val="Sinespaciado"/>
        <w:spacing w:line="360" w:lineRule="auto"/>
        <w:ind w:right="49" w:firstLine="708"/>
        <w:jc w:val="both"/>
        <w:rPr>
          <w:rFonts w:ascii="Arial" w:hAnsi="Arial"/>
          <w:color w:val="000000"/>
          <w:sz w:val="26"/>
          <w:lang w:val="es-MX"/>
        </w:rPr>
      </w:pPr>
      <w:r>
        <w:rPr>
          <w:rFonts w:ascii="Arial" w:hAnsi="Arial"/>
          <w:color w:val="000000"/>
          <w:sz w:val="26"/>
        </w:rPr>
        <w:t xml:space="preserve">En atención a lo anterior, </w:t>
      </w:r>
      <w:r>
        <w:rPr>
          <w:rFonts w:ascii="Arial" w:hAnsi="Arial"/>
          <w:color w:val="000000"/>
          <w:sz w:val="26"/>
          <w:lang w:val="es-MX"/>
        </w:rPr>
        <w:t xml:space="preserve">no cabe la posibilidad de analizar los agravios vertidos por el recurrente en su recurso de revisión; en consecuencia, </w:t>
      </w:r>
      <w:r>
        <w:rPr>
          <w:rFonts w:ascii="Arial" w:hAnsi="Arial"/>
          <w:b/>
          <w:color w:val="000000"/>
          <w:sz w:val="26"/>
          <w:lang w:val="es-MX"/>
        </w:rPr>
        <w:t xml:space="preserve">SE DESECHA </w:t>
      </w:r>
      <w:r>
        <w:rPr>
          <w:rFonts w:ascii="Arial" w:hAnsi="Arial"/>
          <w:color w:val="000000"/>
          <w:sz w:val="26"/>
          <w:lang w:val="es-MX"/>
        </w:rPr>
        <w:t xml:space="preserve">el presente medio de defensa por </w:t>
      </w:r>
      <w:r>
        <w:rPr>
          <w:rFonts w:ascii="Arial" w:hAnsi="Arial"/>
          <w:b/>
          <w:color w:val="000000"/>
          <w:sz w:val="26"/>
          <w:lang w:val="es-MX"/>
        </w:rPr>
        <w:t>IMPROCEDENTE</w:t>
      </w:r>
      <w:r>
        <w:rPr>
          <w:rFonts w:ascii="Arial" w:hAnsi="Arial"/>
          <w:color w:val="000000"/>
          <w:sz w:val="26"/>
          <w:lang w:val="es-MX"/>
        </w:rPr>
        <w:t>.</w:t>
      </w:r>
    </w:p>
    <w:p w:rsidR="005D153F" w:rsidRDefault="005D153F">
      <w:pPr>
        <w:pStyle w:val="Sinespaciado"/>
        <w:spacing w:line="360" w:lineRule="auto"/>
        <w:ind w:right="49" w:firstLine="708"/>
        <w:jc w:val="both"/>
        <w:rPr>
          <w:rFonts w:ascii="Arial" w:hAnsi="Arial"/>
          <w:color w:val="000000"/>
          <w:sz w:val="26"/>
          <w:lang w:val="es-MX"/>
        </w:rPr>
      </w:pPr>
    </w:p>
    <w:p w:rsidR="005D153F" w:rsidRDefault="00955F65">
      <w:pPr>
        <w:pStyle w:val="Sinespaciado"/>
        <w:spacing w:line="360" w:lineRule="auto"/>
        <w:ind w:right="49" w:firstLine="708"/>
        <w:jc w:val="both"/>
        <w:rPr>
          <w:rFonts w:ascii="Arial" w:hAnsi="Arial"/>
          <w:color w:val="000000"/>
          <w:sz w:val="26"/>
          <w:lang w:val="es-MX"/>
        </w:rPr>
      </w:pPr>
      <w:r>
        <w:rPr>
          <w:rFonts w:ascii="Arial" w:hAnsi="Arial"/>
          <w:color w:val="000000"/>
          <w:sz w:val="26"/>
          <w:lang w:val="es-MX"/>
        </w:rPr>
        <w:t xml:space="preserve"> En mérito de lo anterior, con fundamento en los artículos 207 y 208 de la Ley de Justicia Administrativa para el Estado, se:</w:t>
      </w:r>
    </w:p>
    <w:p w:rsidR="005D153F" w:rsidRDefault="005D153F">
      <w:pPr>
        <w:pStyle w:val="Sinespaciado"/>
        <w:spacing w:line="360" w:lineRule="auto"/>
        <w:ind w:right="49"/>
        <w:jc w:val="both"/>
        <w:rPr>
          <w:rFonts w:ascii="Arial" w:hAnsi="Arial"/>
          <w:color w:val="000000"/>
          <w:sz w:val="26"/>
          <w:lang w:val="es-MX"/>
        </w:rPr>
      </w:pPr>
    </w:p>
    <w:p w:rsidR="005D153F" w:rsidRDefault="00955F65">
      <w:pPr>
        <w:pStyle w:val="Sinespaciado"/>
        <w:spacing w:line="360" w:lineRule="auto"/>
        <w:ind w:right="49"/>
        <w:jc w:val="center"/>
        <w:rPr>
          <w:rFonts w:ascii="Arial" w:hAnsi="Arial"/>
          <w:b/>
          <w:color w:val="000000"/>
          <w:sz w:val="26"/>
          <w:lang w:val="es-MX"/>
        </w:rPr>
      </w:pPr>
      <w:r>
        <w:rPr>
          <w:rFonts w:ascii="Arial" w:hAnsi="Arial"/>
          <w:b/>
          <w:color w:val="000000"/>
          <w:sz w:val="26"/>
          <w:lang w:val="es-MX"/>
        </w:rPr>
        <w:t>R E S U E L V E</w:t>
      </w:r>
    </w:p>
    <w:p w:rsidR="005D153F" w:rsidRDefault="005D153F">
      <w:pPr>
        <w:pStyle w:val="Sinespaciado"/>
        <w:spacing w:line="360" w:lineRule="auto"/>
        <w:ind w:right="49"/>
        <w:jc w:val="center"/>
        <w:rPr>
          <w:rFonts w:ascii="Arial" w:hAnsi="Arial"/>
          <w:b/>
          <w:color w:val="000000"/>
          <w:sz w:val="26"/>
          <w:lang w:val="es-MX"/>
        </w:rPr>
      </w:pPr>
    </w:p>
    <w:p w:rsidR="005D153F" w:rsidRDefault="00955F65">
      <w:pPr>
        <w:pStyle w:val="Sinespaciado"/>
        <w:spacing w:line="360" w:lineRule="auto"/>
        <w:ind w:right="49" w:firstLine="708"/>
        <w:jc w:val="both"/>
        <w:rPr>
          <w:rFonts w:ascii="Arial" w:hAnsi="Arial"/>
          <w:color w:val="000000"/>
          <w:sz w:val="26"/>
          <w:lang w:val="es-MX"/>
        </w:rPr>
      </w:pPr>
      <w:r>
        <w:rPr>
          <w:rFonts w:ascii="Arial" w:hAnsi="Arial"/>
          <w:b/>
          <w:sz w:val="26"/>
          <w:lang w:val="es-MX"/>
        </w:rPr>
        <w:t xml:space="preserve">PRIMERO. </w:t>
      </w:r>
      <w:r>
        <w:rPr>
          <w:rFonts w:ascii="Arial" w:hAnsi="Arial"/>
          <w:sz w:val="26"/>
          <w:lang w:val="es-MX"/>
        </w:rPr>
        <w:t xml:space="preserve">Se </w:t>
      </w:r>
      <w:r>
        <w:rPr>
          <w:rFonts w:ascii="Arial" w:hAnsi="Arial"/>
          <w:b/>
          <w:sz w:val="26"/>
          <w:lang w:val="es-MX"/>
        </w:rPr>
        <w:t xml:space="preserve">DESECHA </w:t>
      </w:r>
      <w:r>
        <w:rPr>
          <w:rFonts w:ascii="Arial" w:hAnsi="Arial"/>
          <w:sz w:val="26"/>
          <w:lang w:val="es-MX"/>
        </w:rPr>
        <w:t xml:space="preserve">por </w:t>
      </w:r>
      <w:r>
        <w:rPr>
          <w:rFonts w:ascii="Arial" w:hAnsi="Arial"/>
          <w:b/>
          <w:sz w:val="26"/>
          <w:lang w:val="es-MX"/>
        </w:rPr>
        <w:t>IMPROCEDENTE</w:t>
      </w:r>
      <w:r>
        <w:rPr>
          <w:rFonts w:ascii="Arial" w:hAnsi="Arial"/>
          <w:sz w:val="26"/>
          <w:lang w:val="es-MX"/>
        </w:rPr>
        <w:t>, el recurso de revisión promovido en contra d</w:t>
      </w:r>
      <w:r>
        <w:rPr>
          <w:rFonts w:ascii="Arial" w:hAnsi="Arial"/>
          <w:color w:val="000000"/>
          <w:sz w:val="26"/>
          <w:lang w:val="es-MX"/>
        </w:rPr>
        <w:t xml:space="preserve">el </w:t>
      </w:r>
      <w:r>
        <w:rPr>
          <w:rFonts w:ascii="Arial" w:hAnsi="Arial"/>
          <w:sz w:val="26"/>
        </w:rPr>
        <w:t xml:space="preserve">acuerdo de 23 veintitrés de octubre de 2017 dos mil diecisiete, dictado en incidente de resarcimiento de daños y perjuicios deducido del expediente </w:t>
      </w:r>
      <w:r>
        <w:rPr>
          <w:rFonts w:ascii="Arial" w:hAnsi="Arial"/>
          <w:b/>
          <w:sz w:val="26"/>
        </w:rPr>
        <w:t xml:space="preserve">0173/2016, </w:t>
      </w:r>
      <w:r>
        <w:rPr>
          <w:rFonts w:ascii="Arial" w:hAnsi="Arial"/>
          <w:sz w:val="26"/>
        </w:rPr>
        <w:t>del índice de la Sexta Sala Unitaria de Primera Instancia,</w:t>
      </w:r>
      <w:r>
        <w:rPr>
          <w:rFonts w:ascii="Arial" w:hAnsi="Arial"/>
          <w:sz w:val="26"/>
          <w:lang w:val="es-MX"/>
        </w:rPr>
        <w:t xml:space="preserve"> en los términos apuntados en el Considerando Tercero</w:t>
      </w:r>
      <w:r>
        <w:rPr>
          <w:rFonts w:ascii="Arial" w:hAnsi="Arial"/>
          <w:color w:val="000000"/>
          <w:sz w:val="26"/>
          <w:lang w:val="es-MX"/>
        </w:rPr>
        <w:t>.</w:t>
      </w:r>
    </w:p>
    <w:p w:rsidR="005D153F" w:rsidRDefault="005D153F">
      <w:pPr>
        <w:pStyle w:val="Sinespaciado"/>
        <w:spacing w:line="360" w:lineRule="auto"/>
        <w:ind w:right="49" w:firstLine="708"/>
        <w:jc w:val="both"/>
        <w:rPr>
          <w:rFonts w:ascii="Arial" w:hAnsi="Arial"/>
          <w:color w:val="000000"/>
          <w:sz w:val="26"/>
          <w:lang w:val="es-MX"/>
        </w:rPr>
      </w:pPr>
    </w:p>
    <w:p w:rsidR="005D153F" w:rsidRDefault="00955F65">
      <w:pPr>
        <w:pStyle w:val="Sinespaciado"/>
        <w:spacing w:line="360" w:lineRule="auto"/>
        <w:ind w:right="49" w:firstLine="708"/>
        <w:jc w:val="both"/>
        <w:rPr>
          <w:rFonts w:ascii="Arial" w:hAnsi="Arial"/>
          <w:color w:val="000000"/>
          <w:sz w:val="26"/>
          <w:lang w:val="es-MX"/>
        </w:rPr>
      </w:pPr>
      <w:r>
        <w:rPr>
          <w:rFonts w:ascii="Arial" w:hAnsi="Arial"/>
          <w:b/>
          <w:color w:val="000000"/>
          <w:sz w:val="26"/>
          <w:lang w:val="es-MX"/>
        </w:rPr>
        <w:t>SEGUNDO. NOTIFÍQUESE Y CÚMPLASE</w:t>
      </w:r>
      <w:r>
        <w:rPr>
          <w:rFonts w:ascii="Arial" w:hAnsi="Arial"/>
          <w:color w:val="000000"/>
          <w:sz w:val="26"/>
          <w:lang w:val="es-MX"/>
        </w:rPr>
        <w:t>, con copia certificada de la presente resolución, vuelvan las constancias remitidas a la Sexta Sala Unitaria de Primera Instancia, y en su oportunidad archívese el cuaderno de revisión como concluido.</w:t>
      </w:r>
    </w:p>
    <w:p w:rsidR="005D153F" w:rsidRDefault="00955F65">
      <w:pPr>
        <w:pStyle w:val="Sinespaciado"/>
        <w:spacing w:line="360" w:lineRule="auto"/>
        <w:ind w:right="49"/>
        <w:jc w:val="both"/>
        <w:rPr>
          <w:rFonts w:ascii="Arial" w:hAnsi="Arial"/>
          <w:sz w:val="26"/>
        </w:rPr>
      </w:pPr>
      <w:r>
        <w:rPr>
          <w:rFonts w:ascii="Arial" w:hAnsi="Arial"/>
          <w:sz w:val="26"/>
        </w:rPr>
        <w:t xml:space="preserve">Así por unanimidad de votos, lo resolvieron y firmaron los Magistrados integrantes de la Sala Superior del Tribunal de Justicia Administrativa </w:t>
      </w:r>
      <w:r>
        <w:rPr>
          <w:rFonts w:ascii="Arial" w:hAnsi="Arial"/>
          <w:sz w:val="26"/>
        </w:rPr>
        <w:lastRenderedPageBreak/>
        <w:t xml:space="preserve">del Estado, quienes actúan con la Secretaria General de Acuerdos de este Tribunal, que autoriza y da fe. </w:t>
      </w:r>
    </w:p>
    <w:p w:rsidR="005D153F" w:rsidRDefault="005D153F">
      <w:pPr>
        <w:pStyle w:val="Sinespaciado"/>
        <w:spacing w:line="360" w:lineRule="auto"/>
        <w:ind w:right="49"/>
        <w:jc w:val="both"/>
        <w:rPr>
          <w:rFonts w:ascii="Arial" w:hAnsi="Arial"/>
          <w:sz w:val="26"/>
        </w:rPr>
      </w:pPr>
    </w:p>
    <w:p w:rsidR="005D153F" w:rsidRDefault="005D153F">
      <w:pPr>
        <w:pStyle w:val="Sinespaciado"/>
        <w:spacing w:line="360" w:lineRule="auto"/>
        <w:ind w:right="49"/>
        <w:jc w:val="both"/>
        <w:rPr>
          <w:rFonts w:ascii="Arial" w:hAnsi="Arial"/>
          <w:sz w:val="26"/>
        </w:rPr>
      </w:pPr>
    </w:p>
    <w:p w:rsidR="005D153F" w:rsidRDefault="005D153F">
      <w:pPr>
        <w:pStyle w:val="Sinespaciado"/>
        <w:spacing w:line="360" w:lineRule="auto"/>
        <w:ind w:right="49"/>
        <w:jc w:val="both"/>
        <w:rPr>
          <w:rFonts w:ascii="Arial" w:hAnsi="Arial"/>
          <w:sz w:val="26"/>
        </w:rPr>
      </w:pPr>
    </w:p>
    <w:p w:rsidR="005D153F" w:rsidRDefault="005D153F">
      <w:pPr>
        <w:pStyle w:val="Sinespaciado"/>
        <w:jc w:val="both"/>
        <w:rPr>
          <w:rFonts w:ascii="Arial" w:hAnsi="Arial"/>
          <w:sz w:val="26"/>
        </w:rPr>
      </w:pPr>
    </w:p>
    <w:p w:rsidR="005D153F" w:rsidRDefault="00955F65">
      <w:pPr>
        <w:spacing w:after="0" w:line="240" w:lineRule="auto"/>
        <w:jc w:val="center"/>
        <w:rPr>
          <w:rFonts w:ascii="Arial" w:hAnsi="Arial"/>
          <w:sz w:val="26"/>
        </w:rPr>
      </w:pPr>
      <w:r>
        <w:rPr>
          <w:rFonts w:ascii="Arial" w:hAnsi="Arial"/>
          <w:sz w:val="26"/>
        </w:rPr>
        <w:t>MAGISTRADA MARÍA ELENA VILLA DE JARQUÍN</w:t>
      </w:r>
    </w:p>
    <w:p w:rsidR="005D153F" w:rsidRDefault="00955F65">
      <w:pPr>
        <w:spacing w:after="0" w:line="240" w:lineRule="auto"/>
        <w:jc w:val="center"/>
        <w:rPr>
          <w:rFonts w:ascii="Arial" w:hAnsi="Arial"/>
          <w:sz w:val="26"/>
        </w:rPr>
      </w:pPr>
      <w:r>
        <w:rPr>
          <w:rFonts w:ascii="Arial" w:hAnsi="Arial"/>
          <w:sz w:val="26"/>
        </w:rPr>
        <w:t>ENCARGADA DEL DESPACHO DE LA PRESIDENCIA</w:t>
      </w:r>
    </w:p>
    <w:p w:rsidR="005D153F" w:rsidRDefault="005D153F">
      <w:pPr>
        <w:spacing w:line="360" w:lineRule="auto"/>
        <w:jc w:val="center"/>
        <w:rPr>
          <w:rFonts w:ascii="Arial" w:hAnsi="Arial"/>
          <w:sz w:val="26"/>
        </w:rPr>
      </w:pPr>
    </w:p>
    <w:p w:rsidR="005D153F" w:rsidRDefault="005D153F">
      <w:pPr>
        <w:spacing w:line="360" w:lineRule="auto"/>
        <w:jc w:val="center"/>
        <w:rPr>
          <w:rFonts w:ascii="Arial" w:hAnsi="Arial"/>
          <w:sz w:val="26"/>
        </w:rPr>
      </w:pPr>
    </w:p>
    <w:p w:rsidR="005D153F" w:rsidRDefault="005D153F">
      <w:pPr>
        <w:spacing w:line="360" w:lineRule="auto"/>
        <w:rPr>
          <w:rFonts w:ascii="Arial" w:hAnsi="Arial"/>
          <w:sz w:val="26"/>
        </w:rPr>
      </w:pPr>
    </w:p>
    <w:p w:rsidR="005D153F" w:rsidRDefault="005D153F">
      <w:pPr>
        <w:spacing w:line="360" w:lineRule="auto"/>
        <w:rPr>
          <w:rFonts w:ascii="Arial" w:hAnsi="Arial"/>
          <w:sz w:val="26"/>
        </w:rPr>
      </w:pPr>
    </w:p>
    <w:p w:rsidR="005D153F" w:rsidRDefault="00955F65">
      <w:pPr>
        <w:spacing w:line="360" w:lineRule="auto"/>
        <w:jc w:val="center"/>
        <w:rPr>
          <w:rFonts w:ascii="Arial" w:hAnsi="Arial"/>
          <w:sz w:val="26"/>
        </w:rPr>
      </w:pPr>
      <w:r>
        <w:rPr>
          <w:rFonts w:ascii="Arial" w:hAnsi="Arial"/>
          <w:sz w:val="26"/>
        </w:rPr>
        <w:t>MAGISTRADO HUGO VILLEGAS AQUINO</w:t>
      </w:r>
    </w:p>
    <w:p w:rsidR="005D153F" w:rsidRDefault="005D153F">
      <w:pPr>
        <w:spacing w:line="360" w:lineRule="auto"/>
        <w:jc w:val="center"/>
        <w:rPr>
          <w:rFonts w:ascii="Arial" w:hAnsi="Arial"/>
          <w:sz w:val="26"/>
        </w:rPr>
      </w:pPr>
    </w:p>
    <w:p w:rsidR="005D153F" w:rsidRDefault="005D153F">
      <w:pPr>
        <w:spacing w:line="360" w:lineRule="auto"/>
        <w:jc w:val="center"/>
        <w:rPr>
          <w:rFonts w:ascii="Arial" w:hAnsi="Arial"/>
          <w:sz w:val="26"/>
        </w:rPr>
      </w:pPr>
    </w:p>
    <w:p w:rsidR="005D153F" w:rsidRDefault="005D153F">
      <w:pPr>
        <w:spacing w:line="360" w:lineRule="auto"/>
        <w:jc w:val="center"/>
        <w:rPr>
          <w:rFonts w:ascii="Arial" w:hAnsi="Arial"/>
          <w:sz w:val="26"/>
        </w:rPr>
      </w:pPr>
    </w:p>
    <w:p w:rsidR="005D153F" w:rsidRDefault="005D153F">
      <w:pPr>
        <w:spacing w:line="360" w:lineRule="auto"/>
        <w:jc w:val="center"/>
        <w:rPr>
          <w:rFonts w:ascii="Arial" w:hAnsi="Arial"/>
          <w:sz w:val="26"/>
        </w:rPr>
      </w:pPr>
    </w:p>
    <w:p w:rsidR="005D153F" w:rsidRDefault="00955F65">
      <w:pPr>
        <w:spacing w:line="360" w:lineRule="auto"/>
        <w:jc w:val="center"/>
        <w:rPr>
          <w:rFonts w:ascii="Arial" w:hAnsi="Arial"/>
          <w:sz w:val="26"/>
        </w:rPr>
      </w:pPr>
      <w:r>
        <w:rPr>
          <w:rFonts w:ascii="Arial" w:hAnsi="Arial"/>
          <w:sz w:val="26"/>
        </w:rPr>
        <w:t xml:space="preserve">MAGISTRADO ADRIÁN QUIROGA AVENDAÑO </w:t>
      </w:r>
    </w:p>
    <w:p w:rsidR="005D153F" w:rsidRDefault="00DF5767">
      <w:pPr>
        <w:spacing w:line="360" w:lineRule="auto"/>
        <w:jc w:val="center"/>
        <w:rPr>
          <w:rFonts w:ascii="Arial" w:hAnsi="Arial"/>
          <w:sz w:val="26"/>
        </w:rPr>
      </w:pPr>
      <w:r>
        <w:rPr>
          <w:rFonts w:ascii="Times New Roman" w:hAnsi="Times New Roman"/>
          <w:noProof/>
          <w:sz w:val="24"/>
          <w:szCs w:val="24"/>
          <w:lang w:val="es-MX" w:eastAsia="es-MX"/>
        </w:rPr>
        <mc:AlternateContent>
          <mc:Choice Requires="wps">
            <w:drawing>
              <wp:anchor distT="0" distB="0" distL="114300" distR="114300" simplePos="0" relativeHeight="251663360" behindDoc="0" locked="0" layoutInCell="1" allowOverlap="1">
                <wp:simplePos x="0" y="0"/>
                <wp:positionH relativeFrom="column">
                  <wp:posOffset>-1526875</wp:posOffset>
                </wp:positionH>
                <wp:positionV relativeFrom="paragraph">
                  <wp:posOffset>447938</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F5767" w:rsidRDefault="00DF5767" w:rsidP="00DF5767">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120.25pt;margin-top:35.2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">
                <v:textbox>
                  <w:txbxContent>
                    <w:p w:rsidR="00DF5767" w:rsidRDefault="00DF5767" w:rsidP="00DF5767">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5D153F" w:rsidRDefault="005D153F">
      <w:pPr>
        <w:spacing w:line="360" w:lineRule="auto"/>
        <w:jc w:val="center"/>
        <w:rPr>
          <w:rFonts w:ascii="Arial" w:hAnsi="Arial"/>
          <w:sz w:val="26"/>
        </w:rPr>
      </w:pPr>
    </w:p>
    <w:p w:rsidR="005D153F" w:rsidRDefault="005D153F">
      <w:pPr>
        <w:spacing w:line="360" w:lineRule="auto"/>
        <w:jc w:val="center"/>
        <w:rPr>
          <w:rFonts w:ascii="Arial" w:hAnsi="Arial"/>
          <w:sz w:val="26"/>
        </w:rPr>
      </w:pPr>
    </w:p>
    <w:p w:rsidR="005D153F" w:rsidRDefault="005D153F">
      <w:pPr>
        <w:spacing w:line="360" w:lineRule="auto"/>
        <w:jc w:val="center"/>
        <w:rPr>
          <w:rFonts w:ascii="Arial" w:hAnsi="Arial"/>
          <w:sz w:val="26"/>
        </w:rPr>
      </w:pPr>
    </w:p>
    <w:p w:rsidR="005D153F" w:rsidRDefault="005D153F">
      <w:pPr>
        <w:spacing w:line="360" w:lineRule="auto"/>
        <w:jc w:val="center"/>
        <w:rPr>
          <w:rFonts w:ascii="Arial" w:hAnsi="Arial"/>
          <w:sz w:val="26"/>
        </w:rPr>
      </w:pPr>
    </w:p>
    <w:p w:rsidR="005D153F" w:rsidRDefault="00955F65">
      <w:pPr>
        <w:spacing w:line="360" w:lineRule="auto"/>
        <w:jc w:val="center"/>
        <w:rPr>
          <w:rFonts w:ascii="Arial" w:hAnsi="Arial"/>
          <w:sz w:val="26"/>
        </w:rPr>
      </w:pPr>
      <w:r>
        <w:rPr>
          <w:rFonts w:ascii="Arial" w:hAnsi="Arial"/>
          <w:sz w:val="26"/>
        </w:rPr>
        <w:t>MAGISTRADO ENRIQUE PACHECO MARTÍNEZ</w:t>
      </w:r>
    </w:p>
    <w:p w:rsidR="005D153F" w:rsidRDefault="005D153F">
      <w:pPr>
        <w:spacing w:line="360" w:lineRule="auto"/>
        <w:jc w:val="center"/>
        <w:rPr>
          <w:rFonts w:ascii="Arial" w:hAnsi="Arial"/>
          <w:sz w:val="26"/>
        </w:rPr>
      </w:pPr>
    </w:p>
    <w:p w:rsidR="005D153F" w:rsidRDefault="005D153F">
      <w:pPr>
        <w:spacing w:line="360" w:lineRule="auto"/>
        <w:jc w:val="center"/>
        <w:rPr>
          <w:rFonts w:ascii="Arial" w:hAnsi="Arial"/>
          <w:sz w:val="26"/>
        </w:rPr>
      </w:pPr>
    </w:p>
    <w:p w:rsidR="005D153F" w:rsidRDefault="005D153F">
      <w:pPr>
        <w:spacing w:line="360" w:lineRule="auto"/>
        <w:jc w:val="center"/>
        <w:rPr>
          <w:rFonts w:ascii="Arial" w:hAnsi="Arial"/>
          <w:sz w:val="26"/>
        </w:rPr>
      </w:pPr>
    </w:p>
    <w:p w:rsidR="005D153F" w:rsidRDefault="00955F65">
      <w:pPr>
        <w:spacing w:after="0" w:line="240" w:lineRule="auto"/>
        <w:jc w:val="center"/>
        <w:rPr>
          <w:rFonts w:ascii="Arial" w:hAnsi="Arial"/>
          <w:sz w:val="26"/>
        </w:rPr>
      </w:pPr>
      <w:r>
        <w:rPr>
          <w:rFonts w:ascii="Arial" w:hAnsi="Arial"/>
          <w:sz w:val="26"/>
        </w:rPr>
        <w:t>LICENCIADA  SANDRA PÉREZ CRUZ.</w:t>
      </w:r>
    </w:p>
    <w:p w:rsidR="005D153F" w:rsidRDefault="00955F65">
      <w:pPr>
        <w:spacing w:after="0" w:line="240" w:lineRule="auto"/>
        <w:jc w:val="center"/>
        <w:rPr>
          <w:rFonts w:ascii="Arial" w:hAnsi="Arial"/>
          <w:sz w:val="26"/>
        </w:rPr>
      </w:pPr>
      <w:r>
        <w:rPr>
          <w:rFonts w:ascii="Arial" w:hAnsi="Arial"/>
          <w:sz w:val="26"/>
        </w:rPr>
        <w:t>SECRETARIA GENERAL DE ACUERDOS</w:t>
      </w:r>
    </w:p>
    <w:sectPr w:rsidR="005D153F">
      <w:headerReference w:type="even" r:id="rId7"/>
      <w:headerReference w:type="default" r:id="rId8"/>
      <w:footerReference w:type="default" r:id="rId9"/>
      <w:pgSz w:w="12240" w:h="20160" w:code="5"/>
      <w:pgMar w:top="1418" w:right="1134" w:bottom="1758" w:left="2835"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F65" w:rsidRDefault="00955F65">
      <w:pPr>
        <w:spacing w:after="0" w:line="240" w:lineRule="auto"/>
      </w:pPr>
      <w:r>
        <w:separator/>
      </w:r>
    </w:p>
  </w:endnote>
  <w:endnote w:type="continuationSeparator" w:id="0">
    <w:p w:rsidR="00955F65" w:rsidRDefault="0095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767" w:rsidRDefault="00DF5767">
    <w:pPr>
      <w:pStyle w:val="Piedepgina"/>
    </w:pPr>
    <w:r>
      <w:rPr>
        <w:noProof/>
        <w:szCs w:val="24"/>
        <w:lang w:val="es-MX" w:eastAsia="es-MX"/>
      </w:rPr>
      <mc:AlternateContent>
        <mc:Choice Requires="wps">
          <w:drawing>
            <wp:anchor distT="0" distB="0" distL="114300" distR="114300" simplePos="0" relativeHeight="251653120" behindDoc="0" locked="0" layoutInCell="1" allowOverlap="1" wp14:anchorId="2F5E0826" wp14:editId="456B5932">
              <wp:simplePos x="0" y="0"/>
              <wp:positionH relativeFrom="column">
                <wp:posOffset>-1435396</wp:posOffset>
              </wp:positionH>
              <wp:positionV relativeFrom="paragraph">
                <wp:posOffset>-4490218</wp:posOffset>
              </wp:positionV>
              <wp:extent cx="1076325" cy="65722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F5767" w:rsidRDefault="00DF5767" w:rsidP="00DF576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E0826" id="_x0000_t202" coordsize="21600,21600" o:spt="202" path="m,l,21600r21600,l21600,xe">
              <v:stroke joinstyle="miter"/>
              <v:path gradientshapeok="t" o:connecttype="rect"/>
            </v:shapetype>
            <v:shape id="Cuadro de texto 307" o:spid="_x0000_s1029" type="#_x0000_t202" style="position:absolute;margin-left:-113pt;margin-top:-353.55pt;width:84.75pt;height:5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DJwIAAE8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">
              <v:textbox>
                <w:txbxContent>
                  <w:p w:rsidR="00DF5767" w:rsidRDefault="00DF5767" w:rsidP="00DF5767">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F65" w:rsidRDefault="00955F65">
      <w:pPr>
        <w:spacing w:after="0" w:line="240" w:lineRule="auto"/>
      </w:pPr>
      <w:r>
        <w:separator/>
      </w:r>
    </w:p>
  </w:footnote>
  <w:footnote w:type="continuationSeparator" w:id="0">
    <w:p w:rsidR="00955F65" w:rsidRDefault="00955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3F" w:rsidRDefault="00955F65">
    <w:pPr>
      <w:pStyle w:val="Encabezado"/>
      <w:jc w:val="center"/>
    </w:pPr>
    <w:r>
      <w:fldChar w:fldCharType="begin"/>
    </w:r>
    <w:r>
      <w:instrText>PAGE   \* MERGEFORMAT</w:instrText>
    </w:r>
    <w:r>
      <w:fldChar w:fldCharType="separate"/>
    </w:r>
    <w:r w:rsidR="00DF5767">
      <w:rPr>
        <w:noProof/>
      </w:rPr>
      <w:t>6</w:t>
    </w:r>
    <w:r>
      <w:fldChar w:fldCharType="end"/>
    </w:r>
  </w:p>
  <w:p w:rsidR="005D153F" w:rsidRDefault="005D153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3F" w:rsidRDefault="00955F65">
    <w:pPr>
      <w:pStyle w:val="Encabezado"/>
      <w:jc w:val="center"/>
      <w:rPr>
        <w:noProof/>
      </w:rPr>
    </w:pPr>
    <w:r>
      <w:fldChar w:fldCharType="begin"/>
    </w:r>
    <w:r>
      <w:instrText xml:space="preserve"> PAGE   \* MERGEFORMAT </w:instrText>
    </w:r>
    <w:r>
      <w:fldChar w:fldCharType="separate"/>
    </w:r>
    <w:r w:rsidR="00DF5767">
      <w:rPr>
        <w:noProof/>
      </w:rPr>
      <w:t>5</w:t>
    </w:r>
    <w:r>
      <w:rPr>
        <w:noProof/>
      </w:rPr>
      <w:fldChar w:fldCharType="end"/>
    </w:r>
  </w:p>
  <w:p w:rsidR="005D153F" w:rsidRDefault="005D153F">
    <w:pPr>
      <w:pStyle w:val="Encabezado"/>
      <w:jc w:val="center"/>
    </w:pPr>
  </w:p>
  <w:p w:rsidR="005D153F" w:rsidRDefault="005D153F">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0C4408AC"/>
    <w:lvl w:ilvl="0" w:tplc="080A0001">
      <w:start w:val="1"/>
      <w:numFmt w:val="bullet"/>
      <w:lvlText w:val=""/>
      <w:lvlJc w:val="left"/>
      <w:pPr>
        <w:ind w:left="1428" w:hanging="360"/>
      </w:pPr>
      <w:rPr>
        <w:rFonts w:ascii="Symbol" w:hAnsi="Symbol"/>
      </w:rPr>
    </w:lvl>
    <w:lvl w:ilvl="1" w:tplc="080A0003">
      <w:start w:val="1"/>
      <w:numFmt w:val="bullet"/>
      <w:lvlText w:val="o"/>
      <w:lvlJc w:val="left"/>
      <w:pPr>
        <w:ind w:left="2148" w:hanging="360"/>
      </w:pPr>
      <w:rPr>
        <w:rFonts w:ascii="Courier New" w:hAnsi="Courier New"/>
      </w:rPr>
    </w:lvl>
    <w:lvl w:ilvl="2" w:tplc="080A0005">
      <w:start w:val="1"/>
      <w:numFmt w:val="bullet"/>
      <w:lvlText w:val=""/>
      <w:lvlJc w:val="left"/>
      <w:pPr>
        <w:ind w:left="2868" w:hanging="360"/>
      </w:pPr>
      <w:rPr>
        <w:rFonts w:ascii="Wingdings" w:hAnsi="Wingdings"/>
      </w:rPr>
    </w:lvl>
    <w:lvl w:ilvl="3" w:tplc="080A0001">
      <w:start w:val="1"/>
      <w:numFmt w:val="bullet"/>
      <w:lvlText w:val=""/>
      <w:lvlJc w:val="left"/>
      <w:pPr>
        <w:ind w:left="3588" w:hanging="360"/>
      </w:pPr>
      <w:rPr>
        <w:rFonts w:ascii="Symbol" w:hAnsi="Symbol"/>
      </w:rPr>
    </w:lvl>
    <w:lvl w:ilvl="4" w:tplc="080A0003">
      <w:start w:val="1"/>
      <w:numFmt w:val="bullet"/>
      <w:lvlText w:val="o"/>
      <w:lvlJc w:val="left"/>
      <w:pPr>
        <w:ind w:left="4308" w:hanging="360"/>
      </w:pPr>
      <w:rPr>
        <w:rFonts w:ascii="Courier New" w:hAnsi="Courier New"/>
      </w:rPr>
    </w:lvl>
    <w:lvl w:ilvl="5" w:tplc="080A0005">
      <w:start w:val="1"/>
      <w:numFmt w:val="bullet"/>
      <w:lvlText w:val=""/>
      <w:lvlJc w:val="left"/>
      <w:pPr>
        <w:ind w:left="5028" w:hanging="360"/>
      </w:pPr>
      <w:rPr>
        <w:rFonts w:ascii="Wingdings" w:hAnsi="Wingdings"/>
      </w:rPr>
    </w:lvl>
    <w:lvl w:ilvl="6" w:tplc="080A0001">
      <w:start w:val="1"/>
      <w:numFmt w:val="bullet"/>
      <w:lvlText w:val=""/>
      <w:lvlJc w:val="left"/>
      <w:pPr>
        <w:ind w:left="5748" w:hanging="360"/>
      </w:pPr>
      <w:rPr>
        <w:rFonts w:ascii="Symbol" w:hAnsi="Symbol"/>
      </w:rPr>
    </w:lvl>
    <w:lvl w:ilvl="7" w:tplc="080A0003">
      <w:start w:val="1"/>
      <w:numFmt w:val="bullet"/>
      <w:lvlText w:val="o"/>
      <w:lvlJc w:val="left"/>
      <w:pPr>
        <w:ind w:left="6468" w:hanging="360"/>
      </w:pPr>
      <w:rPr>
        <w:rFonts w:ascii="Courier New" w:hAnsi="Courier New"/>
      </w:rPr>
    </w:lvl>
    <w:lvl w:ilvl="8" w:tplc="080A0005">
      <w:start w:val="1"/>
      <w:numFmt w:val="bullet"/>
      <w:lvlText w:val=""/>
      <w:lvlJc w:val="left"/>
      <w:pPr>
        <w:ind w:left="7188" w:hanging="360"/>
      </w:pPr>
      <w:rPr>
        <w:rFonts w:ascii="Wingdings" w:hAnsi="Wingdings"/>
      </w:rPr>
    </w:lvl>
  </w:abstractNum>
  <w:abstractNum w:abstractNumId="1">
    <w:nsid w:val="11A2347E"/>
    <w:multiLevelType w:val="hybridMultilevel"/>
    <w:tmpl w:val="8F82EF7C"/>
    <w:lvl w:ilvl="0" w:tplc="ED2C3672">
      <w:start w:val="1"/>
      <w:numFmt w:val="bullet"/>
      <w:lvlText w:val=""/>
      <w:lvlJc w:val="left"/>
      <w:pPr>
        <w:ind w:left="1068" w:hanging="360"/>
      </w:pPr>
      <w:rPr>
        <w:rFonts w:ascii="Symbol" w:hAnsi="Symbol"/>
      </w:rPr>
    </w:lvl>
    <w:lvl w:ilvl="1" w:tplc="080A0003">
      <w:start w:val="1"/>
      <w:numFmt w:val="bullet"/>
      <w:lvlText w:val="o"/>
      <w:lvlJc w:val="left"/>
      <w:pPr>
        <w:ind w:left="1788" w:hanging="360"/>
      </w:pPr>
      <w:rPr>
        <w:rFonts w:ascii="Courier New" w:hAnsi="Courier New"/>
      </w:rPr>
    </w:lvl>
    <w:lvl w:ilvl="2" w:tplc="080A0005">
      <w:start w:val="1"/>
      <w:numFmt w:val="bullet"/>
      <w:lvlText w:val=""/>
      <w:lvlJc w:val="left"/>
      <w:pPr>
        <w:ind w:left="2508" w:hanging="360"/>
      </w:pPr>
      <w:rPr>
        <w:rFonts w:ascii="Wingdings" w:hAnsi="Wingdings"/>
      </w:rPr>
    </w:lvl>
    <w:lvl w:ilvl="3" w:tplc="080A0001">
      <w:start w:val="1"/>
      <w:numFmt w:val="bullet"/>
      <w:lvlText w:val=""/>
      <w:lvlJc w:val="left"/>
      <w:pPr>
        <w:ind w:left="3228" w:hanging="360"/>
      </w:pPr>
      <w:rPr>
        <w:rFonts w:ascii="Symbol" w:hAnsi="Symbol"/>
      </w:rPr>
    </w:lvl>
    <w:lvl w:ilvl="4" w:tplc="080A0003">
      <w:start w:val="1"/>
      <w:numFmt w:val="bullet"/>
      <w:lvlText w:val="o"/>
      <w:lvlJc w:val="left"/>
      <w:pPr>
        <w:ind w:left="3948" w:hanging="360"/>
      </w:pPr>
      <w:rPr>
        <w:rFonts w:ascii="Courier New" w:hAnsi="Courier New"/>
      </w:rPr>
    </w:lvl>
    <w:lvl w:ilvl="5" w:tplc="080A0005">
      <w:start w:val="1"/>
      <w:numFmt w:val="bullet"/>
      <w:lvlText w:val=""/>
      <w:lvlJc w:val="left"/>
      <w:pPr>
        <w:ind w:left="4668" w:hanging="360"/>
      </w:pPr>
      <w:rPr>
        <w:rFonts w:ascii="Wingdings" w:hAnsi="Wingdings"/>
      </w:rPr>
    </w:lvl>
    <w:lvl w:ilvl="6" w:tplc="080A0001">
      <w:start w:val="1"/>
      <w:numFmt w:val="bullet"/>
      <w:lvlText w:val=""/>
      <w:lvlJc w:val="left"/>
      <w:pPr>
        <w:ind w:left="5388" w:hanging="360"/>
      </w:pPr>
      <w:rPr>
        <w:rFonts w:ascii="Symbol" w:hAnsi="Symbol"/>
      </w:rPr>
    </w:lvl>
    <w:lvl w:ilvl="7" w:tplc="080A0003">
      <w:start w:val="1"/>
      <w:numFmt w:val="bullet"/>
      <w:lvlText w:val="o"/>
      <w:lvlJc w:val="left"/>
      <w:pPr>
        <w:ind w:left="6108" w:hanging="360"/>
      </w:pPr>
      <w:rPr>
        <w:rFonts w:ascii="Courier New" w:hAnsi="Courier New"/>
      </w:rPr>
    </w:lvl>
    <w:lvl w:ilvl="8" w:tplc="080A0005">
      <w:start w:val="1"/>
      <w:numFmt w:val="bullet"/>
      <w:lvlText w:val=""/>
      <w:lvlJc w:val="left"/>
      <w:pPr>
        <w:ind w:left="6828" w:hanging="360"/>
      </w:pPr>
      <w:rPr>
        <w:rFonts w:ascii="Wingdings" w:hAnsi="Wingdings"/>
      </w:rPr>
    </w:lvl>
  </w:abstractNum>
  <w:abstractNum w:abstractNumId="2">
    <w:nsid w:val="15661A65"/>
    <w:multiLevelType w:val="hybridMultilevel"/>
    <w:tmpl w:val="14C074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2DFF4D5C"/>
    <w:multiLevelType w:val="hybridMultilevel"/>
    <w:tmpl w:val="DAD23D52"/>
    <w:lvl w:ilvl="0" w:tplc="9EDCDD74">
      <w:start w:val="1"/>
      <w:numFmt w:val="upperRoman"/>
      <w:lvlText w:val="%1."/>
      <w:lvlJc w:val="left"/>
      <w:pPr>
        <w:ind w:left="1080" w:hanging="720"/>
      </w:pPr>
      <w:rPr>
        <w:i w:val="0"/>
        <w:color w:val="00000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31A830DA"/>
    <w:multiLevelType w:val="hybridMultilevel"/>
    <w:tmpl w:val="98AEBA34"/>
    <w:lvl w:ilvl="0" w:tplc="A4946D56">
      <w:start w:val="1"/>
      <w:numFmt w:val="bullet"/>
      <w:lvlText w:val="-"/>
      <w:lvlJc w:val="left"/>
      <w:pPr>
        <w:ind w:left="720" w:hanging="360"/>
      </w:pPr>
      <w:rPr>
        <w:rFonts w:ascii="Arial" w:hAnsi="Arial"/>
      </w:rPr>
    </w:lvl>
    <w:lvl w:ilvl="1" w:tplc="0C0A0003">
      <w:start w:val="1"/>
      <w:numFmt w:val="bullet"/>
      <w:lvlText w:val="o"/>
      <w:lvlJc w:val="left"/>
      <w:pPr>
        <w:ind w:left="1440" w:hanging="360"/>
      </w:pPr>
      <w:rPr>
        <w:rFonts w:ascii="Courier New" w:hAnsi="Courier New"/>
      </w:rPr>
    </w:lvl>
    <w:lvl w:ilvl="2" w:tplc="0C0A0005">
      <w:start w:val="1"/>
      <w:numFmt w:val="bullet"/>
      <w:lvlText w:val=""/>
      <w:lvlJc w:val="left"/>
      <w:pPr>
        <w:ind w:left="2160" w:hanging="360"/>
      </w:pPr>
      <w:rPr>
        <w:rFonts w:ascii="Wingdings" w:hAnsi="Wingdings"/>
      </w:rPr>
    </w:lvl>
    <w:lvl w:ilvl="3" w:tplc="0C0A0001">
      <w:start w:val="1"/>
      <w:numFmt w:val="bullet"/>
      <w:lvlText w:val=""/>
      <w:lvlJc w:val="left"/>
      <w:pPr>
        <w:ind w:left="2880" w:hanging="360"/>
      </w:pPr>
      <w:rPr>
        <w:rFonts w:ascii="Symbol" w:hAnsi="Symbol"/>
      </w:rPr>
    </w:lvl>
    <w:lvl w:ilvl="4" w:tplc="0C0A0003">
      <w:start w:val="1"/>
      <w:numFmt w:val="bullet"/>
      <w:lvlText w:val="o"/>
      <w:lvlJc w:val="left"/>
      <w:pPr>
        <w:ind w:left="3600" w:hanging="360"/>
      </w:pPr>
      <w:rPr>
        <w:rFonts w:ascii="Courier New" w:hAnsi="Courier New"/>
      </w:rPr>
    </w:lvl>
    <w:lvl w:ilvl="5" w:tplc="0C0A0005">
      <w:start w:val="1"/>
      <w:numFmt w:val="bullet"/>
      <w:lvlText w:val=""/>
      <w:lvlJc w:val="left"/>
      <w:pPr>
        <w:ind w:left="4320" w:hanging="360"/>
      </w:pPr>
      <w:rPr>
        <w:rFonts w:ascii="Wingdings" w:hAnsi="Wingdings"/>
      </w:rPr>
    </w:lvl>
    <w:lvl w:ilvl="6" w:tplc="0C0A0001">
      <w:start w:val="1"/>
      <w:numFmt w:val="bullet"/>
      <w:lvlText w:val=""/>
      <w:lvlJc w:val="left"/>
      <w:pPr>
        <w:ind w:left="5040" w:hanging="360"/>
      </w:pPr>
      <w:rPr>
        <w:rFonts w:ascii="Symbol" w:hAnsi="Symbol"/>
      </w:rPr>
    </w:lvl>
    <w:lvl w:ilvl="7" w:tplc="0C0A0003">
      <w:start w:val="1"/>
      <w:numFmt w:val="bullet"/>
      <w:lvlText w:val="o"/>
      <w:lvlJc w:val="left"/>
      <w:pPr>
        <w:ind w:left="5760" w:hanging="360"/>
      </w:pPr>
      <w:rPr>
        <w:rFonts w:ascii="Courier New" w:hAnsi="Courier New"/>
      </w:rPr>
    </w:lvl>
    <w:lvl w:ilvl="8" w:tplc="0C0A0005">
      <w:start w:val="1"/>
      <w:numFmt w:val="bullet"/>
      <w:lvlText w:val=""/>
      <w:lvlJc w:val="left"/>
      <w:pPr>
        <w:ind w:left="6480" w:hanging="360"/>
      </w:pPr>
      <w:rPr>
        <w:rFonts w:ascii="Wingdings" w:hAnsi="Wingdings"/>
      </w:rPr>
    </w:lvl>
  </w:abstractNum>
  <w:abstractNum w:abstractNumId="5">
    <w:nsid w:val="33DF42AA"/>
    <w:multiLevelType w:val="hybridMultilevel"/>
    <w:tmpl w:val="085067D0"/>
    <w:lvl w:ilvl="0" w:tplc="1E38CBDE">
      <w:start w:val="1"/>
      <w:numFmt w:val="lowerLetter"/>
      <w:lvlText w:val="%1)"/>
      <w:lvlJc w:val="left"/>
      <w:pPr>
        <w:ind w:left="1451" w:hanging="360"/>
      </w:pPr>
    </w:lvl>
    <w:lvl w:ilvl="1" w:tplc="080A0019">
      <w:start w:val="1"/>
      <w:numFmt w:val="lowerLetter"/>
      <w:lvlText w:val="%2."/>
      <w:lvlJc w:val="left"/>
      <w:pPr>
        <w:ind w:left="2171" w:hanging="360"/>
      </w:pPr>
    </w:lvl>
    <w:lvl w:ilvl="2" w:tplc="080A001B">
      <w:start w:val="1"/>
      <w:numFmt w:val="lowerRoman"/>
      <w:lvlText w:val="%3."/>
      <w:lvlJc w:val="right"/>
      <w:pPr>
        <w:ind w:left="2891" w:hanging="180"/>
      </w:pPr>
    </w:lvl>
    <w:lvl w:ilvl="3" w:tplc="080A000F">
      <w:start w:val="1"/>
      <w:numFmt w:val="decimal"/>
      <w:lvlText w:val="%4."/>
      <w:lvlJc w:val="left"/>
      <w:pPr>
        <w:ind w:left="3611" w:hanging="360"/>
      </w:pPr>
    </w:lvl>
    <w:lvl w:ilvl="4" w:tplc="080A0019">
      <w:start w:val="1"/>
      <w:numFmt w:val="lowerLetter"/>
      <w:lvlText w:val="%5."/>
      <w:lvlJc w:val="left"/>
      <w:pPr>
        <w:ind w:left="4331" w:hanging="360"/>
      </w:pPr>
    </w:lvl>
    <w:lvl w:ilvl="5" w:tplc="080A001B">
      <w:start w:val="1"/>
      <w:numFmt w:val="lowerRoman"/>
      <w:lvlText w:val="%6."/>
      <w:lvlJc w:val="right"/>
      <w:pPr>
        <w:ind w:left="5051" w:hanging="180"/>
      </w:pPr>
    </w:lvl>
    <w:lvl w:ilvl="6" w:tplc="080A000F">
      <w:start w:val="1"/>
      <w:numFmt w:val="decimal"/>
      <w:lvlText w:val="%7."/>
      <w:lvlJc w:val="left"/>
      <w:pPr>
        <w:ind w:left="5771" w:hanging="360"/>
      </w:pPr>
    </w:lvl>
    <w:lvl w:ilvl="7" w:tplc="080A0019">
      <w:start w:val="1"/>
      <w:numFmt w:val="lowerLetter"/>
      <w:lvlText w:val="%8."/>
      <w:lvlJc w:val="left"/>
      <w:pPr>
        <w:ind w:left="6491" w:hanging="360"/>
      </w:pPr>
    </w:lvl>
    <w:lvl w:ilvl="8" w:tplc="080A001B">
      <w:start w:val="1"/>
      <w:numFmt w:val="lowerRoman"/>
      <w:lvlText w:val="%9."/>
      <w:lvlJc w:val="right"/>
      <w:pPr>
        <w:ind w:left="7211" w:hanging="180"/>
      </w:pPr>
    </w:lvl>
  </w:abstractNum>
  <w:abstractNum w:abstractNumId="6">
    <w:nsid w:val="34A37E9E"/>
    <w:multiLevelType w:val="hybridMultilevel"/>
    <w:tmpl w:val="EEBA0066"/>
    <w:lvl w:ilvl="0" w:tplc="F73E9600">
      <w:start w:val="1"/>
      <w:numFmt w:val="bullet"/>
      <w:lvlText w:val="-"/>
      <w:lvlJc w:val="left"/>
      <w:pPr>
        <w:ind w:left="720" w:hanging="360"/>
      </w:pPr>
      <w:rPr>
        <w:rFonts w:ascii="Arial" w:hAnsi="Arial"/>
      </w:rPr>
    </w:lvl>
    <w:lvl w:ilvl="1" w:tplc="0C0A0003">
      <w:start w:val="1"/>
      <w:numFmt w:val="bullet"/>
      <w:lvlText w:val="o"/>
      <w:lvlJc w:val="left"/>
      <w:pPr>
        <w:ind w:left="1440" w:hanging="360"/>
      </w:pPr>
      <w:rPr>
        <w:rFonts w:ascii="Courier New" w:hAnsi="Courier New"/>
      </w:rPr>
    </w:lvl>
    <w:lvl w:ilvl="2" w:tplc="0C0A0005">
      <w:start w:val="1"/>
      <w:numFmt w:val="bullet"/>
      <w:lvlText w:val=""/>
      <w:lvlJc w:val="left"/>
      <w:pPr>
        <w:ind w:left="2160" w:hanging="360"/>
      </w:pPr>
      <w:rPr>
        <w:rFonts w:ascii="Wingdings" w:hAnsi="Wingdings"/>
      </w:rPr>
    </w:lvl>
    <w:lvl w:ilvl="3" w:tplc="0C0A0001">
      <w:start w:val="1"/>
      <w:numFmt w:val="bullet"/>
      <w:lvlText w:val=""/>
      <w:lvlJc w:val="left"/>
      <w:pPr>
        <w:ind w:left="2880" w:hanging="360"/>
      </w:pPr>
      <w:rPr>
        <w:rFonts w:ascii="Symbol" w:hAnsi="Symbol"/>
      </w:rPr>
    </w:lvl>
    <w:lvl w:ilvl="4" w:tplc="0C0A0003">
      <w:start w:val="1"/>
      <w:numFmt w:val="bullet"/>
      <w:lvlText w:val="o"/>
      <w:lvlJc w:val="left"/>
      <w:pPr>
        <w:ind w:left="3600" w:hanging="360"/>
      </w:pPr>
      <w:rPr>
        <w:rFonts w:ascii="Courier New" w:hAnsi="Courier New"/>
      </w:rPr>
    </w:lvl>
    <w:lvl w:ilvl="5" w:tplc="0C0A0005">
      <w:start w:val="1"/>
      <w:numFmt w:val="bullet"/>
      <w:lvlText w:val=""/>
      <w:lvlJc w:val="left"/>
      <w:pPr>
        <w:ind w:left="4320" w:hanging="360"/>
      </w:pPr>
      <w:rPr>
        <w:rFonts w:ascii="Wingdings" w:hAnsi="Wingdings"/>
      </w:rPr>
    </w:lvl>
    <w:lvl w:ilvl="6" w:tplc="0C0A0001">
      <w:start w:val="1"/>
      <w:numFmt w:val="bullet"/>
      <w:lvlText w:val=""/>
      <w:lvlJc w:val="left"/>
      <w:pPr>
        <w:ind w:left="5040" w:hanging="360"/>
      </w:pPr>
      <w:rPr>
        <w:rFonts w:ascii="Symbol" w:hAnsi="Symbol"/>
      </w:rPr>
    </w:lvl>
    <w:lvl w:ilvl="7" w:tplc="0C0A0003">
      <w:start w:val="1"/>
      <w:numFmt w:val="bullet"/>
      <w:lvlText w:val="o"/>
      <w:lvlJc w:val="left"/>
      <w:pPr>
        <w:ind w:left="5760" w:hanging="360"/>
      </w:pPr>
      <w:rPr>
        <w:rFonts w:ascii="Courier New" w:hAnsi="Courier New"/>
      </w:rPr>
    </w:lvl>
    <w:lvl w:ilvl="8" w:tplc="0C0A0005">
      <w:start w:val="1"/>
      <w:numFmt w:val="bullet"/>
      <w:lvlText w:val=""/>
      <w:lvlJc w:val="left"/>
      <w:pPr>
        <w:ind w:left="6480" w:hanging="360"/>
      </w:pPr>
      <w:rPr>
        <w:rFonts w:ascii="Wingdings" w:hAnsi="Wingdings"/>
      </w:rPr>
    </w:lvl>
  </w:abstractNum>
  <w:abstractNum w:abstractNumId="7">
    <w:nsid w:val="4BB7739F"/>
    <w:multiLevelType w:val="hybridMultilevel"/>
    <w:tmpl w:val="721AC7E8"/>
    <w:lvl w:ilvl="0" w:tplc="9FFAEB7A">
      <w:start w:val="1"/>
      <w:numFmt w:val="bullet"/>
      <w:lvlText w:val="-"/>
      <w:lvlJc w:val="left"/>
      <w:pPr>
        <w:ind w:left="720" w:hanging="360"/>
      </w:pPr>
      <w:rPr>
        <w:rFonts w:ascii="Arial" w:hAnsi="Arial"/>
      </w:rPr>
    </w:lvl>
    <w:lvl w:ilvl="1" w:tplc="0C0A0003">
      <w:start w:val="1"/>
      <w:numFmt w:val="bullet"/>
      <w:lvlText w:val="o"/>
      <w:lvlJc w:val="left"/>
      <w:pPr>
        <w:ind w:left="1440" w:hanging="360"/>
      </w:pPr>
      <w:rPr>
        <w:rFonts w:ascii="Courier New" w:hAnsi="Courier New"/>
      </w:rPr>
    </w:lvl>
    <w:lvl w:ilvl="2" w:tplc="0C0A0005">
      <w:start w:val="1"/>
      <w:numFmt w:val="bullet"/>
      <w:lvlText w:val=""/>
      <w:lvlJc w:val="left"/>
      <w:pPr>
        <w:ind w:left="2160" w:hanging="360"/>
      </w:pPr>
      <w:rPr>
        <w:rFonts w:ascii="Wingdings" w:hAnsi="Wingdings"/>
      </w:rPr>
    </w:lvl>
    <w:lvl w:ilvl="3" w:tplc="0C0A0001">
      <w:start w:val="1"/>
      <w:numFmt w:val="bullet"/>
      <w:lvlText w:val=""/>
      <w:lvlJc w:val="left"/>
      <w:pPr>
        <w:ind w:left="2880" w:hanging="360"/>
      </w:pPr>
      <w:rPr>
        <w:rFonts w:ascii="Symbol" w:hAnsi="Symbol"/>
      </w:rPr>
    </w:lvl>
    <w:lvl w:ilvl="4" w:tplc="0C0A0003">
      <w:start w:val="1"/>
      <w:numFmt w:val="bullet"/>
      <w:lvlText w:val="o"/>
      <w:lvlJc w:val="left"/>
      <w:pPr>
        <w:ind w:left="3600" w:hanging="360"/>
      </w:pPr>
      <w:rPr>
        <w:rFonts w:ascii="Courier New" w:hAnsi="Courier New"/>
      </w:rPr>
    </w:lvl>
    <w:lvl w:ilvl="5" w:tplc="0C0A0005">
      <w:start w:val="1"/>
      <w:numFmt w:val="bullet"/>
      <w:lvlText w:val=""/>
      <w:lvlJc w:val="left"/>
      <w:pPr>
        <w:ind w:left="4320" w:hanging="360"/>
      </w:pPr>
      <w:rPr>
        <w:rFonts w:ascii="Wingdings" w:hAnsi="Wingdings"/>
      </w:rPr>
    </w:lvl>
    <w:lvl w:ilvl="6" w:tplc="0C0A0001">
      <w:start w:val="1"/>
      <w:numFmt w:val="bullet"/>
      <w:lvlText w:val=""/>
      <w:lvlJc w:val="left"/>
      <w:pPr>
        <w:ind w:left="5040" w:hanging="360"/>
      </w:pPr>
      <w:rPr>
        <w:rFonts w:ascii="Symbol" w:hAnsi="Symbol"/>
      </w:rPr>
    </w:lvl>
    <w:lvl w:ilvl="7" w:tplc="0C0A0003">
      <w:start w:val="1"/>
      <w:numFmt w:val="bullet"/>
      <w:lvlText w:val="o"/>
      <w:lvlJc w:val="left"/>
      <w:pPr>
        <w:ind w:left="5760" w:hanging="360"/>
      </w:pPr>
      <w:rPr>
        <w:rFonts w:ascii="Courier New" w:hAnsi="Courier New"/>
      </w:rPr>
    </w:lvl>
    <w:lvl w:ilvl="8" w:tplc="0C0A0005">
      <w:start w:val="1"/>
      <w:numFmt w:val="bullet"/>
      <w:lvlText w:val=""/>
      <w:lvlJc w:val="left"/>
      <w:pPr>
        <w:ind w:left="6480" w:hanging="360"/>
      </w:pPr>
      <w:rPr>
        <w:rFonts w:ascii="Wingdings" w:hAnsi="Wingdings"/>
      </w:rPr>
    </w:lvl>
  </w:abstractNum>
  <w:abstractNum w:abstractNumId="8">
    <w:nsid w:val="657C0F3C"/>
    <w:multiLevelType w:val="hybridMultilevel"/>
    <w:tmpl w:val="9ADEC680"/>
    <w:lvl w:ilvl="0" w:tplc="2A2405E8">
      <w:start w:val="1"/>
      <w:numFmt w:val="upperRoman"/>
      <w:lvlText w:val="%1."/>
      <w:lvlJc w:val="left"/>
      <w:pPr>
        <w:ind w:left="1854" w:hanging="720"/>
      </w:pPr>
    </w:lvl>
    <w:lvl w:ilvl="1" w:tplc="080A0019">
      <w:start w:val="1"/>
      <w:numFmt w:val="decimal"/>
      <w:lvlText w:val="%2."/>
      <w:lvlJc w:val="left"/>
      <w:pPr>
        <w:tabs>
          <w:tab w:val="left" w:pos="1440"/>
        </w:tabs>
        <w:ind w:left="1440" w:hanging="360"/>
      </w:pPr>
    </w:lvl>
    <w:lvl w:ilvl="2" w:tplc="080A001B">
      <w:start w:val="1"/>
      <w:numFmt w:val="decimal"/>
      <w:lvlText w:val="%3."/>
      <w:lvlJc w:val="left"/>
      <w:pPr>
        <w:tabs>
          <w:tab w:val="left" w:pos="2160"/>
        </w:tabs>
        <w:ind w:left="2160" w:hanging="360"/>
      </w:pPr>
    </w:lvl>
    <w:lvl w:ilvl="3" w:tplc="080A000F">
      <w:start w:val="1"/>
      <w:numFmt w:val="decimal"/>
      <w:lvlText w:val="%4."/>
      <w:lvlJc w:val="left"/>
      <w:pPr>
        <w:tabs>
          <w:tab w:val="left" w:pos="2880"/>
        </w:tabs>
        <w:ind w:left="2880" w:hanging="360"/>
      </w:pPr>
    </w:lvl>
    <w:lvl w:ilvl="4" w:tplc="080A0019">
      <w:start w:val="1"/>
      <w:numFmt w:val="decimal"/>
      <w:lvlText w:val="%5."/>
      <w:lvlJc w:val="left"/>
      <w:pPr>
        <w:tabs>
          <w:tab w:val="left" w:pos="3600"/>
        </w:tabs>
        <w:ind w:left="3600" w:hanging="360"/>
      </w:pPr>
    </w:lvl>
    <w:lvl w:ilvl="5" w:tplc="080A001B">
      <w:start w:val="1"/>
      <w:numFmt w:val="decimal"/>
      <w:lvlText w:val="%6."/>
      <w:lvlJc w:val="left"/>
      <w:pPr>
        <w:tabs>
          <w:tab w:val="left" w:pos="4320"/>
        </w:tabs>
        <w:ind w:left="4320" w:hanging="360"/>
      </w:pPr>
    </w:lvl>
    <w:lvl w:ilvl="6" w:tplc="080A000F">
      <w:start w:val="1"/>
      <w:numFmt w:val="decimal"/>
      <w:lvlText w:val="%7."/>
      <w:lvlJc w:val="left"/>
      <w:pPr>
        <w:tabs>
          <w:tab w:val="left" w:pos="5040"/>
        </w:tabs>
        <w:ind w:left="5040" w:hanging="360"/>
      </w:pPr>
    </w:lvl>
    <w:lvl w:ilvl="7" w:tplc="080A0019">
      <w:start w:val="1"/>
      <w:numFmt w:val="decimal"/>
      <w:lvlText w:val="%8."/>
      <w:lvlJc w:val="left"/>
      <w:pPr>
        <w:tabs>
          <w:tab w:val="left" w:pos="5760"/>
        </w:tabs>
        <w:ind w:left="5760" w:hanging="360"/>
      </w:pPr>
    </w:lvl>
    <w:lvl w:ilvl="8" w:tplc="080A001B">
      <w:start w:val="1"/>
      <w:numFmt w:val="decimal"/>
      <w:lvlText w:val="%9."/>
      <w:lvlJc w:val="left"/>
      <w:pPr>
        <w:tabs>
          <w:tab w:val="left" w:pos="6480"/>
        </w:tabs>
        <w:ind w:left="6480" w:hanging="360"/>
      </w:pPr>
    </w:lvl>
  </w:abstractNum>
  <w:abstractNum w:abstractNumId="9">
    <w:nsid w:val="718A0484"/>
    <w:multiLevelType w:val="hybridMultilevel"/>
    <w:tmpl w:val="04C67364"/>
    <w:lvl w:ilvl="0" w:tplc="FCD86F9C">
      <w:start w:val="1"/>
      <w:numFmt w:val="bullet"/>
      <w:lvlText w:val="-"/>
      <w:lvlJc w:val="left"/>
      <w:pPr>
        <w:ind w:left="720" w:hanging="360"/>
      </w:pPr>
      <w:rPr>
        <w:rFonts w:ascii="Arial" w:hAnsi="Arial"/>
        <w:b w:val="0"/>
      </w:rPr>
    </w:lvl>
    <w:lvl w:ilvl="1" w:tplc="080A0003">
      <w:start w:val="1"/>
      <w:numFmt w:val="bullet"/>
      <w:lvlText w:val="o"/>
      <w:lvlJc w:val="left"/>
      <w:pPr>
        <w:ind w:left="1440" w:hanging="360"/>
      </w:pPr>
      <w:rPr>
        <w:rFonts w:ascii="Courier New" w:hAnsi="Courier New"/>
      </w:rPr>
    </w:lvl>
    <w:lvl w:ilvl="2" w:tplc="080A0005">
      <w:start w:val="1"/>
      <w:numFmt w:val="bullet"/>
      <w:lvlText w:val=""/>
      <w:lvlJc w:val="left"/>
      <w:pPr>
        <w:ind w:left="2160" w:hanging="360"/>
      </w:pPr>
      <w:rPr>
        <w:rFonts w:ascii="Wingdings" w:hAnsi="Wingdings"/>
      </w:rPr>
    </w:lvl>
    <w:lvl w:ilvl="3" w:tplc="080A0001">
      <w:start w:val="1"/>
      <w:numFmt w:val="bullet"/>
      <w:lvlText w:val=""/>
      <w:lvlJc w:val="left"/>
      <w:pPr>
        <w:ind w:left="2880" w:hanging="360"/>
      </w:pPr>
      <w:rPr>
        <w:rFonts w:ascii="Symbol" w:hAnsi="Symbol"/>
      </w:rPr>
    </w:lvl>
    <w:lvl w:ilvl="4" w:tplc="080A0003">
      <w:start w:val="1"/>
      <w:numFmt w:val="bullet"/>
      <w:lvlText w:val="o"/>
      <w:lvlJc w:val="left"/>
      <w:pPr>
        <w:ind w:left="3600" w:hanging="360"/>
      </w:pPr>
      <w:rPr>
        <w:rFonts w:ascii="Courier New" w:hAnsi="Courier New"/>
      </w:rPr>
    </w:lvl>
    <w:lvl w:ilvl="5" w:tplc="080A0005">
      <w:start w:val="1"/>
      <w:numFmt w:val="bullet"/>
      <w:lvlText w:val=""/>
      <w:lvlJc w:val="left"/>
      <w:pPr>
        <w:ind w:left="4320" w:hanging="360"/>
      </w:pPr>
      <w:rPr>
        <w:rFonts w:ascii="Wingdings" w:hAnsi="Wingdings"/>
      </w:rPr>
    </w:lvl>
    <w:lvl w:ilvl="6" w:tplc="080A0001">
      <w:start w:val="1"/>
      <w:numFmt w:val="bullet"/>
      <w:lvlText w:val=""/>
      <w:lvlJc w:val="left"/>
      <w:pPr>
        <w:ind w:left="5040" w:hanging="360"/>
      </w:pPr>
      <w:rPr>
        <w:rFonts w:ascii="Symbol" w:hAnsi="Symbol"/>
      </w:rPr>
    </w:lvl>
    <w:lvl w:ilvl="7" w:tplc="080A0003">
      <w:start w:val="1"/>
      <w:numFmt w:val="bullet"/>
      <w:lvlText w:val="o"/>
      <w:lvlJc w:val="left"/>
      <w:pPr>
        <w:ind w:left="5760" w:hanging="360"/>
      </w:pPr>
      <w:rPr>
        <w:rFonts w:ascii="Courier New" w:hAnsi="Courier New"/>
      </w:rPr>
    </w:lvl>
    <w:lvl w:ilvl="8" w:tplc="080A0005">
      <w:start w:val="1"/>
      <w:numFmt w:val="bullet"/>
      <w:lvlText w:val=""/>
      <w:lvlJc w:val="left"/>
      <w:pPr>
        <w:ind w:left="6480" w:hanging="360"/>
      </w:pPr>
      <w:rPr>
        <w:rFonts w:ascii="Wingdings" w:hAnsi="Wingdings"/>
      </w:rPr>
    </w:lvl>
  </w:abstractNum>
  <w:abstractNum w:abstractNumId="10">
    <w:nsid w:val="71AE7394"/>
    <w:multiLevelType w:val="hybridMultilevel"/>
    <w:tmpl w:val="A8E0349C"/>
    <w:lvl w:ilvl="0" w:tplc="78609784">
      <w:start w:val="1"/>
      <w:numFmt w:val="lowerLetter"/>
      <w:lvlText w:val="%1)"/>
      <w:lvlJc w:val="left"/>
      <w:pPr>
        <w:ind w:left="1758" w:hanging="1050"/>
      </w:pPr>
      <w:rPr>
        <w:b/>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num w:numId="1">
    <w:abstractNumId w:val="10"/>
  </w:num>
  <w:num w:numId="2">
    <w:abstractNumId w:val="2"/>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3"/>
  </w:num>
  <w:num w:numId="8">
    <w:abstractNumId w:val="7"/>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3F"/>
    <w:rsid w:val="005D153F"/>
    <w:rsid w:val="006D6983"/>
    <w:rsid w:val="00955F65"/>
    <w:rsid w:val="00AF3CD7"/>
    <w:rsid w:val="00DF57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D3FB729-CE5D-4A9B-A1A2-9AAA04F1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1">
    <w:name w:val="heading 1"/>
    <w:basedOn w:val="Normal"/>
    <w:next w:val="Normal"/>
    <w:link w:val="Ttulo1Car"/>
    <w:qFormat/>
    <w:pPr>
      <w:keepNext/>
      <w:keepLines/>
      <w:spacing w:before="480" w:after="0"/>
      <w:outlineLvl w:val="0"/>
    </w:pPr>
    <w:rPr>
      <w:b/>
      <w:color w:val="365F91" w:themeColor="accent1" w:themeShade="BF"/>
      <w:sz w:val="28"/>
    </w:rPr>
  </w:style>
  <w:style w:type="paragraph" w:styleId="Ttulo2">
    <w:name w:val="heading 2"/>
    <w:basedOn w:val="Normal"/>
    <w:next w:val="Normal"/>
    <w:link w:val="Ttulo2Car"/>
    <w:qFormat/>
    <w:pPr>
      <w:keepNext/>
      <w:keepLines/>
      <w:spacing w:before="200" w:after="0"/>
      <w:outlineLvl w:val="1"/>
    </w:pPr>
    <w:rPr>
      <w:b/>
      <w:color w:val="4F81BD" w:themeColor="accent1"/>
      <w:sz w:val="26"/>
    </w:rPr>
  </w:style>
  <w:style w:type="paragraph" w:styleId="Ttulo3">
    <w:name w:val="heading 3"/>
    <w:basedOn w:val="Normal"/>
    <w:next w:val="Normal"/>
    <w:link w:val="Ttulo3Car"/>
    <w:qFormat/>
    <w:pPr>
      <w:keepNext/>
      <w:keepLines/>
      <w:spacing w:before="200" w:after="0"/>
      <w:outlineLvl w:val="2"/>
    </w:pPr>
    <w:rPr>
      <w:b/>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widowControl w:val="0"/>
      <w:spacing w:after="0" w:line="480" w:lineRule="auto"/>
      <w:ind w:right="51" w:firstLine="1134"/>
      <w:jc w:val="both"/>
    </w:pPr>
    <w:rPr>
      <w:rFonts w:ascii="Courier" w:hAnsi="Courier"/>
      <w:sz w:val="24"/>
      <w:lang w:eastAsia="es-ES"/>
    </w:rPr>
  </w:style>
  <w:style w:type="paragraph" w:styleId="Encabezado">
    <w:name w:val="header"/>
    <w:basedOn w:val="Normal"/>
    <w:link w:val="EncabezadoCar"/>
    <w:pPr>
      <w:tabs>
        <w:tab w:val="center" w:pos="4252"/>
        <w:tab w:val="right" w:pos="8504"/>
      </w:tabs>
      <w:spacing w:after="0" w:line="240" w:lineRule="auto"/>
    </w:pPr>
    <w:rPr>
      <w:rFonts w:ascii="Times New Roman" w:hAnsi="Times New Roman"/>
      <w:sz w:val="24"/>
      <w:lang w:eastAsia="zh-TW"/>
    </w:rPr>
  </w:style>
  <w:style w:type="paragraph" w:styleId="Prrafodelista">
    <w:name w:val="List Paragraph"/>
    <w:basedOn w:val="Normal"/>
    <w:qFormat/>
    <w:pPr>
      <w:ind w:left="720"/>
      <w:contextualSpacing/>
    </w:pPr>
  </w:style>
  <w:style w:type="paragraph" w:styleId="Sinespaciado">
    <w:name w:val="No Spacing"/>
    <w:qFormat/>
    <w:pPr>
      <w:spacing w:after="0" w:line="240" w:lineRule="auto"/>
    </w:pPr>
    <w:rPr>
      <w:lang w:val="es-ES"/>
    </w:rPr>
  </w:style>
  <w:style w:type="paragraph" w:styleId="Textonotapie">
    <w:name w:val="footnote text"/>
    <w:basedOn w:val="Normal"/>
    <w:link w:val="TextonotapieCar"/>
    <w:pPr>
      <w:spacing w:after="0" w:line="240" w:lineRule="auto"/>
    </w:pPr>
    <w:rPr>
      <w:sz w:val="20"/>
    </w:rPr>
  </w:style>
  <w:style w:type="paragraph" w:styleId="Textodeglobo">
    <w:name w:val="Balloon Text"/>
    <w:basedOn w:val="Normal"/>
    <w:link w:val="TextodegloboCar"/>
    <w:semiHidden/>
    <w:pPr>
      <w:spacing w:after="0" w:line="240" w:lineRule="auto"/>
    </w:pPr>
    <w:rPr>
      <w:rFonts w:ascii="Tahoma" w:hAnsi="Tahoma"/>
      <w:sz w:val="16"/>
    </w:rPr>
  </w:style>
  <w:style w:type="paragraph" w:styleId="Piedepgina">
    <w:name w:val="footer"/>
    <w:basedOn w:val="Normal"/>
    <w:link w:val="PiedepginaCar"/>
    <w:pPr>
      <w:tabs>
        <w:tab w:val="center" w:pos="4419"/>
        <w:tab w:val="right" w:pos="8838"/>
      </w:tabs>
      <w:spacing w:after="0" w:line="240" w:lineRule="auto"/>
    </w:pPr>
  </w:style>
  <w:style w:type="paragraph" w:styleId="Textoindependiente2">
    <w:name w:val="Body Text 2"/>
    <w:basedOn w:val="Normal"/>
    <w:link w:val="Textoindependiente2Car"/>
    <w:pPr>
      <w:spacing w:after="120" w:line="480" w:lineRule="auto"/>
    </w:pPr>
  </w:style>
  <w:style w:type="paragraph" w:customStyle="1" w:styleId="texto">
    <w:name w:val="texto"/>
    <w:basedOn w:val="Normal"/>
    <w:pPr>
      <w:spacing w:before="100" w:beforeAutospacing="1" w:after="100" w:afterAutospacing="1" w:line="240" w:lineRule="auto"/>
    </w:pPr>
    <w:rPr>
      <w:rFonts w:ascii="Times New Roman" w:hAnsi="Times New Roman"/>
      <w:sz w:val="24"/>
      <w:lang w:val="es-MX" w:eastAsia="es-MX"/>
    </w:rPr>
  </w:style>
  <w:style w:type="paragraph" w:styleId="Textoindependiente">
    <w:name w:val="Body Text"/>
    <w:basedOn w:val="Normal"/>
    <w:link w:val="TextoindependienteCar"/>
    <w:pPr>
      <w:spacing w:after="120"/>
    </w:pPr>
  </w:style>
  <w:style w:type="paragraph" w:styleId="Textoindependienteprimerasangra">
    <w:name w:val="Body Text First Indent"/>
    <w:basedOn w:val="Textoindependiente"/>
    <w:link w:val="TextoindependienteprimerasangraCar"/>
    <w:pPr>
      <w:spacing w:after="200"/>
      <w:ind w:firstLine="360"/>
    </w:pPr>
  </w:style>
  <w:style w:type="paragraph" w:styleId="Sangradetextonormal">
    <w:name w:val="Body Text Indent"/>
    <w:basedOn w:val="Normal"/>
    <w:link w:val="SangradetextonormalCar"/>
    <w:semiHidden/>
    <w:pPr>
      <w:spacing w:after="120"/>
      <w:ind w:left="283"/>
    </w:pPr>
  </w:style>
  <w:style w:type="paragraph" w:styleId="Textoindependienteprimerasangra2">
    <w:name w:val="Body Text First Indent 2"/>
    <w:basedOn w:val="Sangradetextonormal"/>
    <w:link w:val="Textoindependienteprimerasangra2Car"/>
    <w:pPr>
      <w:spacing w:after="200"/>
      <w:ind w:left="360" w:firstLine="360"/>
    </w:pPr>
  </w:style>
  <w:style w:type="character" w:styleId="Nmerodelnea">
    <w:name w:val="line number"/>
    <w:basedOn w:val="Fuentedeprrafopredeter"/>
    <w:semiHidden/>
  </w:style>
  <w:style w:type="character" w:styleId="Hipervnculo">
    <w:name w:val="Hyperlink"/>
    <w:rPr>
      <w:color w:val="0000FF"/>
      <w:u w:val="single"/>
    </w:rPr>
  </w:style>
  <w:style w:type="character" w:customStyle="1" w:styleId="EncabezadoCar">
    <w:name w:val="Encabezado Car"/>
    <w:basedOn w:val="Fuentedeprrafopredeter"/>
    <w:link w:val="Encabezado"/>
    <w:rPr>
      <w:rFonts w:ascii="Times New Roman" w:hAnsi="Times New Roman"/>
      <w:sz w:val="24"/>
      <w:lang w:eastAsia="zh-TW"/>
    </w:rPr>
  </w:style>
  <w:style w:type="character" w:customStyle="1" w:styleId="TextonotapieCar">
    <w:name w:val="Texto nota pie Car"/>
    <w:basedOn w:val="Fuentedeprrafopredeter"/>
    <w:link w:val="Textonotapie"/>
    <w:rPr>
      <w:sz w:val="20"/>
    </w:rPr>
  </w:style>
  <w:style w:type="character" w:styleId="Refdenotaalpie">
    <w:name w:val="footnote reference"/>
    <w:basedOn w:val="Fuentedeprrafopredeter"/>
    <w:semiHidden/>
    <w:rPr>
      <w:vertAlign w:val="superscript"/>
    </w:rPr>
  </w:style>
  <w:style w:type="character" w:customStyle="1" w:styleId="TextodegloboCar">
    <w:name w:val="Texto de globo Car"/>
    <w:basedOn w:val="Fuentedeprrafopredeter"/>
    <w:link w:val="Textodeglobo"/>
    <w:semiHidden/>
    <w:rPr>
      <w:rFonts w:ascii="Tahoma" w:hAnsi="Tahoma"/>
      <w:sz w:val="16"/>
    </w:rPr>
  </w:style>
  <w:style w:type="character" w:customStyle="1" w:styleId="Ttulo1Car">
    <w:name w:val="Título 1 Car"/>
    <w:basedOn w:val="Fuentedeprrafopredeter"/>
    <w:link w:val="Ttulo1"/>
    <w:rPr>
      <w:b/>
      <w:color w:val="365F91" w:themeColor="accent1" w:themeShade="BF"/>
      <w:sz w:val="28"/>
    </w:rPr>
  </w:style>
  <w:style w:type="character" w:customStyle="1" w:styleId="PiedepginaCar">
    <w:name w:val="Pie de página Car"/>
    <w:basedOn w:val="Fuentedeprrafopredeter"/>
    <w:link w:val="Piedepgina"/>
  </w:style>
  <w:style w:type="character" w:customStyle="1" w:styleId="lbl-encabezado-negro">
    <w:name w:val="lbl-encabezado-negro"/>
  </w:style>
  <w:style w:type="character" w:customStyle="1" w:styleId="Textoindependiente2Car">
    <w:name w:val="Texto independiente 2 Car"/>
    <w:basedOn w:val="Fuentedeprrafopredeter"/>
    <w:link w:val="Textoindependiente2"/>
    <w:rPr>
      <w:rFonts w:ascii="Calibri" w:hAnsi="Calibri"/>
    </w:rPr>
  </w:style>
  <w:style w:type="character" w:customStyle="1" w:styleId="Ttulo2Car">
    <w:name w:val="Título 2 Car"/>
    <w:basedOn w:val="Fuentedeprrafopredeter"/>
    <w:link w:val="Ttulo2"/>
    <w:rPr>
      <w:b/>
      <w:color w:val="4F81BD" w:themeColor="accent1"/>
      <w:sz w:val="26"/>
    </w:rPr>
  </w:style>
  <w:style w:type="character" w:customStyle="1" w:styleId="Ttulo3Car">
    <w:name w:val="Título 3 Car"/>
    <w:basedOn w:val="Fuentedeprrafopredeter"/>
    <w:link w:val="Ttulo3"/>
    <w:rPr>
      <w:b/>
      <w:color w:val="4F81BD" w:themeColor="accent1"/>
    </w:rPr>
  </w:style>
  <w:style w:type="character" w:customStyle="1" w:styleId="TextoindependienteCar">
    <w:name w:val="Texto independiente Car"/>
    <w:basedOn w:val="Fuentedeprrafopredeter"/>
    <w:link w:val="Textoindependiente"/>
  </w:style>
  <w:style w:type="character" w:customStyle="1" w:styleId="TextoindependienteprimerasangraCar">
    <w:name w:val="Texto independiente primera sangría Car"/>
    <w:basedOn w:val="TextoindependienteCar"/>
    <w:link w:val="Textoindependienteprimerasangra"/>
  </w:style>
  <w:style w:type="character" w:customStyle="1" w:styleId="SangradetextonormalCar">
    <w:name w:val="Sangría de texto normal Car"/>
    <w:basedOn w:val="Fuentedeprrafopredeter"/>
    <w:link w:val="Sangradetextonormal"/>
    <w:semiHidden/>
  </w:style>
  <w:style w:type="character" w:customStyle="1" w:styleId="Textoindependienteprimerasangra2Car">
    <w:name w:val="Texto independiente primera sangría 2 Car"/>
    <w:basedOn w:val="SangradetextonormalCar"/>
    <w:link w:val="Textoindependienteprimerasangra2"/>
  </w:style>
  <w:style w:type="table" w:styleId="Tablabsica1">
    <w:name w:val="Table Simple 1"/>
    <w:basedOn w:val="Tabla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1684</Words>
  <Characters>9266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sony</cp:lastModifiedBy>
  <cp:revision>40</cp:revision>
  <cp:lastPrinted>2018-03-08T17:36:00Z</cp:lastPrinted>
  <dcterms:created xsi:type="dcterms:W3CDTF">2018-01-23T17:55:00Z</dcterms:created>
  <dcterms:modified xsi:type="dcterms:W3CDTF">2018-12-08T20:12:00Z</dcterms:modified>
</cp:coreProperties>
</file>