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5" w:type="dxa"/>
        <w:tblInd w:w="-781" w:type="dxa"/>
        <w:tblLayout w:type="fixed"/>
        <w:tblCellMar>
          <w:left w:w="70" w:type="dxa"/>
          <w:right w:w="70" w:type="dxa"/>
        </w:tblCellMar>
        <w:tblLook w:val="0000" w:firstRow="0" w:lastRow="0" w:firstColumn="0" w:lastColumn="0" w:noHBand="0" w:noVBand="0"/>
      </w:tblPr>
      <w:tblGrid>
        <w:gridCol w:w="2356"/>
        <w:gridCol w:w="6859"/>
      </w:tblGrid>
      <w:tr w:rsidR="0086324C" w:rsidRPr="006E349D" w:rsidTr="005A0041">
        <w:tc>
          <w:tcPr>
            <w:tcW w:w="2356" w:type="dxa"/>
          </w:tcPr>
          <w:p w:rsidR="0086324C" w:rsidRPr="006E349D" w:rsidRDefault="0086324C" w:rsidP="005A0041">
            <w:pPr>
              <w:pStyle w:val="Ttulo1"/>
            </w:pPr>
          </w:p>
        </w:tc>
        <w:tc>
          <w:tcPr>
            <w:tcW w:w="6859" w:type="dxa"/>
          </w:tcPr>
          <w:p w:rsidR="0086324C" w:rsidRPr="00787AC6" w:rsidRDefault="003E06D0" w:rsidP="00787AC6">
            <w:pPr>
              <w:ind w:left="1119" w:right="497"/>
              <w:jc w:val="both"/>
              <w:rPr>
                <w:rFonts w:ascii="Arial" w:hAnsi="Arial" w:cs="Arial"/>
                <w:b/>
                <w:sz w:val="26"/>
                <w:szCs w:val="26"/>
              </w:rPr>
            </w:pPr>
            <w:r>
              <w:rPr>
                <w:rFonts w:ascii="Arial" w:hAnsi="Arial" w:cs="Arial"/>
                <w:b/>
                <w:sz w:val="26"/>
                <w:szCs w:val="26"/>
              </w:rPr>
              <w:t>SALA SUPERIOR DEL T</w:t>
            </w:r>
            <w:r w:rsidR="00787AC6">
              <w:rPr>
                <w:rFonts w:ascii="Arial" w:hAnsi="Arial" w:cs="Arial"/>
                <w:b/>
                <w:sz w:val="26"/>
                <w:szCs w:val="26"/>
              </w:rPr>
              <w:t>RIBUNAL DE JUSTICIA ADMINISTRAT</w:t>
            </w:r>
            <w:r>
              <w:rPr>
                <w:rFonts w:ascii="Arial" w:hAnsi="Arial" w:cs="Arial"/>
                <w:b/>
                <w:sz w:val="26"/>
                <w:szCs w:val="26"/>
              </w:rPr>
              <w:t>IVA DEL ESTADO DE OAXACA.</w:t>
            </w:r>
          </w:p>
          <w:p w:rsidR="0086324C" w:rsidRPr="006E349D" w:rsidRDefault="0086324C" w:rsidP="005A0041">
            <w:pPr>
              <w:pStyle w:val="Encabezado"/>
              <w:tabs>
                <w:tab w:val="clear" w:pos="4252"/>
              </w:tabs>
              <w:ind w:left="1119" w:right="51"/>
              <w:jc w:val="both"/>
              <w:rPr>
                <w:rFonts w:ascii="Arial" w:hAnsi="Arial" w:cs="Arial"/>
                <w:b/>
                <w:iCs/>
                <w:caps/>
                <w:sz w:val="26"/>
                <w:szCs w:val="26"/>
              </w:rPr>
            </w:pPr>
            <w:r w:rsidRPr="006E349D">
              <w:rPr>
                <w:rFonts w:ascii="Arial" w:hAnsi="Arial" w:cs="Arial"/>
                <w:b/>
                <w:iCs/>
                <w:caps/>
                <w:sz w:val="26"/>
                <w:szCs w:val="26"/>
              </w:rPr>
              <w:t xml:space="preserve">               </w:t>
            </w:r>
          </w:p>
          <w:p w:rsidR="0086324C" w:rsidRPr="006E349D" w:rsidRDefault="0086324C" w:rsidP="005A0041">
            <w:pPr>
              <w:pStyle w:val="Encabezado"/>
              <w:tabs>
                <w:tab w:val="clear" w:pos="4252"/>
              </w:tabs>
              <w:ind w:right="51"/>
              <w:jc w:val="both"/>
              <w:rPr>
                <w:rFonts w:ascii="Arial" w:hAnsi="Arial" w:cs="Arial"/>
                <w:b/>
                <w:iCs/>
                <w:caps/>
                <w:sz w:val="26"/>
                <w:szCs w:val="26"/>
              </w:rPr>
            </w:pPr>
            <w:r>
              <w:rPr>
                <w:rFonts w:ascii="Arial" w:hAnsi="Arial" w:cs="Arial"/>
                <w:b/>
                <w:iCs/>
                <w:caps/>
                <w:sz w:val="26"/>
                <w:szCs w:val="26"/>
              </w:rPr>
              <w:t xml:space="preserve">       </w:t>
            </w:r>
            <w:r w:rsidR="00C9502A">
              <w:rPr>
                <w:rFonts w:ascii="Arial" w:hAnsi="Arial" w:cs="Arial"/>
                <w:b/>
                <w:iCs/>
                <w:caps/>
                <w:sz w:val="26"/>
                <w:szCs w:val="26"/>
              </w:rPr>
              <w:t xml:space="preserve">        RECURSO DE REVISIÓN: 0</w:t>
            </w:r>
            <w:r w:rsidR="0086295A">
              <w:rPr>
                <w:rFonts w:ascii="Arial" w:hAnsi="Arial" w:cs="Arial"/>
                <w:b/>
                <w:iCs/>
                <w:caps/>
                <w:sz w:val="26"/>
                <w:szCs w:val="26"/>
              </w:rPr>
              <w:t>615</w:t>
            </w:r>
            <w:r w:rsidR="00C9502A">
              <w:rPr>
                <w:rFonts w:ascii="Arial" w:hAnsi="Arial" w:cs="Arial"/>
                <w:b/>
                <w:iCs/>
                <w:caps/>
                <w:sz w:val="26"/>
                <w:szCs w:val="26"/>
              </w:rPr>
              <w:t>/201</w:t>
            </w:r>
            <w:r w:rsidR="00F37F5B">
              <w:rPr>
                <w:rFonts w:ascii="Arial" w:hAnsi="Arial" w:cs="Arial"/>
                <w:b/>
                <w:iCs/>
                <w:caps/>
                <w:sz w:val="26"/>
                <w:szCs w:val="26"/>
              </w:rPr>
              <w:t>7</w:t>
            </w:r>
          </w:p>
          <w:p w:rsidR="0086324C" w:rsidRPr="006E349D" w:rsidRDefault="0086324C" w:rsidP="005A0041">
            <w:pPr>
              <w:pStyle w:val="Encabezado"/>
              <w:tabs>
                <w:tab w:val="clear" w:pos="4252"/>
              </w:tabs>
              <w:ind w:left="1119" w:right="51" w:hanging="1119"/>
              <w:jc w:val="both"/>
              <w:rPr>
                <w:rFonts w:ascii="Arial" w:hAnsi="Arial" w:cs="Arial"/>
                <w:b/>
                <w:iCs/>
                <w:caps/>
                <w:sz w:val="26"/>
                <w:szCs w:val="26"/>
              </w:rPr>
            </w:pPr>
            <w:r w:rsidRPr="006E349D">
              <w:rPr>
                <w:rFonts w:ascii="Arial" w:hAnsi="Arial" w:cs="Arial"/>
                <w:b/>
                <w:iCs/>
                <w:caps/>
                <w:sz w:val="26"/>
                <w:szCs w:val="26"/>
              </w:rPr>
              <w:t xml:space="preserve">               EXPEDIENTE: </w:t>
            </w:r>
            <w:r w:rsidR="00C9502A">
              <w:rPr>
                <w:rFonts w:ascii="Arial" w:hAnsi="Arial" w:cs="Arial"/>
                <w:b/>
                <w:iCs/>
                <w:caps/>
                <w:sz w:val="26"/>
                <w:szCs w:val="26"/>
              </w:rPr>
              <w:t>0</w:t>
            </w:r>
            <w:r w:rsidR="0086295A">
              <w:rPr>
                <w:rFonts w:ascii="Arial" w:hAnsi="Arial" w:cs="Arial"/>
                <w:b/>
                <w:iCs/>
                <w:caps/>
                <w:sz w:val="26"/>
                <w:szCs w:val="26"/>
              </w:rPr>
              <w:t>027</w:t>
            </w:r>
            <w:r w:rsidR="00120984">
              <w:rPr>
                <w:rFonts w:ascii="Arial" w:hAnsi="Arial" w:cs="Arial"/>
                <w:b/>
                <w:iCs/>
                <w:caps/>
                <w:sz w:val="26"/>
                <w:szCs w:val="26"/>
              </w:rPr>
              <w:t>/201</w:t>
            </w:r>
            <w:r w:rsidR="0086295A">
              <w:rPr>
                <w:rFonts w:ascii="Arial" w:hAnsi="Arial" w:cs="Arial"/>
                <w:b/>
                <w:iCs/>
                <w:caps/>
                <w:sz w:val="26"/>
                <w:szCs w:val="26"/>
              </w:rPr>
              <w:t>7</w:t>
            </w:r>
            <w:r w:rsidRPr="006E349D">
              <w:rPr>
                <w:rFonts w:ascii="Arial" w:hAnsi="Arial" w:cs="Arial"/>
                <w:b/>
                <w:iCs/>
                <w:caps/>
                <w:sz w:val="26"/>
                <w:szCs w:val="26"/>
              </w:rPr>
              <w:t xml:space="preserve"> DE</w:t>
            </w:r>
            <w:r>
              <w:rPr>
                <w:rFonts w:ascii="Arial" w:hAnsi="Arial" w:cs="Arial"/>
                <w:b/>
                <w:iCs/>
                <w:caps/>
                <w:sz w:val="26"/>
                <w:szCs w:val="26"/>
              </w:rPr>
              <w:t xml:space="preserve"> </w:t>
            </w:r>
            <w:r w:rsidRPr="006E349D">
              <w:rPr>
                <w:rFonts w:ascii="Arial" w:hAnsi="Arial" w:cs="Arial"/>
                <w:b/>
                <w:iCs/>
                <w:caps/>
                <w:sz w:val="26"/>
                <w:szCs w:val="26"/>
              </w:rPr>
              <w:t>L</w:t>
            </w:r>
            <w:r>
              <w:rPr>
                <w:rFonts w:ascii="Arial" w:hAnsi="Arial" w:cs="Arial"/>
                <w:b/>
                <w:iCs/>
                <w:caps/>
                <w:sz w:val="26"/>
                <w:szCs w:val="26"/>
              </w:rPr>
              <w:t>A</w:t>
            </w:r>
            <w:r w:rsidRPr="006E349D">
              <w:rPr>
                <w:rFonts w:ascii="Arial" w:hAnsi="Arial" w:cs="Arial"/>
                <w:b/>
                <w:iCs/>
                <w:caps/>
                <w:sz w:val="26"/>
                <w:szCs w:val="26"/>
              </w:rPr>
              <w:t xml:space="preserve"> </w:t>
            </w:r>
            <w:r w:rsidR="0086295A">
              <w:rPr>
                <w:rFonts w:ascii="Arial" w:hAnsi="Arial" w:cs="Arial"/>
                <w:b/>
                <w:iCs/>
                <w:caps/>
                <w:sz w:val="26"/>
                <w:szCs w:val="26"/>
              </w:rPr>
              <w:t>Séptima</w:t>
            </w:r>
            <w:r>
              <w:rPr>
                <w:rFonts w:ascii="Arial" w:hAnsi="Arial" w:cs="Arial"/>
                <w:b/>
                <w:iCs/>
                <w:caps/>
                <w:sz w:val="26"/>
                <w:szCs w:val="26"/>
              </w:rPr>
              <w:t xml:space="preserve"> SALA UNITARIA DE PRIMERA INSTANCIA </w:t>
            </w:r>
          </w:p>
          <w:p w:rsidR="0086324C" w:rsidRPr="006E349D" w:rsidRDefault="0086324C" w:rsidP="005A0041">
            <w:pPr>
              <w:pStyle w:val="Encabezado"/>
              <w:tabs>
                <w:tab w:val="clear" w:pos="4252"/>
              </w:tabs>
              <w:ind w:left="1119" w:right="51" w:hanging="1119"/>
              <w:jc w:val="both"/>
              <w:rPr>
                <w:rFonts w:ascii="Arial" w:hAnsi="Arial" w:cs="Arial"/>
                <w:b/>
                <w:iCs/>
                <w:caps/>
                <w:sz w:val="26"/>
                <w:szCs w:val="26"/>
              </w:rPr>
            </w:pPr>
          </w:p>
          <w:p w:rsidR="0086324C" w:rsidRPr="006E349D" w:rsidRDefault="0086324C" w:rsidP="006C127A">
            <w:pPr>
              <w:pStyle w:val="Encabezado"/>
              <w:tabs>
                <w:tab w:val="clear" w:pos="4252"/>
              </w:tabs>
              <w:ind w:left="1119" w:right="51" w:hanging="1134"/>
              <w:jc w:val="both"/>
              <w:rPr>
                <w:rFonts w:ascii="Arial" w:hAnsi="Arial" w:cs="Arial"/>
                <w:b/>
                <w:iCs/>
                <w:caps/>
                <w:sz w:val="26"/>
                <w:szCs w:val="26"/>
              </w:rPr>
            </w:pPr>
            <w:r w:rsidRPr="006E349D">
              <w:rPr>
                <w:rFonts w:ascii="Arial" w:hAnsi="Arial" w:cs="Arial"/>
                <w:b/>
                <w:iCs/>
                <w:caps/>
                <w:sz w:val="26"/>
                <w:szCs w:val="26"/>
              </w:rPr>
              <w:t xml:space="preserve">               ponente:</w:t>
            </w:r>
            <w:r w:rsidR="00195B00">
              <w:rPr>
                <w:rFonts w:ascii="Arial" w:hAnsi="Arial" w:cs="Arial"/>
                <w:b/>
                <w:iCs/>
                <w:caps/>
                <w:sz w:val="26"/>
                <w:szCs w:val="26"/>
              </w:rPr>
              <w:t xml:space="preserve"> MAGISTRADa maría </w:t>
            </w:r>
            <w:r w:rsidR="006C127A">
              <w:rPr>
                <w:rFonts w:ascii="Arial" w:hAnsi="Arial" w:cs="Arial"/>
                <w:b/>
                <w:iCs/>
                <w:caps/>
                <w:sz w:val="26"/>
                <w:szCs w:val="26"/>
              </w:rPr>
              <w:t xml:space="preserve"> ELENA</w:t>
            </w:r>
            <w:r w:rsidR="00195B00">
              <w:rPr>
                <w:rFonts w:ascii="Arial" w:hAnsi="Arial" w:cs="Arial"/>
                <w:b/>
                <w:iCs/>
                <w:caps/>
                <w:sz w:val="26"/>
                <w:szCs w:val="26"/>
              </w:rPr>
              <w:t xml:space="preserve"> </w:t>
            </w:r>
            <w:r w:rsidR="00C9502A">
              <w:rPr>
                <w:rFonts w:ascii="Arial" w:hAnsi="Arial" w:cs="Arial"/>
                <w:b/>
                <w:iCs/>
                <w:caps/>
                <w:sz w:val="26"/>
                <w:szCs w:val="26"/>
              </w:rPr>
              <w:t xml:space="preserve"> </w:t>
            </w:r>
            <w:r w:rsidR="00195B00">
              <w:rPr>
                <w:rFonts w:ascii="Arial" w:hAnsi="Arial" w:cs="Arial"/>
                <w:b/>
                <w:iCs/>
                <w:caps/>
                <w:sz w:val="26"/>
                <w:szCs w:val="26"/>
              </w:rPr>
              <w:t>villa</w:t>
            </w:r>
            <w:r w:rsidR="006C127A">
              <w:rPr>
                <w:rFonts w:ascii="Arial" w:hAnsi="Arial" w:cs="Arial"/>
                <w:b/>
                <w:iCs/>
                <w:caps/>
                <w:sz w:val="26"/>
                <w:szCs w:val="26"/>
              </w:rPr>
              <w:t xml:space="preserve"> DE JARQUIN.</w:t>
            </w:r>
          </w:p>
        </w:tc>
      </w:tr>
      <w:tr w:rsidR="0086324C" w:rsidRPr="006E349D" w:rsidTr="005A0041">
        <w:tc>
          <w:tcPr>
            <w:tcW w:w="2356" w:type="dxa"/>
          </w:tcPr>
          <w:p w:rsidR="0086324C" w:rsidRPr="006E349D" w:rsidRDefault="0086324C" w:rsidP="005A0041">
            <w:pPr>
              <w:rPr>
                <w:rFonts w:ascii="Arial" w:hAnsi="Arial" w:cs="Arial"/>
                <w:b/>
                <w:sz w:val="26"/>
                <w:szCs w:val="26"/>
              </w:rPr>
            </w:pPr>
          </w:p>
        </w:tc>
        <w:tc>
          <w:tcPr>
            <w:tcW w:w="6859" w:type="dxa"/>
          </w:tcPr>
          <w:p w:rsidR="0086324C" w:rsidRPr="006E349D" w:rsidRDefault="0086324C" w:rsidP="005A0041">
            <w:pPr>
              <w:tabs>
                <w:tab w:val="left" w:pos="3103"/>
              </w:tabs>
              <w:ind w:left="2961" w:hanging="2961"/>
              <w:jc w:val="both"/>
              <w:rPr>
                <w:rFonts w:ascii="Arial" w:hAnsi="Arial" w:cs="Arial"/>
                <w:b/>
                <w:iCs/>
                <w:caps/>
                <w:sz w:val="26"/>
                <w:szCs w:val="26"/>
              </w:rPr>
            </w:pPr>
            <w:r w:rsidRPr="006E349D">
              <w:rPr>
                <w:rFonts w:ascii="Arial" w:hAnsi="Arial" w:cs="Arial"/>
                <w:b/>
                <w:i/>
                <w:iCs/>
                <w:caps/>
                <w:sz w:val="26"/>
                <w:szCs w:val="26"/>
              </w:rPr>
              <w:t xml:space="preserve">                                   </w:t>
            </w:r>
          </w:p>
        </w:tc>
      </w:tr>
      <w:tr w:rsidR="0086324C" w:rsidRPr="006E349D" w:rsidTr="005A0041">
        <w:tc>
          <w:tcPr>
            <w:tcW w:w="2356" w:type="dxa"/>
          </w:tcPr>
          <w:p w:rsidR="0086324C" w:rsidRPr="006E349D" w:rsidRDefault="0086324C" w:rsidP="005A0041">
            <w:pPr>
              <w:rPr>
                <w:rFonts w:ascii="Arial" w:hAnsi="Arial" w:cs="Arial"/>
                <w:b/>
                <w:sz w:val="26"/>
                <w:szCs w:val="26"/>
              </w:rPr>
            </w:pPr>
          </w:p>
        </w:tc>
        <w:tc>
          <w:tcPr>
            <w:tcW w:w="6859" w:type="dxa"/>
          </w:tcPr>
          <w:p w:rsidR="0086324C" w:rsidRPr="006E349D" w:rsidRDefault="0086324C" w:rsidP="005A0041">
            <w:pPr>
              <w:tabs>
                <w:tab w:val="left" w:pos="3103"/>
              </w:tabs>
              <w:ind w:left="2961" w:hanging="2961"/>
              <w:jc w:val="both"/>
              <w:rPr>
                <w:rFonts w:ascii="Arial" w:hAnsi="Arial" w:cs="Arial"/>
                <w:b/>
                <w:i/>
                <w:iCs/>
                <w:caps/>
                <w:sz w:val="26"/>
                <w:szCs w:val="26"/>
              </w:rPr>
            </w:pPr>
          </w:p>
        </w:tc>
      </w:tr>
    </w:tbl>
    <w:p w:rsidR="0086324C" w:rsidRPr="00372D3D" w:rsidRDefault="005802E3" w:rsidP="0086324C">
      <w:pPr>
        <w:spacing w:line="360" w:lineRule="auto"/>
        <w:jc w:val="both"/>
        <w:rPr>
          <w:rFonts w:ascii="Arial" w:eastAsia="Calibri" w:hAnsi="Arial" w:cs="Arial"/>
          <w:b/>
          <w:sz w:val="26"/>
          <w:szCs w:val="26"/>
        </w:rPr>
      </w:pPr>
      <w:r>
        <w:rPr>
          <w:rFonts w:ascii="Arial" w:eastAsia="Calibri" w:hAnsi="Arial" w:cs="Arial"/>
          <w:b/>
          <w:sz w:val="26"/>
          <w:szCs w:val="26"/>
        </w:rPr>
        <w:t xml:space="preserve">OAXACA DE JUÁREZ, OAXACA, VEINTIDÓS DE MARZO DE </w:t>
      </w:r>
      <w:r w:rsidR="0086295A">
        <w:rPr>
          <w:rFonts w:ascii="Arial" w:eastAsia="Calibri" w:hAnsi="Arial" w:cs="Arial"/>
          <w:b/>
          <w:sz w:val="26"/>
          <w:szCs w:val="26"/>
        </w:rPr>
        <w:t>DOS MIL DIECIOCHO</w:t>
      </w:r>
      <w:r>
        <w:rPr>
          <w:rFonts w:ascii="Arial" w:eastAsia="Calibri" w:hAnsi="Arial" w:cs="Arial"/>
          <w:b/>
          <w:sz w:val="26"/>
          <w:szCs w:val="26"/>
        </w:rPr>
        <w:t>.</w:t>
      </w:r>
    </w:p>
    <w:p w:rsidR="0086324C" w:rsidRDefault="0086324C" w:rsidP="0086324C">
      <w:pPr>
        <w:spacing w:line="360" w:lineRule="auto"/>
        <w:ind w:firstLine="708"/>
        <w:jc w:val="both"/>
        <w:rPr>
          <w:rFonts w:ascii="Arial" w:eastAsia="Calibri" w:hAnsi="Arial" w:cs="Arial"/>
          <w:sz w:val="26"/>
          <w:szCs w:val="26"/>
        </w:rPr>
      </w:pPr>
      <w:r w:rsidRPr="00372D3D">
        <w:rPr>
          <w:rFonts w:ascii="Arial" w:eastAsia="Calibri" w:hAnsi="Arial" w:cs="Arial"/>
          <w:sz w:val="26"/>
          <w:szCs w:val="26"/>
        </w:rPr>
        <w:t xml:space="preserve">Por recibido el Cuaderno de Revisión </w:t>
      </w:r>
      <w:r w:rsidR="0086295A">
        <w:rPr>
          <w:rFonts w:ascii="Arial" w:eastAsia="Calibri" w:hAnsi="Arial" w:cs="Arial"/>
          <w:b/>
          <w:sz w:val="26"/>
          <w:szCs w:val="26"/>
        </w:rPr>
        <w:t>615/2017</w:t>
      </w:r>
      <w:r w:rsidRPr="00372D3D">
        <w:rPr>
          <w:rFonts w:ascii="Arial" w:eastAsia="Calibri" w:hAnsi="Arial" w:cs="Arial"/>
          <w:sz w:val="26"/>
          <w:szCs w:val="26"/>
        </w:rPr>
        <w:t xml:space="preserve">, que remite la Secretaría </w:t>
      </w:r>
      <w:r w:rsidRPr="00821CBD">
        <w:rPr>
          <w:rFonts w:ascii="Arial" w:eastAsia="Calibri" w:hAnsi="Arial" w:cs="Arial"/>
          <w:sz w:val="26"/>
          <w:szCs w:val="26"/>
        </w:rPr>
        <w:t>General de Acuerdos, con motivo del recurso de revisión interpuesto por</w:t>
      </w:r>
      <w:r w:rsidR="005A5118">
        <w:rPr>
          <w:rFonts w:ascii="Arial" w:eastAsia="Calibri" w:hAnsi="Arial" w:cs="Arial"/>
          <w:b/>
          <w:sz w:val="26"/>
          <w:szCs w:val="26"/>
        </w:rPr>
        <w:t xml:space="preserve"> </w:t>
      </w:r>
      <w:r w:rsidR="003B1D33">
        <w:rPr>
          <w:rFonts w:ascii="Arial" w:eastAsia="Calibri" w:hAnsi="Arial" w:cs="Arial"/>
          <w:b/>
          <w:sz w:val="26"/>
          <w:szCs w:val="26"/>
        </w:rPr>
        <w:t>**********</w:t>
      </w:r>
      <w:r w:rsidRPr="00821CBD">
        <w:rPr>
          <w:rFonts w:ascii="Arial" w:eastAsia="Calibri" w:hAnsi="Arial" w:cs="Arial"/>
          <w:b/>
          <w:sz w:val="26"/>
          <w:szCs w:val="26"/>
        </w:rPr>
        <w:t xml:space="preserve">, </w:t>
      </w:r>
      <w:r w:rsidR="00C9502A">
        <w:rPr>
          <w:rFonts w:ascii="Arial" w:eastAsia="Calibri" w:hAnsi="Arial" w:cs="Arial"/>
          <w:sz w:val="26"/>
          <w:szCs w:val="26"/>
        </w:rPr>
        <w:t xml:space="preserve">en contra de la sentencia de fecha </w:t>
      </w:r>
      <w:r w:rsidR="0086295A">
        <w:rPr>
          <w:rFonts w:ascii="Arial" w:eastAsia="Calibri" w:hAnsi="Arial" w:cs="Arial"/>
          <w:sz w:val="26"/>
          <w:szCs w:val="26"/>
        </w:rPr>
        <w:t xml:space="preserve">veintinueve de </w:t>
      </w:r>
      <w:r w:rsidR="0008646E">
        <w:rPr>
          <w:rFonts w:ascii="Arial" w:eastAsia="Calibri" w:hAnsi="Arial" w:cs="Arial"/>
          <w:sz w:val="26"/>
          <w:szCs w:val="26"/>
        </w:rPr>
        <w:t xml:space="preserve">septiembre de </w:t>
      </w:r>
      <w:r w:rsidR="0086295A">
        <w:rPr>
          <w:rFonts w:ascii="Arial" w:eastAsia="Calibri" w:hAnsi="Arial" w:cs="Arial"/>
          <w:sz w:val="26"/>
          <w:szCs w:val="26"/>
        </w:rPr>
        <w:t>dos mil diecisiete</w:t>
      </w:r>
      <w:r>
        <w:rPr>
          <w:rFonts w:ascii="Arial" w:eastAsia="Calibri" w:hAnsi="Arial" w:cs="Arial"/>
          <w:sz w:val="26"/>
          <w:szCs w:val="26"/>
        </w:rPr>
        <w:t>, dictad</w:t>
      </w:r>
      <w:r w:rsidR="00120984">
        <w:rPr>
          <w:rFonts w:ascii="Arial" w:eastAsia="Calibri" w:hAnsi="Arial" w:cs="Arial"/>
          <w:sz w:val="26"/>
          <w:szCs w:val="26"/>
        </w:rPr>
        <w:t xml:space="preserve">a </w:t>
      </w:r>
      <w:r>
        <w:rPr>
          <w:rFonts w:ascii="Arial" w:eastAsia="Calibri" w:hAnsi="Arial" w:cs="Arial"/>
          <w:sz w:val="26"/>
          <w:szCs w:val="26"/>
        </w:rPr>
        <w:t>en el expediente</w:t>
      </w:r>
      <w:r w:rsidR="00244927">
        <w:rPr>
          <w:rFonts w:ascii="Arial" w:eastAsia="Calibri" w:hAnsi="Arial" w:cs="Arial"/>
          <w:b/>
          <w:sz w:val="26"/>
          <w:szCs w:val="26"/>
        </w:rPr>
        <w:t xml:space="preserve"> 0</w:t>
      </w:r>
      <w:r w:rsidR="0086295A">
        <w:rPr>
          <w:rFonts w:ascii="Arial" w:eastAsia="Calibri" w:hAnsi="Arial" w:cs="Arial"/>
          <w:b/>
          <w:sz w:val="26"/>
          <w:szCs w:val="26"/>
        </w:rPr>
        <w:t>027/2017</w:t>
      </w:r>
      <w:r>
        <w:rPr>
          <w:rFonts w:ascii="Arial" w:hAnsi="Arial" w:cs="Arial"/>
          <w:sz w:val="26"/>
          <w:szCs w:val="26"/>
        </w:rPr>
        <w:t xml:space="preserve">, del índice de la </w:t>
      </w:r>
      <w:r w:rsidR="0086295A">
        <w:rPr>
          <w:rFonts w:ascii="Arial" w:hAnsi="Arial" w:cs="Arial"/>
          <w:sz w:val="26"/>
          <w:szCs w:val="26"/>
        </w:rPr>
        <w:t xml:space="preserve">Séptima </w:t>
      </w:r>
      <w:r>
        <w:rPr>
          <w:rFonts w:ascii="Arial" w:hAnsi="Arial" w:cs="Arial"/>
          <w:sz w:val="26"/>
          <w:szCs w:val="26"/>
        </w:rPr>
        <w:t xml:space="preserve">Sala Unitaria de Primera Instancia de este Tribunal, promovido </w:t>
      </w:r>
      <w:r w:rsidRPr="00120984">
        <w:rPr>
          <w:rFonts w:ascii="Arial" w:hAnsi="Arial" w:cs="Arial"/>
          <w:sz w:val="26"/>
          <w:szCs w:val="26"/>
        </w:rPr>
        <w:t xml:space="preserve">por </w:t>
      </w:r>
      <w:r w:rsidR="00120984" w:rsidRPr="00120984">
        <w:rPr>
          <w:rFonts w:ascii="Arial" w:eastAsia="Calibri" w:hAnsi="Arial" w:cs="Arial"/>
          <w:sz w:val="26"/>
          <w:szCs w:val="26"/>
        </w:rPr>
        <w:t>el</w:t>
      </w:r>
      <w:r w:rsidR="00120984">
        <w:rPr>
          <w:rFonts w:ascii="Arial" w:eastAsia="Calibri" w:hAnsi="Arial" w:cs="Arial"/>
          <w:b/>
          <w:sz w:val="26"/>
          <w:szCs w:val="26"/>
        </w:rPr>
        <w:t xml:space="preserve"> RECURRENTE</w:t>
      </w:r>
      <w:r>
        <w:rPr>
          <w:rFonts w:ascii="Arial" w:hAnsi="Arial" w:cs="Arial"/>
          <w:b/>
          <w:sz w:val="26"/>
          <w:szCs w:val="26"/>
        </w:rPr>
        <w:t xml:space="preserve">, </w:t>
      </w:r>
      <w:r w:rsidR="005A5118">
        <w:rPr>
          <w:rFonts w:ascii="Arial" w:hAnsi="Arial" w:cs="Arial"/>
          <w:sz w:val="26"/>
          <w:szCs w:val="26"/>
        </w:rPr>
        <w:t>en contra de</w:t>
      </w:r>
      <w:r w:rsidR="0086295A">
        <w:rPr>
          <w:rFonts w:ascii="Arial" w:hAnsi="Arial" w:cs="Arial"/>
          <w:sz w:val="26"/>
          <w:szCs w:val="26"/>
        </w:rPr>
        <w:t>l CONSEJO DIRECTIVO DE LA OFICINA DE PENSIONES DEL ESTADO DE OAXACA</w:t>
      </w:r>
      <w:r w:rsidRPr="00372D3D">
        <w:rPr>
          <w:rFonts w:ascii="Arial" w:eastAsia="Calibri" w:hAnsi="Arial" w:cs="Arial"/>
          <w:b/>
          <w:sz w:val="26"/>
          <w:szCs w:val="26"/>
        </w:rPr>
        <w:t xml:space="preserve">, </w:t>
      </w:r>
      <w:r w:rsidRPr="00372D3D">
        <w:rPr>
          <w:rFonts w:ascii="Arial" w:eastAsia="Calibri" w:hAnsi="Arial" w:cs="Arial"/>
          <w:sz w:val="26"/>
          <w:szCs w:val="26"/>
        </w:rPr>
        <w:t xml:space="preserve">por lo que con </w:t>
      </w:r>
      <w:r w:rsidR="0086295A">
        <w:rPr>
          <w:rFonts w:ascii="Arial" w:eastAsia="Calibri" w:hAnsi="Arial" w:cs="Arial"/>
          <w:sz w:val="26"/>
          <w:szCs w:val="26"/>
        </w:rPr>
        <w:t xml:space="preserve">fundamento en los artículos 207 </w:t>
      </w:r>
      <w:r w:rsidR="0086295A" w:rsidRPr="00372D3D">
        <w:rPr>
          <w:rFonts w:ascii="Arial" w:hAnsi="Arial" w:cs="Arial"/>
          <w:sz w:val="26"/>
          <w:szCs w:val="26"/>
        </w:rPr>
        <w:t xml:space="preserve">y 208, de la Ley de Justicia Administrativa para el Estado de Oaxaca, </w:t>
      </w:r>
      <w:r w:rsidR="0008646E">
        <w:rPr>
          <w:rFonts w:ascii="Arial" w:hAnsi="Arial" w:cs="Arial"/>
          <w:sz w:val="26"/>
          <w:szCs w:val="26"/>
        </w:rPr>
        <w:t xml:space="preserve">vigente hasta el veinte de octubre de </w:t>
      </w:r>
      <w:r w:rsidR="0086295A">
        <w:rPr>
          <w:rFonts w:ascii="Arial" w:hAnsi="Arial" w:cs="Arial"/>
          <w:sz w:val="26"/>
          <w:szCs w:val="26"/>
        </w:rPr>
        <w:t xml:space="preserve">dos mil diecisiete, </w:t>
      </w:r>
      <w:r w:rsidR="003E06D0">
        <w:rPr>
          <w:rFonts w:ascii="Arial" w:hAnsi="Arial" w:cs="Arial"/>
          <w:sz w:val="26"/>
          <w:szCs w:val="26"/>
        </w:rPr>
        <w:t>se admite el presente recurso de revisión.</w:t>
      </w:r>
      <w:r w:rsidR="0086295A" w:rsidRPr="00372D3D">
        <w:rPr>
          <w:rFonts w:ascii="Arial" w:hAnsi="Arial" w:cs="Arial"/>
          <w:sz w:val="26"/>
          <w:szCs w:val="26"/>
        </w:rPr>
        <w:t xml:space="preserve"> En consecuencia, se procede a dictar resolución en los siguientes términos</w:t>
      </w:r>
      <w:r w:rsidRPr="00372D3D">
        <w:rPr>
          <w:rFonts w:ascii="Arial" w:eastAsia="Calibri" w:hAnsi="Arial" w:cs="Arial"/>
          <w:sz w:val="26"/>
          <w:szCs w:val="26"/>
        </w:rPr>
        <w:t>:</w:t>
      </w:r>
    </w:p>
    <w:p w:rsidR="0008646E" w:rsidRPr="007310EB" w:rsidRDefault="0008646E" w:rsidP="0086324C">
      <w:pPr>
        <w:spacing w:line="360" w:lineRule="auto"/>
        <w:ind w:firstLine="708"/>
        <w:jc w:val="both"/>
        <w:rPr>
          <w:rFonts w:ascii="Arial" w:eastAsia="Calibri" w:hAnsi="Arial" w:cs="Arial"/>
          <w:b/>
          <w:sz w:val="26"/>
          <w:szCs w:val="26"/>
        </w:rPr>
      </w:pPr>
    </w:p>
    <w:p w:rsidR="0086324C" w:rsidRPr="00372D3D" w:rsidRDefault="0086324C" w:rsidP="0086324C">
      <w:pPr>
        <w:spacing w:line="360" w:lineRule="auto"/>
        <w:jc w:val="center"/>
        <w:rPr>
          <w:rFonts w:ascii="Arial" w:eastAsia="Calibri" w:hAnsi="Arial" w:cs="Arial"/>
          <w:b/>
          <w:bCs/>
          <w:sz w:val="26"/>
          <w:szCs w:val="26"/>
        </w:rPr>
      </w:pPr>
      <w:r w:rsidRPr="00372D3D">
        <w:rPr>
          <w:rFonts w:ascii="Arial" w:eastAsia="Calibri" w:hAnsi="Arial" w:cs="Arial"/>
          <w:b/>
          <w:bCs/>
          <w:sz w:val="26"/>
          <w:szCs w:val="26"/>
        </w:rPr>
        <w:t>R E S U L T A N D O</w:t>
      </w:r>
    </w:p>
    <w:p w:rsidR="00120984" w:rsidRPr="00372D3D" w:rsidRDefault="0086324C" w:rsidP="0008646E">
      <w:pPr>
        <w:spacing w:line="360" w:lineRule="auto"/>
        <w:ind w:firstLine="709"/>
        <w:jc w:val="both"/>
        <w:rPr>
          <w:rFonts w:ascii="Arial" w:eastAsia="Calibri" w:hAnsi="Arial" w:cs="Arial"/>
          <w:sz w:val="26"/>
          <w:szCs w:val="26"/>
        </w:rPr>
      </w:pPr>
      <w:r w:rsidRPr="00372D3D">
        <w:rPr>
          <w:rFonts w:ascii="Arial" w:eastAsia="Calibri" w:hAnsi="Arial" w:cs="Arial"/>
          <w:b/>
          <w:bCs/>
          <w:sz w:val="26"/>
          <w:szCs w:val="26"/>
        </w:rPr>
        <w:t xml:space="preserve">PRIMERO. </w:t>
      </w:r>
      <w:r w:rsidR="005A5118">
        <w:rPr>
          <w:rFonts w:ascii="Arial" w:eastAsia="Calibri" w:hAnsi="Arial" w:cs="Arial"/>
          <w:sz w:val="26"/>
          <w:szCs w:val="26"/>
        </w:rPr>
        <w:t xml:space="preserve">Inconforme con la sentencia de fecha </w:t>
      </w:r>
      <w:r w:rsidR="0086295A">
        <w:rPr>
          <w:rFonts w:ascii="Arial" w:eastAsia="Calibri" w:hAnsi="Arial" w:cs="Arial"/>
          <w:sz w:val="26"/>
          <w:szCs w:val="26"/>
        </w:rPr>
        <w:t>ve</w:t>
      </w:r>
      <w:r w:rsidR="0008646E">
        <w:rPr>
          <w:rFonts w:ascii="Arial" w:eastAsia="Calibri" w:hAnsi="Arial" w:cs="Arial"/>
          <w:sz w:val="26"/>
          <w:szCs w:val="26"/>
        </w:rPr>
        <w:t xml:space="preserve">intinueve de septiembre de </w:t>
      </w:r>
      <w:r w:rsidR="0086295A">
        <w:rPr>
          <w:rFonts w:ascii="Arial" w:eastAsia="Calibri" w:hAnsi="Arial" w:cs="Arial"/>
          <w:sz w:val="26"/>
          <w:szCs w:val="26"/>
        </w:rPr>
        <w:t>dos mil diecisiete</w:t>
      </w:r>
      <w:r w:rsidR="00036E58">
        <w:rPr>
          <w:rFonts w:ascii="Arial" w:eastAsia="Calibri" w:hAnsi="Arial" w:cs="Arial"/>
          <w:sz w:val="26"/>
          <w:szCs w:val="26"/>
        </w:rPr>
        <w:t>, di</w:t>
      </w:r>
      <w:r w:rsidR="005A5118">
        <w:rPr>
          <w:rFonts w:ascii="Arial" w:eastAsia="Calibri" w:hAnsi="Arial" w:cs="Arial"/>
          <w:sz w:val="26"/>
          <w:szCs w:val="26"/>
        </w:rPr>
        <w:t>ctad</w:t>
      </w:r>
      <w:r w:rsidR="00F37F5B">
        <w:rPr>
          <w:rFonts w:ascii="Arial" w:eastAsia="Calibri" w:hAnsi="Arial" w:cs="Arial"/>
          <w:sz w:val="26"/>
          <w:szCs w:val="26"/>
        </w:rPr>
        <w:t>a</w:t>
      </w:r>
      <w:r w:rsidR="005A5118">
        <w:rPr>
          <w:rFonts w:ascii="Arial" w:eastAsia="Calibri" w:hAnsi="Arial" w:cs="Arial"/>
          <w:sz w:val="26"/>
          <w:szCs w:val="26"/>
        </w:rPr>
        <w:t xml:space="preserve"> por </w:t>
      </w:r>
      <w:r w:rsidR="0086295A">
        <w:rPr>
          <w:rFonts w:ascii="Arial" w:eastAsia="Calibri" w:hAnsi="Arial" w:cs="Arial"/>
          <w:sz w:val="26"/>
          <w:szCs w:val="26"/>
        </w:rPr>
        <w:t>la</w:t>
      </w:r>
      <w:r w:rsidR="005A5118">
        <w:rPr>
          <w:rFonts w:ascii="Arial" w:eastAsia="Calibri" w:hAnsi="Arial" w:cs="Arial"/>
          <w:sz w:val="26"/>
          <w:szCs w:val="26"/>
        </w:rPr>
        <w:t xml:space="preserve"> Titular de la </w:t>
      </w:r>
      <w:r w:rsidR="0086295A">
        <w:rPr>
          <w:rFonts w:ascii="Arial" w:eastAsia="Calibri" w:hAnsi="Arial" w:cs="Arial"/>
          <w:sz w:val="26"/>
          <w:szCs w:val="26"/>
        </w:rPr>
        <w:t>Séptim</w:t>
      </w:r>
      <w:r w:rsidR="00120984">
        <w:rPr>
          <w:rFonts w:ascii="Arial" w:eastAsia="Calibri" w:hAnsi="Arial" w:cs="Arial"/>
          <w:sz w:val="26"/>
          <w:szCs w:val="26"/>
        </w:rPr>
        <w:t>a</w:t>
      </w:r>
      <w:r w:rsidR="00036E58">
        <w:rPr>
          <w:rFonts w:ascii="Arial" w:eastAsia="Calibri" w:hAnsi="Arial" w:cs="Arial"/>
          <w:sz w:val="26"/>
          <w:szCs w:val="26"/>
        </w:rPr>
        <w:t xml:space="preserve"> Sala Unitaria de Primera Instancia del</w:t>
      </w:r>
      <w:r w:rsidR="0008646E">
        <w:rPr>
          <w:rFonts w:ascii="Arial" w:eastAsia="Calibri" w:hAnsi="Arial" w:cs="Arial"/>
          <w:sz w:val="26"/>
          <w:szCs w:val="26"/>
        </w:rPr>
        <w:t xml:space="preserve"> anterior</w:t>
      </w:r>
      <w:r w:rsidR="00036E58">
        <w:rPr>
          <w:rFonts w:ascii="Arial" w:eastAsia="Calibri" w:hAnsi="Arial" w:cs="Arial"/>
          <w:sz w:val="26"/>
          <w:szCs w:val="26"/>
        </w:rPr>
        <w:t xml:space="preserve"> Tribunal de lo Contencioso Administrativo y de Cuentas del Poder Judicial del Estado de Oaxaca</w:t>
      </w:r>
      <w:r>
        <w:rPr>
          <w:rFonts w:ascii="Arial" w:eastAsia="Calibri" w:hAnsi="Arial" w:cs="Arial"/>
          <w:sz w:val="26"/>
          <w:szCs w:val="26"/>
        </w:rPr>
        <w:t>,</w:t>
      </w:r>
      <w:r w:rsidR="00F37F5B">
        <w:rPr>
          <w:rFonts w:ascii="Arial" w:eastAsia="Calibri" w:hAnsi="Arial" w:cs="Arial"/>
          <w:sz w:val="26"/>
          <w:szCs w:val="26"/>
        </w:rPr>
        <w:t xml:space="preserve"> </w:t>
      </w:r>
      <w:r w:rsidR="003B1D33">
        <w:rPr>
          <w:rFonts w:ascii="Arial" w:eastAsia="Calibri" w:hAnsi="Arial" w:cs="Arial"/>
          <w:b/>
          <w:sz w:val="26"/>
          <w:szCs w:val="26"/>
        </w:rPr>
        <w:t>**********</w:t>
      </w:r>
      <w:r w:rsidR="00120984">
        <w:rPr>
          <w:rFonts w:ascii="Arial" w:eastAsia="Calibri" w:hAnsi="Arial" w:cs="Arial"/>
          <w:b/>
          <w:sz w:val="26"/>
          <w:szCs w:val="26"/>
        </w:rPr>
        <w:t>,</w:t>
      </w:r>
      <w:r w:rsidRPr="00372D3D">
        <w:rPr>
          <w:rFonts w:ascii="Arial" w:eastAsia="Calibri" w:hAnsi="Arial" w:cs="Arial"/>
          <w:b/>
          <w:sz w:val="26"/>
          <w:szCs w:val="26"/>
        </w:rPr>
        <w:t xml:space="preserve"> </w:t>
      </w:r>
      <w:r>
        <w:rPr>
          <w:rFonts w:ascii="Arial" w:eastAsia="Calibri" w:hAnsi="Arial" w:cs="Arial"/>
          <w:sz w:val="26"/>
          <w:szCs w:val="26"/>
        </w:rPr>
        <w:t>interpu</w:t>
      </w:r>
      <w:r w:rsidRPr="00372D3D">
        <w:rPr>
          <w:rFonts w:ascii="Arial" w:eastAsia="Calibri" w:hAnsi="Arial" w:cs="Arial"/>
          <w:sz w:val="26"/>
          <w:szCs w:val="26"/>
        </w:rPr>
        <w:t>so en</w:t>
      </w:r>
      <w:r>
        <w:rPr>
          <w:rFonts w:ascii="Arial" w:eastAsia="Calibri" w:hAnsi="Arial" w:cs="Arial"/>
          <w:sz w:val="26"/>
          <w:szCs w:val="26"/>
        </w:rPr>
        <w:t xml:space="preserve"> su contra recurso de revisión. </w:t>
      </w:r>
    </w:p>
    <w:p w:rsidR="00B60D14" w:rsidRDefault="0086324C" w:rsidP="00B60D14">
      <w:pPr>
        <w:spacing w:line="360" w:lineRule="auto"/>
        <w:jc w:val="both"/>
        <w:rPr>
          <w:rFonts w:ascii="Arial" w:eastAsia="Calibri" w:hAnsi="Arial" w:cs="Arial"/>
          <w:bCs/>
          <w:sz w:val="26"/>
          <w:szCs w:val="26"/>
        </w:rPr>
      </w:pPr>
      <w:r>
        <w:rPr>
          <w:rFonts w:ascii="Arial" w:eastAsia="Calibri" w:hAnsi="Arial" w:cs="Arial"/>
          <w:b/>
          <w:bCs/>
          <w:sz w:val="26"/>
          <w:szCs w:val="26"/>
        </w:rPr>
        <w:tab/>
        <w:t xml:space="preserve">SEGUNDO. </w:t>
      </w:r>
      <w:r w:rsidR="00B60D14" w:rsidRPr="00B60D14">
        <w:rPr>
          <w:rFonts w:ascii="Arial" w:eastAsia="Calibri" w:hAnsi="Arial" w:cs="Arial"/>
          <w:bCs/>
          <w:sz w:val="26"/>
          <w:szCs w:val="26"/>
        </w:rPr>
        <w:t>Los puntos resolutivos de la sentencia recurrida son los siguientes</w:t>
      </w:r>
      <w:r w:rsidR="00B60D14" w:rsidRPr="00B60D14">
        <w:rPr>
          <w:rFonts w:ascii="Arial" w:eastAsia="Calibri" w:hAnsi="Arial" w:cs="Arial"/>
          <w:b/>
          <w:bCs/>
          <w:sz w:val="26"/>
          <w:szCs w:val="26"/>
        </w:rPr>
        <w:t xml:space="preserve">:  </w:t>
      </w:r>
    </w:p>
    <w:p w:rsidR="00F37F5B" w:rsidRDefault="00120984" w:rsidP="0086295A">
      <w:pPr>
        <w:spacing w:line="360" w:lineRule="auto"/>
        <w:ind w:left="567" w:right="474"/>
        <w:jc w:val="both"/>
        <w:rPr>
          <w:rFonts w:ascii="Arial" w:eastAsia="Calibri" w:hAnsi="Arial" w:cs="Arial"/>
          <w:b/>
          <w:bCs/>
          <w:i/>
        </w:rPr>
      </w:pPr>
      <w:r>
        <w:rPr>
          <w:rFonts w:ascii="Arial" w:eastAsia="Calibri" w:hAnsi="Arial" w:cs="Arial"/>
          <w:bCs/>
          <w:i/>
        </w:rPr>
        <w:t xml:space="preserve">        </w:t>
      </w:r>
      <w:r w:rsidR="0086324C" w:rsidRPr="001B054F">
        <w:rPr>
          <w:rFonts w:ascii="Arial" w:eastAsia="Calibri" w:hAnsi="Arial" w:cs="Arial"/>
          <w:bCs/>
          <w:i/>
        </w:rPr>
        <w:t>“</w:t>
      </w:r>
      <w:r w:rsidR="00B60D14" w:rsidRPr="00F37F5B">
        <w:rPr>
          <w:rFonts w:ascii="Arial" w:eastAsia="Calibri" w:hAnsi="Arial" w:cs="Arial"/>
          <w:b/>
          <w:bCs/>
          <w:i/>
        </w:rPr>
        <w:t>PRIMERO.</w:t>
      </w:r>
      <w:r w:rsidR="00F37F5B">
        <w:rPr>
          <w:rFonts w:ascii="Arial" w:eastAsia="Calibri" w:hAnsi="Arial" w:cs="Arial"/>
          <w:bCs/>
          <w:i/>
        </w:rPr>
        <w:t xml:space="preserve"> E</w:t>
      </w:r>
      <w:r w:rsidR="00B60D14">
        <w:rPr>
          <w:rFonts w:ascii="Arial" w:eastAsia="Calibri" w:hAnsi="Arial" w:cs="Arial"/>
          <w:bCs/>
          <w:i/>
        </w:rPr>
        <w:t xml:space="preserve">sta </w:t>
      </w:r>
      <w:r w:rsidR="0086295A">
        <w:rPr>
          <w:rFonts w:ascii="Arial" w:eastAsia="Calibri" w:hAnsi="Arial" w:cs="Arial"/>
          <w:bCs/>
          <w:i/>
        </w:rPr>
        <w:t>Séptima Sala fue competente para conocer y resolver del presente asunto.</w:t>
      </w:r>
      <w:r>
        <w:rPr>
          <w:rFonts w:ascii="Arial" w:eastAsia="Calibri" w:hAnsi="Arial" w:cs="Arial"/>
          <w:bCs/>
          <w:i/>
        </w:rPr>
        <w:t xml:space="preserve">- - - - - - - - - - - - - - - - - - - - - - - - - </w:t>
      </w:r>
      <w:r w:rsidR="00F37F5B">
        <w:rPr>
          <w:rFonts w:ascii="Arial" w:eastAsia="Calibri" w:hAnsi="Arial" w:cs="Arial"/>
          <w:bCs/>
          <w:i/>
        </w:rPr>
        <w:t xml:space="preserve">- - - </w:t>
      </w:r>
      <w:r w:rsidR="0086295A">
        <w:rPr>
          <w:rFonts w:ascii="Arial" w:eastAsia="Calibri" w:hAnsi="Arial" w:cs="Arial"/>
          <w:bCs/>
          <w:i/>
        </w:rPr>
        <w:t>- - - -</w:t>
      </w:r>
    </w:p>
    <w:p w:rsidR="00F37F5B" w:rsidRDefault="00F37F5B" w:rsidP="00F37F5B">
      <w:pPr>
        <w:spacing w:line="360" w:lineRule="auto"/>
        <w:ind w:left="567" w:right="474"/>
        <w:jc w:val="both"/>
        <w:rPr>
          <w:rFonts w:ascii="Arial" w:eastAsia="Calibri" w:hAnsi="Arial" w:cs="Arial"/>
          <w:bCs/>
          <w:i/>
        </w:rPr>
      </w:pPr>
      <w:r>
        <w:rPr>
          <w:rFonts w:ascii="Arial" w:eastAsia="Calibri" w:hAnsi="Arial" w:cs="Arial"/>
          <w:bCs/>
          <w:i/>
        </w:rPr>
        <w:t xml:space="preserve"> </w:t>
      </w:r>
      <w:r w:rsidR="00120984">
        <w:rPr>
          <w:rFonts w:ascii="Arial" w:eastAsia="Calibri" w:hAnsi="Arial" w:cs="Arial"/>
          <w:bCs/>
          <w:i/>
        </w:rPr>
        <w:t xml:space="preserve">        </w:t>
      </w:r>
      <w:r w:rsidR="00120984">
        <w:rPr>
          <w:rFonts w:ascii="Arial" w:eastAsia="Calibri" w:hAnsi="Arial" w:cs="Arial"/>
          <w:b/>
          <w:bCs/>
          <w:i/>
        </w:rPr>
        <w:t xml:space="preserve">SEGUNDO. </w:t>
      </w:r>
      <w:r w:rsidR="00120984">
        <w:rPr>
          <w:rFonts w:ascii="Arial" w:eastAsia="Calibri" w:hAnsi="Arial" w:cs="Arial"/>
          <w:bCs/>
          <w:i/>
        </w:rPr>
        <w:t>La personalidad de las partes quedó acreditada en autos</w:t>
      </w:r>
      <w:r>
        <w:rPr>
          <w:rFonts w:ascii="Arial" w:eastAsia="Calibri" w:hAnsi="Arial" w:cs="Arial"/>
          <w:bCs/>
          <w:i/>
        </w:rPr>
        <w:t xml:space="preserve">. - - - - - </w:t>
      </w:r>
      <w:r w:rsidR="00120984">
        <w:rPr>
          <w:rFonts w:ascii="Arial" w:eastAsia="Calibri" w:hAnsi="Arial" w:cs="Arial"/>
          <w:bCs/>
          <w:i/>
        </w:rPr>
        <w:t xml:space="preserve">- - - - - - - - - - - - - - - - - - - - - - - - - - - - - - - - - - - - - - - </w:t>
      </w:r>
      <w:r>
        <w:rPr>
          <w:rFonts w:ascii="Arial" w:eastAsia="Calibri" w:hAnsi="Arial" w:cs="Arial"/>
          <w:bCs/>
          <w:i/>
        </w:rPr>
        <w:t>- -</w:t>
      </w:r>
      <w:r w:rsidR="00120984">
        <w:rPr>
          <w:rFonts w:ascii="Arial" w:eastAsia="Calibri" w:hAnsi="Arial" w:cs="Arial"/>
          <w:bCs/>
          <w:i/>
        </w:rPr>
        <w:t xml:space="preserve"> - -</w:t>
      </w:r>
    </w:p>
    <w:p w:rsidR="00120984" w:rsidRDefault="00120984" w:rsidP="00120984">
      <w:pPr>
        <w:spacing w:line="360" w:lineRule="auto"/>
        <w:ind w:left="567" w:right="474"/>
        <w:jc w:val="both"/>
        <w:rPr>
          <w:rFonts w:ascii="Arial" w:eastAsia="Calibri" w:hAnsi="Arial" w:cs="Arial"/>
          <w:bCs/>
          <w:i/>
        </w:rPr>
      </w:pPr>
      <w:r>
        <w:rPr>
          <w:rFonts w:ascii="Arial" w:eastAsia="Calibri" w:hAnsi="Arial" w:cs="Arial"/>
          <w:b/>
          <w:bCs/>
          <w:i/>
        </w:rPr>
        <w:t xml:space="preserve">        </w:t>
      </w:r>
      <w:r w:rsidR="00F37F5B">
        <w:rPr>
          <w:rFonts w:ascii="Arial" w:eastAsia="Calibri" w:hAnsi="Arial" w:cs="Arial"/>
          <w:b/>
          <w:bCs/>
          <w:i/>
        </w:rPr>
        <w:t>TERCERO.</w:t>
      </w:r>
      <w:r w:rsidR="00F37F5B">
        <w:rPr>
          <w:rFonts w:ascii="Arial" w:eastAsia="Calibri" w:hAnsi="Arial" w:cs="Arial"/>
          <w:bCs/>
          <w:i/>
        </w:rPr>
        <w:t xml:space="preserve"> </w:t>
      </w:r>
      <w:r w:rsidR="0086295A">
        <w:rPr>
          <w:rFonts w:ascii="Arial" w:eastAsia="Calibri" w:hAnsi="Arial" w:cs="Arial"/>
          <w:bCs/>
          <w:i/>
        </w:rPr>
        <w:t xml:space="preserve">No se actualizaron las causales de improcedencia invocadas por la autoridad enjuiciada, por lo que NO SE </w:t>
      </w:r>
      <w:r w:rsidRPr="0086295A">
        <w:rPr>
          <w:rFonts w:ascii="Arial" w:eastAsia="Calibri" w:hAnsi="Arial" w:cs="Arial"/>
          <w:bCs/>
          <w:i/>
        </w:rPr>
        <w:t>SOBRESEE EL JUICIO</w:t>
      </w:r>
      <w:r>
        <w:rPr>
          <w:rFonts w:ascii="Arial" w:eastAsia="Calibri" w:hAnsi="Arial" w:cs="Arial"/>
          <w:bCs/>
          <w:i/>
        </w:rPr>
        <w:t xml:space="preserve">. - - - - - - - - - - - - - - - - - </w:t>
      </w:r>
      <w:r w:rsidR="0086295A">
        <w:rPr>
          <w:rFonts w:ascii="Arial" w:eastAsia="Calibri" w:hAnsi="Arial" w:cs="Arial"/>
          <w:bCs/>
          <w:i/>
        </w:rPr>
        <w:t xml:space="preserve">- - - - - - - - - - - - - - - - - - - - - - - - - - - - - </w:t>
      </w:r>
    </w:p>
    <w:p w:rsidR="00120984" w:rsidRDefault="00120984" w:rsidP="0086295A">
      <w:pPr>
        <w:spacing w:line="360" w:lineRule="auto"/>
        <w:ind w:left="567" w:right="474"/>
        <w:jc w:val="both"/>
        <w:rPr>
          <w:rFonts w:ascii="Arial" w:eastAsia="Calibri" w:hAnsi="Arial" w:cs="Arial"/>
          <w:bCs/>
          <w:i/>
        </w:rPr>
      </w:pPr>
      <w:r>
        <w:rPr>
          <w:rFonts w:ascii="Arial" w:eastAsia="Calibri" w:hAnsi="Arial" w:cs="Arial"/>
          <w:b/>
          <w:bCs/>
          <w:i/>
        </w:rPr>
        <w:lastRenderedPageBreak/>
        <w:t xml:space="preserve">        CUARTO</w:t>
      </w:r>
      <w:r w:rsidRPr="00120984">
        <w:rPr>
          <w:rFonts w:ascii="Arial" w:eastAsia="Calibri" w:hAnsi="Arial" w:cs="Arial"/>
          <w:bCs/>
          <w:i/>
        </w:rPr>
        <w:t>.</w:t>
      </w:r>
      <w:r>
        <w:rPr>
          <w:rFonts w:ascii="Arial" w:eastAsia="Calibri" w:hAnsi="Arial" w:cs="Arial"/>
          <w:bCs/>
          <w:i/>
        </w:rPr>
        <w:t xml:space="preserve"> Se declara</w:t>
      </w:r>
      <w:r w:rsidR="0086295A">
        <w:rPr>
          <w:rFonts w:ascii="Arial" w:eastAsia="Calibri" w:hAnsi="Arial" w:cs="Arial"/>
          <w:bCs/>
          <w:i/>
        </w:rPr>
        <w:t xml:space="preserve"> LA NULIDAD  de la resolución contenida en el oficio OP/DG/490/2017  de fecha diecisiete de febrero del año en curso. En consecuencia, se ordena (sic) CONSEJO DIRECTIVO DE LA OFICINA DE PENSIONES DEL GOBIERNO DEL ESTADO, emita nueva resolución tomando en cuenta las consideraciones puntualizadas en la parte final del considerando Quinto de esta resolución. - - - - - - - - - </w:t>
      </w:r>
      <w:r>
        <w:rPr>
          <w:rFonts w:ascii="Arial" w:eastAsia="Calibri" w:hAnsi="Arial" w:cs="Arial"/>
          <w:bCs/>
          <w:i/>
        </w:rPr>
        <w:t xml:space="preserve">- - - - - </w:t>
      </w:r>
    </w:p>
    <w:p w:rsidR="00120984" w:rsidRDefault="00120984" w:rsidP="00EE28F2">
      <w:pPr>
        <w:spacing w:after="240" w:line="360" w:lineRule="auto"/>
        <w:ind w:left="567" w:right="474"/>
        <w:jc w:val="both"/>
        <w:rPr>
          <w:rFonts w:ascii="Arial" w:eastAsia="Calibri" w:hAnsi="Arial" w:cs="Arial"/>
          <w:bCs/>
          <w:i/>
        </w:rPr>
      </w:pPr>
      <w:r>
        <w:rPr>
          <w:rFonts w:ascii="Arial" w:eastAsia="Calibri" w:hAnsi="Arial" w:cs="Arial"/>
          <w:b/>
          <w:bCs/>
          <w:i/>
        </w:rPr>
        <w:t xml:space="preserve">        QUINTO.</w:t>
      </w:r>
      <w:r w:rsidR="00093AD2">
        <w:rPr>
          <w:rFonts w:ascii="Arial" w:eastAsia="Calibri" w:hAnsi="Arial" w:cs="Arial"/>
          <w:bCs/>
          <w:i/>
        </w:rPr>
        <w:t xml:space="preserve"> </w:t>
      </w:r>
      <w:r w:rsidR="0086295A">
        <w:rPr>
          <w:rFonts w:ascii="Arial" w:eastAsia="Calibri" w:hAnsi="Arial" w:cs="Arial"/>
          <w:bCs/>
          <w:i/>
        </w:rPr>
        <w:t>Conforme a lo dispuesto por el artículo 142 fracción I, 143 fracción I y II de la Ley que rige este Tribunal, NOTIFÍQUESE PERSONALMENTE A LA PARTE ACTORA Y POR OFICIO A LA AUTORIDAD DEMANDADA</w:t>
      </w:r>
      <w:r w:rsidR="00093AD2">
        <w:rPr>
          <w:rFonts w:ascii="Arial" w:eastAsia="Calibri" w:hAnsi="Arial" w:cs="Arial"/>
          <w:bCs/>
          <w:i/>
        </w:rPr>
        <w:t>. - - - - - - - - - - - - - - - - - - - - - - - - -</w:t>
      </w:r>
      <w:r w:rsidR="00EE28F2">
        <w:rPr>
          <w:rFonts w:ascii="Arial" w:eastAsia="Calibri" w:hAnsi="Arial" w:cs="Arial"/>
          <w:bCs/>
          <w:i/>
        </w:rPr>
        <w:t xml:space="preserve"> - - - - - -”</w:t>
      </w:r>
    </w:p>
    <w:p w:rsidR="0086324C" w:rsidRPr="00372D3D" w:rsidRDefault="0086324C" w:rsidP="00EE28F2">
      <w:pPr>
        <w:spacing w:line="360" w:lineRule="auto"/>
        <w:ind w:left="567" w:right="474"/>
        <w:jc w:val="center"/>
        <w:rPr>
          <w:rFonts w:ascii="Arial" w:eastAsia="Times New Roman" w:hAnsi="Arial" w:cs="Arial"/>
          <w:bCs/>
          <w:iCs/>
          <w:lang w:eastAsia="es-ES"/>
        </w:rPr>
      </w:pPr>
      <w:r w:rsidRPr="00372D3D">
        <w:rPr>
          <w:rFonts w:ascii="Arial" w:eastAsia="Times New Roman" w:hAnsi="Arial" w:cs="Arial"/>
          <w:b/>
          <w:bCs/>
          <w:sz w:val="26"/>
          <w:szCs w:val="26"/>
          <w:lang w:eastAsia="es-ES"/>
        </w:rPr>
        <w:t>C O N S I D E R A N D O</w:t>
      </w:r>
    </w:p>
    <w:p w:rsidR="009041FC" w:rsidRDefault="00787AC6" w:rsidP="0086324C">
      <w:pPr>
        <w:widowControl w:val="0"/>
        <w:tabs>
          <w:tab w:val="left" w:pos="7938"/>
        </w:tabs>
        <w:spacing w:before="240" w:line="360" w:lineRule="auto"/>
        <w:ind w:right="18" w:firstLine="709"/>
        <w:jc w:val="both"/>
        <w:rPr>
          <w:rFonts w:ascii="Arial" w:eastAsia="Calibri" w:hAnsi="Arial" w:cs="Arial"/>
          <w:sz w:val="26"/>
          <w:szCs w:val="26"/>
        </w:rPr>
      </w:pPr>
      <w:r w:rsidRPr="006E349D">
        <w:rPr>
          <w:rFonts w:ascii="Arial" w:hAnsi="Arial" w:cs="Arial"/>
          <w:b/>
          <w:bCs/>
          <w:iCs/>
          <w:sz w:val="26"/>
          <w:szCs w:val="26"/>
        </w:rPr>
        <w:t xml:space="preserve">PRIMERO. </w:t>
      </w:r>
      <w:r>
        <w:rPr>
          <w:rFonts w:ascii="Arial" w:hAnsi="Arial" w:cs="Arial"/>
          <w:bCs/>
          <w:iCs/>
          <w:sz w:val="26"/>
          <w:szCs w:val="26"/>
        </w:rPr>
        <w:t xml:space="preserve">Esta Sala Superior es competente para conocer del presente asunto, </w:t>
      </w:r>
      <w:r>
        <w:rPr>
          <w:rFonts w:ascii="Arial" w:hAnsi="Arial" w:cs="Arial"/>
          <w:bCs/>
          <w:iCs/>
          <w:sz w:val="26"/>
          <w:szCs w:val="26"/>
          <w:lang w:eastAsia="es-ES"/>
        </w:rPr>
        <w:t>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w:t>
      </w:r>
      <w:r>
        <w:rPr>
          <w:rFonts w:ascii="Arial" w:hAnsi="Arial" w:cs="Arial"/>
          <w:bCs/>
          <w:iCs/>
          <w:sz w:val="26"/>
          <w:szCs w:val="26"/>
        </w:rPr>
        <w:t xml:space="preserve"> así como los diversos 86, 88, 92, 93, fracción I, 94, 201, 206 y 208, de la Ley de Justicia Administrativa para el Estado de Oaxaca</w:t>
      </w:r>
      <w:r w:rsidRPr="006E349D">
        <w:rPr>
          <w:rFonts w:ascii="Arial" w:hAnsi="Arial" w:cs="Arial"/>
          <w:bCs/>
          <w:iCs/>
          <w:sz w:val="26"/>
          <w:szCs w:val="26"/>
        </w:rPr>
        <w:t xml:space="preserve">, </w:t>
      </w:r>
      <w:r>
        <w:rPr>
          <w:rFonts w:ascii="Arial" w:hAnsi="Arial" w:cs="Arial"/>
          <w:bCs/>
          <w:iCs/>
          <w:sz w:val="26"/>
          <w:szCs w:val="26"/>
        </w:rPr>
        <w:t xml:space="preserve">vigente hasta el  veinte de octubre de dos mil diecisiete, </w:t>
      </w:r>
      <w:r w:rsidR="0086324C" w:rsidRPr="00002F3E">
        <w:rPr>
          <w:rFonts w:ascii="Arial" w:hAnsi="Arial" w:cs="Arial"/>
          <w:bCs/>
          <w:iCs/>
          <w:sz w:val="26"/>
          <w:szCs w:val="26"/>
          <w:lang w:eastAsia="es-ES"/>
        </w:rPr>
        <w:t>dado que se trata de un Recurso de Revisión interpuesto en contra</w:t>
      </w:r>
      <w:r w:rsidR="006F0C94">
        <w:rPr>
          <w:rFonts w:ascii="Arial" w:hAnsi="Arial" w:cs="Arial"/>
          <w:bCs/>
          <w:iCs/>
          <w:sz w:val="26"/>
          <w:szCs w:val="26"/>
          <w:lang w:eastAsia="es-ES"/>
        </w:rPr>
        <w:t xml:space="preserve"> la sentencia de fecha </w:t>
      </w:r>
      <w:r w:rsidR="009F4D2B">
        <w:rPr>
          <w:rFonts w:ascii="Arial" w:hAnsi="Arial" w:cs="Arial"/>
          <w:bCs/>
          <w:iCs/>
          <w:sz w:val="26"/>
          <w:szCs w:val="26"/>
          <w:lang w:eastAsia="es-ES"/>
        </w:rPr>
        <w:t>veintinueve de septiembre de dos mil diecisiete</w:t>
      </w:r>
      <w:r w:rsidR="0086324C">
        <w:rPr>
          <w:rFonts w:ascii="Arial" w:hAnsi="Arial" w:cs="Arial"/>
          <w:bCs/>
          <w:iCs/>
          <w:sz w:val="26"/>
          <w:szCs w:val="26"/>
          <w:lang w:eastAsia="es-ES"/>
        </w:rPr>
        <w:t xml:space="preserve">, </w:t>
      </w:r>
      <w:r w:rsidR="006F0C94">
        <w:rPr>
          <w:rFonts w:ascii="Arial" w:eastAsia="Calibri" w:hAnsi="Arial" w:cs="Arial"/>
          <w:sz w:val="26"/>
          <w:szCs w:val="26"/>
        </w:rPr>
        <w:t>dictada</w:t>
      </w:r>
      <w:r w:rsidR="009041FC">
        <w:rPr>
          <w:rFonts w:ascii="Arial" w:eastAsia="Calibri" w:hAnsi="Arial" w:cs="Arial"/>
          <w:sz w:val="26"/>
          <w:szCs w:val="26"/>
        </w:rPr>
        <w:t xml:space="preserve"> en el expediente</w:t>
      </w:r>
      <w:r w:rsidR="006F0C94">
        <w:rPr>
          <w:rFonts w:ascii="Arial" w:eastAsia="Calibri" w:hAnsi="Arial" w:cs="Arial"/>
          <w:b/>
          <w:sz w:val="26"/>
          <w:szCs w:val="26"/>
        </w:rPr>
        <w:t xml:space="preserve"> 0</w:t>
      </w:r>
      <w:r w:rsidR="009F4D2B">
        <w:rPr>
          <w:rFonts w:ascii="Arial" w:eastAsia="Calibri" w:hAnsi="Arial" w:cs="Arial"/>
          <w:b/>
          <w:sz w:val="26"/>
          <w:szCs w:val="26"/>
        </w:rPr>
        <w:t>27/2017</w:t>
      </w:r>
      <w:r w:rsidR="006F0C94">
        <w:rPr>
          <w:rFonts w:ascii="Arial" w:hAnsi="Arial" w:cs="Arial"/>
          <w:sz w:val="26"/>
          <w:szCs w:val="26"/>
        </w:rPr>
        <w:t xml:space="preserve">, del índice de la </w:t>
      </w:r>
      <w:r w:rsidR="009F4D2B">
        <w:rPr>
          <w:rFonts w:ascii="Arial" w:hAnsi="Arial" w:cs="Arial"/>
          <w:sz w:val="26"/>
          <w:szCs w:val="26"/>
        </w:rPr>
        <w:t>Séptima</w:t>
      </w:r>
      <w:r w:rsidR="009041FC">
        <w:rPr>
          <w:rFonts w:ascii="Arial" w:hAnsi="Arial" w:cs="Arial"/>
          <w:sz w:val="26"/>
          <w:szCs w:val="26"/>
        </w:rPr>
        <w:t xml:space="preserve"> Sala Unitaria de Primera Instancia de este Tribunal.</w:t>
      </w:r>
      <w:r w:rsidR="00F4677D">
        <w:rPr>
          <w:rFonts w:ascii="Arial" w:hAnsi="Arial" w:cs="Arial"/>
          <w:sz w:val="26"/>
          <w:szCs w:val="26"/>
        </w:rPr>
        <w:t xml:space="preserve"> </w:t>
      </w:r>
    </w:p>
    <w:p w:rsidR="0086324C" w:rsidRPr="00AB00F1" w:rsidRDefault="008F276B" w:rsidP="0086324C">
      <w:pPr>
        <w:spacing w:before="240" w:line="360" w:lineRule="auto"/>
        <w:ind w:firstLine="708"/>
        <w:jc w:val="both"/>
        <w:rPr>
          <w:rFonts w:ascii="Arial" w:hAnsi="Arial" w:cs="Arial"/>
          <w:bCs/>
          <w:sz w:val="26"/>
          <w:szCs w:val="26"/>
        </w:rPr>
      </w:pPr>
      <w:r>
        <w:rPr>
          <w:rFonts w:ascii="Times New Roman" w:hAnsi="Times New Roman" w:cs="Times New Roman"/>
          <w:noProof/>
          <w:sz w:val="24"/>
          <w:szCs w:val="24"/>
          <w:lang w:eastAsia="es-MX"/>
        </w:rPr>
        <mc:AlternateContent>
          <mc:Choice Requires="wps">
            <w:drawing>
              <wp:anchor distT="0" distB="0" distL="114300" distR="114300" simplePos="0" relativeHeight="251653632" behindDoc="0" locked="0" layoutInCell="1" allowOverlap="1" wp14:anchorId="0FF3E44B" wp14:editId="1A89B8D0">
                <wp:simplePos x="0" y="0"/>
                <wp:positionH relativeFrom="column">
                  <wp:posOffset>5486400</wp:posOffset>
                </wp:positionH>
                <wp:positionV relativeFrom="paragraph">
                  <wp:posOffset>367869</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8F276B" w:rsidRDefault="008F276B" w:rsidP="008F276B">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F3E44B" id="_x0000_t202" coordsize="21600,21600" o:spt="202" path="m,l,21600r21600,l21600,xe">
                <v:stroke joinstyle="miter"/>
                <v:path gradientshapeok="t" o:connecttype="rect"/>
              </v:shapetype>
              <v:shape id="Cuadro de texto 1" o:spid="_x0000_s1026" type="#_x0000_t202" style="position:absolute;left:0;text-align:left;margin-left:6in;margin-top:28.95pt;width:84.75pt;height:51.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">
                <v:textbox>
                  <w:txbxContent>
                    <w:p w:rsidR="008F276B" w:rsidRDefault="008F276B" w:rsidP="008F276B">
                      <w:pPr>
                        <w:rPr>
                          <w:sz w:val="16"/>
                          <w:szCs w:val="16"/>
                        </w:rPr>
                      </w:pPr>
                      <w:r>
                        <w:rPr>
                          <w:sz w:val="16"/>
                          <w:szCs w:val="16"/>
                        </w:rPr>
                        <w:t>Datos personales protegidos por el Art. 116 de la LGTAIP y el Art. 56 de la LTAIPEO</w:t>
                      </w:r>
                    </w:p>
                  </w:txbxContent>
                </v:textbox>
              </v:shape>
            </w:pict>
          </mc:Fallback>
        </mc:AlternateContent>
      </w:r>
      <w:r w:rsidR="0086324C" w:rsidRPr="006E349D">
        <w:rPr>
          <w:rFonts w:ascii="Arial" w:hAnsi="Arial" w:cs="Arial"/>
          <w:b/>
          <w:bCs/>
          <w:sz w:val="26"/>
          <w:szCs w:val="26"/>
        </w:rPr>
        <w:t>SEGUNDO.</w:t>
      </w:r>
      <w:r w:rsidR="0086324C" w:rsidRPr="006E349D">
        <w:rPr>
          <w:rFonts w:ascii="Arial" w:hAnsi="Arial" w:cs="Arial"/>
          <w:bCs/>
          <w:sz w:val="26"/>
          <w:szCs w:val="26"/>
        </w:rPr>
        <w:t xml:space="preserve"> Los agravios hechos valer se encuentran expuestos en el escrito respectivo de</w:t>
      </w:r>
      <w:r w:rsidR="0086324C">
        <w:rPr>
          <w:rFonts w:ascii="Arial" w:hAnsi="Arial" w:cs="Arial"/>
          <w:bCs/>
          <w:sz w:val="26"/>
          <w:szCs w:val="26"/>
        </w:rPr>
        <w:t xml:space="preserve">l </w:t>
      </w:r>
      <w:r w:rsidR="0086324C" w:rsidRPr="006E349D">
        <w:rPr>
          <w:rFonts w:ascii="Arial" w:hAnsi="Arial" w:cs="Arial"/>
          <w:bCs/>
          <w:sz w:val="26"/>
          <w:szCs w:val="26"/>
        </w:rPr>
        <w:t xml:space="preserve">recurrente, por lo que no existe necesidad de transcribirlos, </w:t>
      </w:r>
      <w:r w:rsidR="0086324C">
        <w:rPr>
          <w:rFonts w:ascii="Arial" w:hAnsi="Arial" w:cs="Arial"/>
          <w:bCs/>
          <w:sz w:val="26"/>
          <w:szCs w:val="26"/>
        </w:rPr>
        <w:t xml:space="preserve">al no </w:t>
      </w:r>
      <w:r w:rsidR="0086324C" w:rsidRPr="006E349D">
        <w:rPr>
          <w:rFonts w:ascii="Arial" w:hAnsi="Arial" w:cs="Arial"/>
          <w:bCs/>
          <w:sz w:val="26"/>
          <w:szCs w:val="26"/>
        </w:rPr>
        <w:t>transgre</w:t>
      </w:r>
      <w:r w:rsidR="0086324C">
        <w:rPr>
          <w:rFonts w:ascii="Arial" w:hAnsi="Arial" w:cs="Arial"/>
          <w:bCs/>
          <w:sz w:val="26"/>
          <w:szCs w:val="26"/>
        </w:rPr>
        <w:t xml:space="preserve">dirse </w:t>
      </w:r>
      <w:r w:rsidR="0086324C" w:rsidRPr="006E349D">
        <w:rPr>
          <w:rFonts w:ascii="Arial" w:hAnsi="Arial" w:cs="Arial"/>
          <w:bCs/>
          <w:sz w:val="26"/>
          <w:szCs w:val="26"/>
        </w:rPr>
        <w:t>derecho alguno, como tampoco se vulnera disposición expresa que imponga tal obligación</w:t>
      </w:r>
      <w:r w:rsidR="0086324C">
        <w:rPr>
          <w:rFonts w:ascii="Arial" w:hAnsi="Arial" w:cs="Arial"/>
          <w:sz w:val="26"/>
          <w:szCs w:val="26"/>
        </w:rPr>
        <w:t>.</w:t>
      </w:r>
      <w:r w:rsidR="00F4677D">
        <w:rPr>
          <w:rFonts w:ascii="Arial" w:hAnsi="Arial" w:cs="Arial"/>
          <w:sz w:val="26"/>
          <w:szCs w:val="26"/>
        </w:rPr>
        <w:t xml:space="preserve"> </w:t>
      </w:r>
    </w:p>
    <w:p w:rsidR="00572CC1" w:rsidRDefault="0086324C" w:rsidP="00572CC1">
      <w:pPr>
        <w:pStyle w:val="Sinespaciado"/>
        <w:spacing w:before="240" w:after="240" w:line="360" w:lineRule="auto"/>
        <w:ind w:firstLine="708"/>
        <w:jc w:val="both"/>
        <w:rPr>
          <w:rFonts w:ascii="Arial" w:hAnsi="Arial" w:cs="Arial"/>
          <w:bCs/>
          <w:color w:val="000000"/>
          <w:sz w:val="26"/>
          <w:szCs w:val="26"/>
          <w:lang w:val="es-MX"/>
        </w:rPr>
      </w:pPr>
      <w:r>
        <w:rPr>
          <w:rFonts w:ascii="Arial" w:hAnsi="Arial" w:cs="Arial"/>
          <w:b/>
          <w:bCs/>
          <w:color w:val="000000"/>
          <w:sz w:val="26"/>
          <w:szCs w:val="26"/>
          <w:lang w:val="es-MX"/>
        </w:rPr>
        <w:t xml:space="preserve">TERCERO. </w:t>
      </w:r>
      <w:r w:rsidR="00710EF4">
        <w:rPr>
          <w:rFonts w:ascii="Arial" w:hAnsi="Arial" w:cs="Arial"/>
          <w:bCs/>
          <w:color w:val="000000"/>
          <w:sz w:val="26"/>
          <w:szCs w:val="26"/>
          <w:lang w:val="es-MX"/>
        </w:rPr>
        <w:t>Manifiesta el recurrente que</w:t>
      </w:r>
      <w:r w:rsidR="00B274E8">
        <w:rPr>
          <w:rFonts w:ascii="Arial" w:hAnsi="Arial" w:cs="Arial"/>
          <w:bCs/>
          <w:color w:val="000000"/>
          <w:sz w:val="26"/>
          <w:szCs w:val="26"/>
          <w:lang w:val="es-MX"/>
        </w:rPr>
        <w:t xml:space="preserve"> </w:t>
      </w:r>
      <w:r w:rsidR="00572CC1">
        <w:rPr>
          <w:rFonts w:ascii="Arial" w:hAnsi="Arial" w:cs="Arial"/>
          <w:bCs/>
          <w:color w:val="000000"/>
          <w:sz w:val="26"/>
          <w:szCs w:val="26"/>
          <w:lang w:val="es-MX"/>
        </w:rPr>
        <w:t>le causa agravio la resolución impugnada, en virtud de que en su considerando QUINTO señala que el único beneficio que puede obtener como pensionado es el establecido en la fracción II, del artículo 54 de la Ley de Pensiones en vigor,</w:t>
      </w:r>
      <w:r w:rsidR="00724063">
        <w:rPr>
          <w:rFonts w:ascii="Arial" w:hAnsi="Arial" w:cs="Arial"/>
          <w:bCs/>
          <w:color w:val="000000"/>
          <w:sz w:val="26"/>
          <w:szCs w:val="26"/>
          <w:lang w:val="es-MX"/>
        </w:rPr>
        <w:t xml:space="preserve"> </w:t>
      </w:r>
      <w:r w:rsidR="00572CC1">
        <w:rPr>
          <w:rFonts w:ascii="Arial" w:hAnsi="Arial" w:cs="Arial"/>
          <w:bCs/>
          <w:color w:val="000000"/>
          <w:sz w:val="26"/>
          <w:szCs w:val="26"/>
          <w:lang w:val="es-MX"/>
        </w:rPr>
        <w:t xml:space="preserve">artículo que señala es inconstitucional y discriminatorio, al violentar sus derechos de igualdad jurídica y social, contenidos en los artículos 1º y 123, apartado B, fracción XI, inciso a) de la Constitución </w:t>
      </w:r>
      <w:r w:rsidR="00572CC1">
        <w:rPr>
          <w:rFonts w:ascii="Arial" w:hAnsi="Arial" w:cs="Arial"/>
          <w:bCs/>
          <w:color w:val="000000"/>
          <w:sz w:val="26"/>
          <w:szCs w:val="26"/>
          <w:lang w:val="es-MX"/>
        </w:rPr>
        <w:lastRenderedPageBreak/>
        <w:t xml:space="preserve">Federal, al dar trato desigual a los jubilados y a los pensionados, </w:t>
      </w:r>
      <w:r w:rsidR="00CA4F40">
        <w:rPr>
          <w:rFonts w:ascii="Arial" w:hAnsi="Arial" w:cs="Arial"/>
          <w:bCs/>
          <w:color w:val="000000"/>
          <w:sz w:val="26"/>
          <w:szCs w:val="26"/>
          <w:lang w:val="es-MX"/>
        </w:rPr>
        <w:t>sin atender  a que si bien los primeros permanecieron en servicio activo mayor número de años que los segundos, esa circunstancia ya se ve reflejada en el porcentaje de sueldo que se fija como pensión, pero no debe trascender a las prestaciones que integran su sueldo mientras se encontraba en servicio activo.</w:t>
      </w:r>
    </w:p>
    <w:p w:rsidR="00CA4F40" w:rsidRDefault="001117B6" w:rsidP="00572CC1">
      <w:pPr>
        <w:pStyle w:val="Sinespaciado"/>
        <w:spacing w:before="240" w:after="240" w:line="360" w:lineRule="auto"/>
        <w:ind w:firstLine="708"/>
        <w:jc w:val="both"/>
        <w:rPr>
          <w:rFonts w:ascii="Arial" w:hAnsi="Arial" w:cs="Arial"/>
          <w:bCs/>
          <w:color w:val="000000"/>
          <w:sz w:val="26"/>
          <w:szCs w:val="26"/>
          <w:lang w:val="es-MX"/>
        </w:rPr>
      </w:pPr>
      <w:r>
        <w:rPr>
          <w:rFonts w:ascii="Arial" w:hAnsi="Arial" w:cs="Arial"/>
          <w:bCs/>
          <w:color w:val="000000"/>
          <w:sz w:val="26"/>
          <w:szCs w:val="26"/>
          <w:lang w:val="es-MX"/>
        </w:rPr>
        <w:t>Agrega el disconforme, q</w:t>
      </w:r>
      <w:r w:rsidR="00CA4F40">
        <w:rPr>
          <w:rFonts w:ascii="Arial" w:hAnsi="Arial" w:cs="Arial"/>
          <w:bCs/>
          <w:color w:val="000000"/>
          <w:sz w:val="26"/>
          <w:szCs w:val="26"/>
          <w:lang w:val="es-MX"/>
        </w:rPr>
        <w:t>ue contrario a lo que argumenta la Juzgadora, la Ley de Pensiones para los Trabajadores del Gobierno del Estado, en ningún artículo establece que las jubilaciones sean solamente para los trabajadores de base o que las mismas sean derivadas de un Contrato Colectivo de Trab</w:t>
      </w:r>
      <w:r w:rsidR="003453F7">
        <w:rPr>
          <w:rFonts w:ascii="Arial" w:hAnsi="Arial" w:cs="Arial"/>
          <w:bCs/>
          <w:color w:val="000000"/>
          <w:sz w:val="26"/>
          <w:szCs w:val="26"/>
          <w:lang w:val="es-MX"/>
        </w:rPr>
        <w:t>ajo; que dicha ley en ningún momento señala que las jubilaciones son de naturaleza contractual o naturaleza legal, ya que el derecho a ser beneficiario de una pensión, sea cual fuere su denominación, jubilación, vejez, inhabilitación, fallecimiento, es un derecho humano y constitucional, protegido por el Convenio de la Organización Internacional del Trabajo 102 “Convenio sobre la Seguridad Social”  del que México forma parte y por lo que resulta obligatorio que las autoridades judiciales tomen en cuenta los derechos ahí consagrados, así como el artículo 123, apartado B, fracción XI, inciso a) de la Constitución Federal.</w:t>
      </w:r>
    </w:p>
    <w:p w:rsidR="003453F7" w:rsidRDefault="00CE12E0" w:rsidP="00572CC1">
      <w:pPr>
        <w:pStyle w:val="Sinespaciado"/>
        <w:spacing w:before="240" w:after="240" w:line="360" w:lineRule="auto"/>
        <w:ind w:firstLine="708"/>
        <w:jc w:val="both"/>
        <w:rPr>
          <w:rFonts w:ascii="Arial" w:hAnsi="Arial" w:cs="Arial"/>
          <w:bCs/>
          <w:color w:val="000000"/>
          <w:sz w:val="26"/>
          <w:szCs w:val="26"/>
          <w:lang w:val="es-MX"/>
        </w:rPr>
      </w:pPr>
      <w:r>
        <w:rPr>
          <w:rFonts w:ascii="Arial" w:hAnsi="Arial" w:cs="Arial"/>
          <w:bCs/>
          <w:color w:val="000000"/>
          <w:sz w:val="26"/>
          <w:szCs w:val="26"/>
          <w:lang w:val="es-MX"/>
        </w:rPr>
        <w:t xml:space="preserve">Indica el </w:t>
      </w:r>
      <w:r w:rsidR="001117B6">
        <w:rPr>
          <w:rFonts w:ascii="Arial" w:hAnsi="Arial" w:cs="Arial"/>
          <w:bCs/>
          <w:color w:val="000000"/>
          <w:sz w:val="26"/>
          <w:szCs w:val="26"/>
          <w:lang w:val="es-MX"/>
        </w:rPr>
        <w:t>quejoso</w:t>
      </w:r>
      <w:r>
        <w:rPr>
          <w:rFonts w:ascii="Arial" w:hAnsi="Arial" w:cs="Arial"/>
          <w:bCs/>
          <w:color w:val="000000"/>
          <w:sz w:val="26"/>
          <w:szCs w:val="26"/>
          <w:lang w:val="es-MX"/>
        </w:rPr>
        <w:t xml:space="preserve"> que la supresión de la previsión social múltiple, despensa, vida cara, quinquenios, aguinaldo, estímulo del día del jubilado y día de las madres para el caso de los pensionados, en el artículo 54 de la Ley de Pensiones, se traduce en un descuento indebido del monto de la pensión, resultando en consecuencia </w:t>
      </w:r>
      <w:proofErr w:type="spellStart"/>
      <w:r>
        <w:rPr>
          <w:rFonts w:ascii="Arial" w:hAnsi="Arial" w:cs="Arial"/>
          <w:bCs/>
          <w:color w:val="000000"/>
          <w:sz w:val="26"/>
          <w:szCs w:val="26"/>
          <w:lang w:val="es-MX"/>
        </w:rPr>
        <w:t>inconvencional</w:t>
      </w:r>
      <w:proofErr w:type="spellEnd"/>
      <w:r>
        <w:rPr>
          <w:rFonts w:ascii="Arial" w:hAnsi="Arial" w:cs="Arial"/>
          <w:bCs/>
          <w:color w:val="000000"/>
          <w:sz w:val="26"/>
          <w:szCs w:val="26"/>
          <w:lang w:val="es-MX"/>
        </w:rPr>
        <w:t>, al existir pronunciamiento del Pleno de la Suprema Corte de Justicia de la Nación,</w:t>
      </w:r>
      <w:r w:rsidR="001117B6">
        <w:rPr>
          <w:rFonts w:ascii="Arial" w:hAnsi="Arial" w:cs="Arial"/>
          <w:bCs/>
          <w:color w:val="000000"/>
          <w:sz w:val="26"/>
          <w:szCs w:val="26"/>
          <w:lang w:val="es-MX"/>
        </w:rPr>
        <w:t xml:space="preserve"> en el sentido de que las pensiones gozan de las medidas protectores del salario contenidas en el artículo 123, apartado B, de la Constitución Federal y por ende no son susceptibles descuentos, deducciones, retenciones o embargos no previstos en ley; que asimismo, y como lo establece el artículo 84 de la Ley Federal del Trabajo, el salario se integra con los pagos hechos en efectivo por cuota diaria, gratificaciones, percepciones, habitación, primas, comisiones, prestaciones en especie</w:t>
      </w:r>
      <w:r w:rsidR="00F16F3C">
        <w:rPr>
          <w:rFonts w:ascii="Arial" w:hAnsi="Arial" w:cs="Arial"/>
          <w:bCs/>
          <w:color w:val="000000"/>
          <w:sz w:val="26"/>
          <w:szCs w:val="26"/>
          <w:lang w:val="es-MX"/>
        </w:rPr>
        <w:t xml:space="preserve"> y cualquier otra cantidad o prestación que se entregue al trabajador por su labor</w:t>
      </w:r>
      <w:r w:rsidR="000356B8">
        <w:rPr>
          <w:rFonts w:ascii="Arial" w:hAnsi="Arial" w:cs="Arial"/>
          <w:bCs/>
          <w:color w:val="000000"/>
          <w:sz w:val="26"/>
          <w:szCs w:val="26"/>
          <w:lang w:val="es-MX"/>
        </w:rPr>
        <w:t xml:space="preserve"> e </w:t>
      </w:r>
      <w:r>
        <w:rPr>
          <w:rFonts w:ascii="Arial" w:hAnsi="Arial" w:cs="Arial"/>
          <w:bCs/>
          <w:color w:val="000000"/>
          <w:sz w:val="26"/>
          <w:szCs w:val="26"/>
          <w:lang w:val="es-MX"/>
        </w:rPr>
        <w:t xml:space="preserve">invoca la tesis de rubro “SEGURIDAD SOCIAL. LAS JUBILACIONES, PENSIONES U </w:t>
      </w:r>
      <w:r>
        <w:rPr>
          <w:rFonts w:ascii="Arial" w:hAnsi="Arial" w:cs="Arial"/>
          <w:bCs/>
          <w:color w:val="000000"/>
          <w:sz w:val="26"/>
          <w:szCs w:val="26"/>
          <w:lang w:val="es-MX"/>
        </w:rPr>
        <w:lastRenderedPageBreak/>
        <w:t>OTRAS FORMAS DE RETIRO GOZAN DE LAS MEDIDAS PROTECTORAS DEL SALARIO CONTENIDAS EN EL ARTÍCULO 123, APARTADOS A, FRACCIÓN VIII Y B, FRACCIÓN VI, DE LA CONSTITUCIÓN POLÍTICA DE LOS ESTADOS UNIDOS MEXICANOS.”</w:t>
      </w:r>
    </w:p>
    <w:p w:rsidR="008D32AA" w:rsidRDefault="00CF2E22" w:rsidP="00572CC1">
      <w:pPr>
        <w:pStyle w:val="Sinespaciado"/>
        <w:spacing w:before="240" w:after="240" w:line="360" w:lineRule="auto"/>
        <w:ind w:firstLine="708"/>
        <w:jc w:val="both"/>
        <w:rPr>
          <w:rFonts w:ascii="Arial" w:hAnsi="Arial" w:cs="Arial"/>
          <w:bCs/>
          <w:color w:val="000000"/>
          <w:sz w:val="26"/>
          <w:szCs w:val="26"/>
          <w:lang w:val="es-MX"/>
        </w:rPr>
      </w:pPr>
      <w:r>
        <w:rPr>
          <w:rFonts w:ascii="Arial" w:hAnsi="Arial" w:cs="Arial"/>
          <w:bCs/>
          <w:color w:val="000000"/>
          <w:sz w:val="26"/>
          <w:szCs w:val="26"/>
          <w:lang w:val="es-MX"/>
        </w:rPr>
        <w:t>Señala que</w:t>
      </w:r>
      <w:r w:rsidR="008D32AA">
        <w:rPr>
          <w:rFonts w:ascii="Arial" w:hAnsi="Arial" w:cs="Arial"/>
          <w:bCs/>
          <w:color w:val="000000"/>
          <w:sz w:val="26"/>
          <w:szCs w:val="26"/>
          <w:lang w:val="es-MX"/>
        </w:rPr>
        <w:t xml:space="preserve"> resulta evidente la </w:t>
      </w:r>
      <w:proofErr w:type="spellStart"/>
      <w:r w:rsidR="008D32AA">
        <w:rPr>
          <w:rFonts w:ascii="Arial" w:hAnsi="Arial" w:cs="Arial"/>
          <w:bCs/>
          <w:color w:val="000000"/>
          <w:sz w:val="26"/>
          <w:szCs w:val="26"/>
          <w:lang w:val="es-MX"/>
        </w:rPr>
        <w:t>inconvencionalidad</w:t>
      </w:r>
      <w:proofErr w:type="spellEnd"/>
      <w:r w:rsidR="008D32AA">
        <w:rPr>
          <w:rFonts w:ascii="Arial" w:hAnsi="Arial" w:cs="Arial"/>
          <w:bCs/>
          <w:color w:val="000000"/>
          <w:sz w:val="26"/>
          <w:szCs w:val="26"/>
          <w:lang w:val="es-MX"/>
        </w:rPr>
        <w:t xml:space="preserve"> del artículo 54 fracción II, de la Ley de Pensiones para los Trabajadores de</w:t>
      </w:r>
      <w:r w:rsidR="000356B8">
        <w:rPr>
          <w:rFonts w:ascii="Arial" w:hAnsi="Arial" w:cs="Arial"/>
          <w:bCs/>
          <w:color w:val="000000"/>
          <w:sz w:val="26"/>
          <w:szCs w:val="26"/>
          <w:lang w:val="es-MX"/>
        </w:rPr>
        <w:t>l Gobierno del Estado de Oaxaca y cita</w:t>
      </w:r>
      <w:r w:rsidR="008D32AA">
        <w:rPr>
          <w:rFonts w:ascii="Arial" w:hAnsi="Arial" w:cs="Arial"/>
          <w:bCs/>
          <w:color w:val="000000"/>
          <w:sz w:val="26"/>
          <w:szCs w:val="26"/>
          <w:lang w:val="es-MX"/>
        </w:rPr>
        <w:t xml:space="preserve"> el criterio sostenido por el Quinto Tribunal Colegiado en Mater</w:t>
      </w:r>
      <w:r w:rsidR="000356B8">
        <w:rPr>
          <w:rFonts w:ascii="Arial" w:hAnsi="Arial" w:cs="Arial"/>
          <w:bCs/>
          <w:color w:val="000000"/>
          <w:sz w:val="26"/>
          <w:szCs w:val="26"/>
          <w:lang w:val="es-MX"/>
        </w:rPr>
        <w:t>ia Civil del Primera Circuito</w:t>
      </w:r>
      <w:r w:rsidR="008D32AA">
        <w:rPr>
          <w:rFonts w:ascii="Arial" w:hAnsi="Arial" w:cs="Arial"/>
          <w:bCs/>
          <w:color w:val="000000"/>
          <w:sz w:val="26"/>
          <w:szCs w:val="26"/>
          <w:lang w:val="es-MX"/>
        </w:rPr>
        <w:t>: “DIGNIDAD HUMANA. SU NATURALEZA Y CONCEPTO”.</w:t>
      </w:r>
    </w:p>
    <w:p w:rsidR="008D32AA" w:rsidRDefault="00CF2E22" w:rsidP="00572CC1">
      <w:pPr>
        <w:pStyle w:val="Sinespaciado"/>
        <w:spacing w:before="240" w:after="240" w:line="360" w:lineRule="auto"/>
        <w:ind w:firstLine="708"/>
        <w:jc w:val="both"/>
        <w:rPr>
          <w:rFonts w:ascii="Arial" w:hAnsi="Arial" w:cs="Arial"/>
          <w:bCs/>
          <w:color w:val="000000"/>
          <w:sz w:val="26"/>
          <w:szCs w:val="26"/>
          <w:lang w:val="es-MX"/>
        </w:rPr>
      </w:pPr>
      <w:r>
        <w:rPr>
          <w:rFonts w:ascii="Arial" w:hAnsi="Arial" w:cs="Arial"/>
          <w:bCs/>
          <w:color w:val="000000"/>
          <w:sz w:val="26"/>
          <w:szCs w:val="26"/>
          <w:lang w:val="es-MX"/>
        </w:rPr>
        <w:t xml:space="preserve">Expone </w:t>
      </w:r>
      <w:r w:rsidR="008D32AA">
        <w:rPr>
          <w:rFonts w:ascii="Arial" w:hAnsi="Arial" w:cs="Arial"/>
          <w:bCs/>
          <w:color w:val="000000"/>
          <w:sz w:val="26"/>
          <w:szCs w:val="26"/>
          <w:lang w:val="es-MX"/>
        </w:rPr>
        <w:t>que como consecuencia resulta violatorio de los derechos humanos de igualdad jurídica y social, contenidos en los artículos 1º y 123, apartado B, fracción XI, inciso</w:t>
      </w:r>
      <w:r w:rsidR="00B1170F">
        <w:rPr>
          <w:rFonts w:ascii="Arial" w:hAnsi="Arial" w:cs="Arial"/>
          <w:bCs/>
          <w:color w:val="000000"/>
          <w:sz w:val="26"/>
          <w:szCs w:val="26"/>
          <w:lang w:val="es-MX"/>
        </w:rPr>
        <w:t xml:space="preserve"> a), de la Constitución Política de los Estados Unidos Mexicanos, al dar trato diferencial a los jubilados y a los pensionados.</w:t>
      </w:r>
    </w:p>
    <w:p w:rsidR="00B1170F" w:rsidRDefault="00CF2E22" w:rsidP="00572CC1">
      <w:pPr>
        <w:pStyle w:val="Sinespaciado"/>
        <w:spacing w:before="240" w:after="240" w:line="360" w:lineRule="auto"/>
        <w:ind w:firstLine="708"/>
        <w:jc w:val="both"/>
        <w:rPr>
          <w:rFonts w:ascii="Arial" w:hAnsi="Arial" w:cs="Arial"/>
          <w:bCs/>
          <w:color w:val="000000"/>
          <w:sz w:val="26"/>
          <w:szCs w:val="26"/>
          <w:lang w:val="es-MX"/>
        </w:rPr>
      </w:pPr>
      <w:r>
        <w:rPr>
          <w:rFonts w:ascii="Arial" w:hAnsi="Arial" w:cs="Arial"/>
          <w:bCs/>
          <w:color w:val="000000"/>
          <w:sz w:val="26"/>
          <w:szCs w:val="26"/>
          <w:lang w:val="es-MX"/>
        </w:rPr>
        <w:t>Continúa diciendo que los</w:t>
      </w:r>
      <w:r w:rsidR="00B1170F">
        <w:rPr>
          <w:rFonts w:ascii="Arial" w:hAnsi="Arial" w:cs="Arial"/>
          <w:bCs/>
          <w:color w:val="000000"/>
          <w:sz w:val="26"/>
          <w:szCs w:val="26"/>
          <w:lang w:val="es-MX"/>
        </w:rPr>
        <w:t xml:space="preserve"> derechos de igualdad general y a la no discriminación previstos en el artículo 1º de la Constitución Política de los Estados Unidos Mexicanos, implica</w:t>
      </w:r>
      <w:r w:rsidR="006119CB">
        <w:rPr>
          <w:rFonts w:ascii="Arial" w:hAnsi="Arial" w:cs="Arial"/>
          <w:bCs/>
          <w:color w:val="000000"/>
          <w:sz w:val="26"/>
          <w:szCs w:val="26"/>
          <w:lang w:val="es-MX"/>
        </w:rPr>
        <w:t>n</w:t>
      </w:r>
      <w:r w:rsidR="00B1170F">
        <w:rPr>
          <w:rFonts w:ascii="Arial" w:hAnsi="Arial" w:cs="Arial"/>
          <w:bCs/>
          <w:color w:val="000000"/>
          <w:sz w:val="26"/>
          <w:szCs w:val="26"/>
          <w:lang w:val="es-MX"/>
        </w:rPr>
        <w:t xml:space="preserve"> que las autoridades no traten diferente a los individuos en una misma situación jurídica e invoca la jurisprudencia de rubro “IGUALDAD. CRITERIOS QUE DEBEN OBSERVARSE EN EL CONTROL DE LA CONSTITUCIONALIDAD DE NORMAS QUE SE ESTIMAN VIOLATORIAS DE DICHA GARANTÍA.”</w:t>
      </w:r>
    </w:p>
    <w:p w:rsidR="002C6022" w:rsidRDefault="008F276B" w:rsidP="000D2E73">
      <w:pPr>
        <w:pStyle w:val="Sinespaciado"/>
        <w:spacing w:before="240" w:after="240" w:line="360" w:lineRule="auto"/>
        <w:ind w:firstLine="708"/>
        <w:jc w:val="both"/>
        <w:rPr>
          <w:rFonts w:ascii="Arial"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6704" behindDoc="0" locked="0" layoutInCell="1" allowOverlap="1" wp14:anchorId="11F0B128" wp14:editId="59C8FDF5">
                <wp:simplePos x="0" y="0"/>
                <wp:positionH relativeFrom="column">
                  <wp:posOffset>5710687</wp:posOffset>
                </wp:positionH>
                <wp:positionV relativeFrom="paragraph">
                  <wp:posOffset>362118</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8F276B" w:rsidRDefault="008F276B" w:rsidP="008F276B">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F0B128" id="Cuadro de texto 2" o:spid="_x0000_s1027" type="#_x0000_t202" style="position:absolute;left:0;text-align:left;margin-left:449.65pt;margin-top:28.5pt;width:84.75pt;height:5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g8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">
                <v:textbox>
                  <w:txbxContent>
                    <w:p w:rsidR="008F276B" w:rsidRDefault="008F276B" w:rsidP="008F276B">
                      <w:pPr>
                        <w:rPr>
                          <w:sz w:val="16"/>
                          <w:szCs w:val="16"/>
                        </w:rPr>
                      </w:pPr>
                      <w:r>
                        <w:rPr>
                          <w:sz w:val="16"/>
                          <w:szCs w:val="16"/>
                        </w:rPr>
                        <w:t>Datos personales protegidos por el Art. 116 de la LGTAIP y el Art. 56 de la LTAIPEO</w:t>
                      </w:r>
                    </w:p>
                  </w:txbxContent>
                </v:textbox>
              </v:shape>
            </w:pict>
          </mc:Fallback>
        </mc:AlternateContent>
      </w:r>
      <w:r w:rsidR="00B1170F">
        <w:rPr>
          <w:rFonts w:ascii="Arial" w:hAnsi="Arial" w:cs="Arial"/>
          <w:bCs/>
          <w:color w:val="000000"/>
          <w:sz w:val="26"/>
          <w:szCs w:val="26"/>
          <w:lang w:val="es-MX"/>
        </w:rPr>
        <w:t xml:space="preserve">Ahora bien, de </w:t>
      </w:r>
      <w:r w:rsidR="00572CC1" w:rsidRPr="00A823AE">
        <w:rPr>
          <w:rFonts w:ascii="Arial" w:hAnsi="Arial" w:cs="Arial"/>
          <w:sz w:val="26"/>
          <w:szCs w:val="26"/>
        </w:rPr>
        <w:t>los autos del juicio que fueron remitidos para la solución del presente asunto y que tiene pleno valor probatorio en términos del artículo 173, fracción I de la Ley de Justicia Administrativa para el Estado de Oaxaca</w:t>
      </w:r>
      <w:r w:rsidR="00B1170F">
        <w:rPr>
          <w:rFonts w:ascii="Arial" w:hAnsi="Arial" w:cs="Arial"/>
          <w:sz w:val="26"/>
          <w:szCs w:val="26"/>
        </w:rPr>
        <w:t>,</w:t>
      </w:r>
      <w:r w:rsidR="00572CC1" w:rsidRPr="00A823AE">
        <w:rPr>
          <w:rFonts w:ascii="Arial" w:hAnsi="Arial" w:cs="Arial"/>
          <w:sz w:val="26"/>
          <w:szCs w:val="26"/>
        </w:rPr>
        <w:t xml:space="preserve"> </w:t>
      </w:r>
      <w:r w:rsidR="0008646E">
        <w:rPr>
          <w:rFonts w:ascii="Arial" w:hAnsi="Arial" w:cs="Arial"/>
          <w:sz w:val="26"/>
          <w:szCs w:val="26"/>
        </w:rPr>
        <w:t xml:space="preserve">vigente hasta el veinte de octubre de dos mil diecisiete, </w:t>
      </w:r>
      <w:r w:rsidR="00572CC1" w:rsidRPr="00A823AE">
        <w:rPr>
          <w:rFonts w:ascii="Arial" w:hAnsi="Arial" w:cs="Arial"/>
          <w:sz w:val="26"/>
          <w:szCs w:val="26"/>
        </w:rPr>
        <w:t xml:space="preserve">por tratarse de actuaciones judiciales, se </w:t>
      </w:r>
      <w:r w:rsidR="00B1170F">
        <w:rPr>
          <w:rFonts w:ascii="Arial" w:hAnsi="Arial" w:cs="Arial"/>
          <w:sz w:val="26"/>
          <w:szCs w:val="26"/>
        </w:rPr>
        <w:t>advierte que</w:t>
      </w:r>
      <w:r w:rsidR="00652127">
        <w:rPr>
          <w:rFonts w:ascii="Arial" w:hAnsi="Arial" w:cs="Arial"/>
          <w:sz w:val="26"/>
          <w:szCs w:val="26"/>
        </w:rPr>
        <w:t xml:space="preserve"> el quejoso, en su escrito de demanda,</w:t>
      </w:r>
      <w:r w:rsidR="00652127" w:rsidRPr="00A823AE">
        <w:rPr>
          <w:rFonts w:ascii="Arial" w:hAnsi="Arial" w:cs="Arial"/>
          <w:sz w:val="26"/>
          <w:szCs w:val="26"/>
        </w:rPr>
        <w:t xml:space="preserve"> vierte los mismos argumentos</w:t>
      </w:r>
      <w:r w:rsidR="000D2E73">
        <w:rPr>
          <w:rFonts w:ascii="Arial" w:hAnsi="Arial" w:cs="Arial"/>
          <w:sz w:val="26"/>
          <w:szCs w:val="26"/>
        </w:rPr>
        <w:t xml:space="preserve"> que los expuestos en la parte relativa del concepto de impugnación marcado como “PRIMERO”</w:t>
      </w:r>
      <w:r w:rsidR="000D2E73" w:rsidRPr="00A823AE">
        <w:rPr>
          <w:rFonts w:ascii="Arial" w:hAnsi="Arial" w:cs="Arial"/>
          <w:sz w:val="26"/>
          <w:szCs w:val="26"/>
        </w:rPr>
        <w:t>,</w:t>
      </w:r>
      <w:r w:rsidR="000D2E73">
        <w:rPr>
          <w:rFonts w:ascii="Arial" w:hAnsi="Arial" w:cs="Arial"/>
          <w:sz w:val="26"/>
          <w:szCs w:val="26"/>
        </w:rPr>
        <w:t xml:space="preserve"> sólo que en esta instancia los perfecciona;</w:t>
      </w:r>
      <w:r w:rsidR="000D2E73" w:rsidRPr="00A823AE">
        <w:rPr>
          <w:rFonts w:ascii="Arial" w:hAnsi="Arial" w:cs="Arial"/>
          <w:sz w:val="26"/>
          <w:szCs w:val="26"/>
        </w:rPr>
        <w:t xml:space="preserve"> </w:t>
      </w:r>
      <w:proofErr w:type="gramStart"/>
      <w:r w:rsidR="000D2E73" w:rsidRPr="00A823AE">
        <w:rPr>
          <w:rFonts w:ascii="Arial" w:hAnsi="Arial" w:cs="Arial"/>
          <w:sz w:val="26"/>
          <w:szCs w:val="26"/>
        </w:rPr>
        <w:t>de</w:t>
      </w:r>
      <w:proofErr w:type="gramEnd"/>
      <w:r w:rsidR="000D2E73" w:rsidRPr="00A823AE">
        <w:rPr>
          <w:rFonts w:ascii="Arial" w:hAnsi="Arial" w:cs="Arial"/>
          <w:sz w:val="26"/>
          <w:szCs w:val="26"/>
        </w:rPr>
        <w:t xml:space="preserve"> ahí que sus expresiones no puedan ser tomadas como verdadero agravio</w:t>
      </w:r>
      <w:r w:rsidR="000D2E73">
        <w:rPr>
          <w:rFonts w:ascii="Arial" w:hAnsi="Arial" w:cs="Arial"/>
          <w:sz w:val="26"/>
          <w:szCs w:val="26"/>
        </w:rPr>
        <w:t>,</w:t>
      </w:r>
      <w:r w:rsidR="000D2E73" w:rsidRPr="00A823AE">
        <w:rPr>
          <w:rFonts w:ascii="Arial" w:hAnsi="Arial" w:cs="Arial"/>
          <w:sz w:val="26"/>
          <w:szCs w:val="26"/>
        </w:rPr>
        <w:t xml:space="preserve"> en virtud de que no exponen la ilegalidad que presumiblemente se haya originado con el dictado </w:t>
      </w:r>
      <w:r w:rsidR="000D2E73">
        <w:rPr>
          <w:rFonts w:ascii="Arial" w:hAnsi="Arial" w:cs="Arial"/>
          <w:sz w:val="26"/>
          <w:szCs w:val="26"/>
        </w:rPr>
        <w:t>de la sentencia recurrida</w:t>
      </w:r>
      <w:r w:rsidR="002C6022">
        <w:rPr>
          <w:rFonts w:ascii="Arial" w:hAnsi="Arial" w:cs="Arial"/>
          <w:sz w:val="26"/>
          <w:szCs w:val="26"/>
        </w:rPr>
        <w:t xml:space="preserve">. </w:t>
      </w:r>
    </w:p>
    <w:p w:rsidR="000D2E73" w:rsidRDefault="002C6022" w:rsidP="000D2E73">
      <w:pPr>
        <w:pStyle w:val="Sinespaciado"/>
        <w:spacing w:before="240" w:after="240" w:line="360" w:lineRule="auto"/>
        <w:ind w:firstLine="708"/>
        <w:jc w:val="both"/>
        <w:rPr>
          <w:rFonts w:ascii="Arial" w:hAnsi="Arial" w:cs="Arial"/>
          <w:sz w:val="26"/>
          <w:szCs w:val="26"/>
        </w:rPr>
      </w:pPr>
      <w:r>
        <w:rPr>
          <w:rFonts w:ascii="Arial" w:hAnsi="Arial" w:cs="Arial"/>
          <w:sz w:val="26"/>
          <w:szCs w:val="26"/>
        </w:rPr>
        <w:lastRenderedPageBreak/>
        <w:t>E</w:t>
      </w:r>
      <w:r w:rsidR="000D2E73">
        <w:rPr>
          <w:rFonts w:ascii="Arial" w:hAnsi="Arial" w:cs="Arial"/>
          <w:sz w:val="26"/>
          <w:szCs w:val="26"/>
        </w:rPr>
        <w:t>sto en virtud de que el</w:t>
      </w:r>
      <w:r w:rsidR="000D2E73" w:rsidRPr="00A823AE">
        <w:rPr>
          <w:rFonts w:ascii="Arial" w:hAnsi="Arial" w:cs="Arial"/>
          <w:sz w:val="26"/>
          <w:szCs w:val="26"/>
        </w:rPr>
        <w:t xml:space="preserve"> recurso de revisión tiene por objetivo analizar la inexactitud o imprecisión en que haya incurrido la juzgadora primigenia en su determinación y no es el medio para analizar </w:t>
      </w:r>
      <w:r w:rsidR="000D2E73">
        <w:rPr>
          <w:rFonts w:ascii="Arial" w:hAnsi="Arial" w:cs="Arial"/>
          <w:sz w:val="26"/>
          <w:szCs w:val="26"/>
        </w:rPr>
        <w:t>las cuestiones sometidas</w:t>
      </w:r>
      <w:r w:rsidR="000D2E73" w:rsidRPr="00A823AE">
        <w:rPr>
          <w:rFonts w:ascii="Arial" w:hAnsi="Arial" w:cs="Arial"/>
          <w:sz w:val="26"/>
          <w:szCs w:val="26"/>
        </w:rPr>
        <w:t xml:space="preserve"> a </w:t>
      </w:r>
      <w:r w:rsidR="00351FFD">
        <w:rPr>
          <w:rFonts w:ascii="Arial" w:hAnsi="Arial" w:cs="Arial"/>
          <w:sz w:val="26"/>
          <w:szCs w:val="26"/>
        </w:rPr>
        <w:t>su consideración</w:t>
      </w:r>
      <w:r w:rsidR="000D2E73" w:rsidRPr="00A823AE">
        <w:rPr>
          <w:rFonts w:ascii="Arial" w:hAnsi="Arial" w:cs="Arial"/>
          <w:sz w:val="26"/>
          <w:szCs w:val="26"/>
        </w:rPr>
        <w:t xml:space="preserve">. </w:t>
      </w:r>
    </w:p>
    <w:p w:rsidR="00347458" w:rsidRDefault="00347458" w:rsidP="00347458">
      <w:pPr>
        <w:pStyle w:val="Sinespaciado"/>
        <w:spacing w:before="240" w:after="240" w:line="360" w:lineRule="auto"/>
        <w:ind w:firstLine="708"/>
        <w:jc w:val="both"/>
        <w:rPr>
          <w:rFonts w:ascii="Arial" w:hAnsi="Arial" w:cs="Arial"/>
          <w:sz w:val="26"/>
          <w:szCs w:val="26"/>
        </w:rPr>
      </w:pPr>
      <w:r>
        <w:rPr>
          <w:rFonts w:ascii="Arial" w:hAnsi="Arial" w:cs="Arial"/>
          <w:sz w:val="26"/>
          <w:szCs w:val="26"/>
        </w:rPr>
        <w:t xml:space="preserve">Por tanto, </w:t>
      </w:r>
      <w:r w:rsidR="00AD73EA">
        <w:rPr>
          <w:rFonts w:ascii="Arial" w:hAnsi="Arial" w:cs="Arial"/>
          <w:sz w:val="26"/>
          <w:szCs w:val="26"/>
        </w:rPr>
        <w:t>las manifestaciones vertidas por el recurrente devienen</w:t>
      </w:r>
      <w:r>
        <w:rPr>
          <w:rFonts w:ascii="Arial" w:hAnsi="Arial" w:cs="Arial"/>
          <w:sz w:val="26"/>
          <w:szCs w:val="26"/>
        </w:rPr>
        <w:t xml:space="preserve"> </w:t>
      </w:r>
      <w:r>
        <w:rPr>
          <w:rFonts w:ascii="Arial" w:hAnsi="Arial" w:cs="Arial"/>
          <w:b/>
          <w:sz w:val="26"/>
          <w:szCs w:val="26"/>
        </w:rPr>
        <w:t>inoperante</w:t>
      </w:r>
      <w:r w:rsidR="00AD73EA">
        <w:rPr>
          <w:rFonts w:ascii="Arial" w:hAnsi="Arial" w:cs="Arial"/>
          <w:b/>
          <w:sz w:val="26"/>
          <w:szCs w:val="26"/>
        </w:rPr>
        <w:t>s</w:t>
      </w:r>
      <w:r>
        <w:rPr>
          <w:rFonts w:ascii="Arial" w:hAnsi="Arial" w:cs="Arial"/>
          <w:sz w:val="26"/>
          <w:szCs w:val="26"/>
        </w:rPr>
        <w:t xml:space="preserve">, porque como ya se dijo, únicamente se limita a reproducir los argumentos que hicieron valer </w:t>
      </w:r>
      <w:r w:rsidR="00AD73EA">
        <w:rPr>
          <w:rFonts w:ascii="Arial" w:hAnsi="Arial" w:cs="Arial"/>
          <w:sz w:val="26"/>
          <w:szCs w:val="26"/>
        </w:rPr>
        <w:t xml:space="preserve">en su escrito de demanda consistentes en que </w:t>
      </w:r>
      <w:r w:rsidR="00AD73EA" w:rsidRPr="00D376AD">
        <w:rPr>
          <w:rFonts w:ascii="Arial" w:hAnsi="Arial" w:cs="Arial"/>
          <w:color w:val="000000" w:themeColor="text1"/>
          <w:sz w:val="26"/>
          <w:szCs w:val="26"/>
        </w:rPr>
        <w:t>la fracción II del artículo 154 de la Ley de Pensiones</w:t>
      </w:r>
      <w:r w:rsidR="002C6022" w:rsidRPr="00D376AD">
        <w:rPr>
          <w:rFonts w:ascii="Arial" w:hAnsi="Arial" w:cs="Arial"/>
          <w:color w:val="000000" w:themeColor="text1"/>
          <w:sz w:val="26"/>
          <w:szCs w:val="26"/>
        </w:rPr>
        <w:t xml:space="preserve"> </w:t>
      </w:r>
      <w:r w:rsidR="002C6022" w:rsidRPr="00D376AD">
        <w:rPr>
          <w:rFonts w:ascii="Arial" w:hAnsi="Arial" w:cs="Arial"/>
          <w:bCs/>
          <w:color w:val="000000" w:themeColor="text1"/>
          <w:sz w:val="26"/>
          <w:szCs w:val="26"/>
          <w:lang w:val="es-MX"/>
        </w:rPr>
        <w:t xml:space="preserve">para los Trabajadores del Gobierno del Estado </w:t>
      </w:r>
      <w:r w:rsidR="00AD73EA" w:rsidRPr="00D376AD">
        <w:rPr>
          <w:rFonts w:ascii="Arial" w:hAnsi="Arial" w:cs="Arial"/>
          <w:color w:val="000000" w:themeColor="text1"/>
          <w:sz w:val="26"/>
          <w:szCs w:val="26"/>
        </w:rPr>
        <w:t xml:space="preserve">es inconstitucional e </w:t>
      </w:r>
      <w:proofErr w:type="spellStart"/>
      <w:r w:rsidR="00AD73EA" w:rsidRPr="00D376AD">
        <w:rPr>
          <w:rFonts w:ascii="Arial" w:hAnsi="Arial" w:cs="Arial"/>
          <w:color w:val="000000" w:themeColor="text1"/>
          <w:sz w:val="26"/>
          <w:szCs w:val="26"/>
        </w:rPr>
        <w:t>inconvencional</w:t>
      </w:r>
      <w:proofErr w:type="spellEnd"/>
      <w:r w:rsidR="00AD73EA" w:rsidRPr="00D376AD">
        <w:rPr>
          <w:rFonts w:ascii="Arial" w:hAnsi="Arial" w:cs="Arial"/>
          <w:color w:val="000000" w:themeColor="text1"/>
          <w:sz w:val="26"/>
          <w:szCs w:val="26"/>
        </w:rPr>
        <w:t>, al dar un trato diferente a los jubilados y a los pensionados</w:t>
      </w:r>
      <w:r w:rsidR="00AD73EA" w:rsidRPr="002C6022">
        <w:rPr>
          <w:rFonts w:ascii="Arial" w:hAnsi="Arial" w:cs="Arial"/>
          <w:color w:val="000000" w:themeColor="text1"/>
          <w:sz w:val="26"/>
          <w:szCs w:val="26"/>
        </w:rPr>
        <w:t>;</w:t>
      </w:r>
      <w:r>
        <w:rPr>
          <w:rFonts w:ascii="Arial" w:hAnsi="Arial" w:cs="Arial"/>
          <w:sz w:val="26"/>
          <w:szCs w:val="26"/>
        </w:rPr>
        <w:t xml:space="preserve"> sin combatir de manera alguna </w:t>
      </w:r>
      <w:r w:rsidRPr="00D05B37">
        <w:rPr>
          <w:rFonts w:ascii="Arial" w:hAnsi="Arial" w:cs="Arial"/>
          <w:sz w:val="26"/>
          <w:szCs w:val="26"/>
        </w:rPr>
        <w:t xml:space="preserve">los argumentos </w:t>
      </w:r>
      <w:r>
        <w:rPr>
          <w:rFonts w:ascii="Arial" w:hAnsi="Arial" w:cs="Arial"/>
          <w:sz w:val="26"/>
          <w:szCs w:val="26"/>
        </w:rPr>
        <w:t xml:space="preserve">sostenidos por la </w:t>
      </w:r>
      <w:r w:rsidR="00C9209A">
        <w:rPr>
          <w:rFonts w:ascii="Arial" w:hAnsi="Arial" w:cs="Arial"/>
          <w:sz w:val="26"/>
          <w:szCs w:val="26"/>
        </w:rPr>
        <w:t>sala primigenia</w:t>
      </w:r>
      <w:r w:rsidR="00AD73EA">
        <w:rPr>
          <w:rFonts w:ascii="Arial" w:hAnsi="Arial" w:cs="Arial"/>
          <w:sz w:val="26"/>
          <w:szCs w:val="26"/>
        </w:rPr>
        <w:t xml:space="preserve"> en la resolución impugnada</w:t>
      </w:r>
      <w:r>
        <w:rPr>
          <w:rFonts w:ascii="Arial" w:hAnsi="Arial" w:cs="Arial"/>
          <w:sz w:val="26"/>
          <w:szCs w:val="26"/>
        </w:rPr>
        <w:t xml:space="preserve">, que es materia del presente </w:t>
      </w:r>
      <w:r w:rsidR="00AD73EA">
        <w:rPr>
          <w:rFonts w:ascii="Arial" w:hAnsi="Arial" w:cs="Arial"/>
          <w:sz w:val="26"/>
          <w:szCs w:val="26"/>
        </w:rPr>
        <w:t>recurso</w:t>
      </w:r>
      <w:r>
        <w:rPr>
          <w:rFonts w:ascii="Arial" w:hAnsi="Arial" w:cs="Arial"/>
          <w:sz w:val="26"/>
          <w:szCs w:val="26"/>
        </w:rPr>
        <w:t xml:space="preserve">; por lo que </w:t>
      </w:r>
      <w:r w:rsidR="00AD73EA">
        <w:rPr>
          <w:rFonts w:ascii="Arial" w:hAnsi="Arial" w:cs="Arial"/>
          <w:sz w:val="26"/>
          <w:szCs w:val="26"/>
        </w:rPr>
        <w:t>esta instancia</w:t>
      </w:r>
      <w:r>
        <w:rPr>
          <w:rFonts w:ascii="Arial" w:hAnsi="Arial" w:cs="Arial"/>
          <w:sz w:val="26"/>
          <w:szCs w:val="26"/>
        </w:rPr>
        <w:t xml:space="preserve"> </w:t>
      </w:r>
      <w:r w:rsidRPr="00D05B37">
        <w:rPr>
          <w:rFonts w:ascii="Arial" w:hAnsi="Arial" w:cs="Arial"/>
          <w:sz w:val="26"/>
          <w:szCs w:val="26"/>
        </w:rPr>
        <w:t xml:space="preserve">no está obligado a estudiar los conceptos de </w:t>
      </w:r>
      <w:r>
        <w:rPr>
          <w:rFonts w:ascii="Arial" w:hAnsi="Arial" w:cs="Arial"/>
          <w:sz w:val="26"/>
          <w:szCs w:val="26"/>
        </w:rPr>
        <w:t xml:space="preserve">impugnación </w:t>
      </w:r>
      <w:r w:rsidRPr="00D05B37">
        <w:rPr>
          <w:rFonts w:ascii="Arial" w:hAnsi="Arial" w:cs="Arial"/>
          <w:sz w:val="26"/>
          <w:szCs w:val="26"/>
        </w:rPr>
        <w:t xml:space="preserve">que simplemente reiteran </w:t>
      </w:r>
      <w:r w:rsidR="00351FFD">
        <w:rPr>
          <w:rFonts w:ascii="Arial" w:hAnsi="Arial" w:cs="Arial"/>
          <w:sz w:val="26"/>
          <w:szCs w:val="26"/>
        </w:rPr>
        <w:t>cuestiones</w:t>
      </w:r>
      <w:r w:rsidRPr="00D05B37">
        <w:rPr>
          <w:rFonts w:ascii="Arial" w:hAnsi="Arial" w:cs="Arial"/>
          <w:sz w:val="26"/>
          <w:szCs w:val="26"/>
        </w:rPr>
        <w:t xml:space="preserve"> ya expresad</w:t>
      </w:r>
      <w:r w:rsidR="00DC2F6D">
        <w:rPr>
          <w:rFonts w:ascii="Arial" w:hAnsi="Arial" w:cs="Arial"/>
          <w:sz w:val="26"/>
          <w:szCs w:val="26"/>
        </w:rPr>
        <w:t>a</w:t>
      </w:r>
      <w:r w:rsidRPr="00D05B37">
        <w:rPr>
          <w:rFonts w:ascii="Arial" w:hAnsi="Arial" w:cs="Arial"/>
          <w:sz w:val="26"/>
          <w:szCs w:val="26"/>
        </w:rPr>
        <w:t xml:space="preserve">s y que no aportan algún elemento nuevo inclinado a demostrar </w:t>
      </w:r>
      <w:r>
        <w:rPr>
          <w:rFonts w:ascii="Arial" w:hAnsi="Arial" w:cs="Arial"/>
          <w:sz w:val="26"/>
          <w:szCs w:val="26"/>
        </w:rPr>
        <w:t>la ilegalidad de la resolución impugnada</w:t>
      </w:r>
      <w:r w:rsidRPr="00D05B37">
        <w:rPr>
          <w:rFonts w:ascii="Arial" w:hAnsi="Arial" w:cs="Arial"/>
          <w:sz w:val="26"/>
          <w:szCs w:val="26"/>
        </w:rPr>
        <w:t>.</w:t>
      </w:r>
    </w:p>
    <w:p w:rsidR="00347458" w:rsidRPr="00F70AD0" w:rsidRDefault="00347458" w:rsidP="00347458">
      <w:pPr>
        <w:spacing w:line="360" w:lineRule="auto"/>
        <w:ind w:right="49" w:firstLine="708"/>
        <w:jc w:val="both"/>
        <w:rPr>
          <w:rFonts w:ascii="Arial" w:hAnsi="Arial" w:cs="Arial"/>
          <w:sz w:val="26"/>
          <w:szCs w:val="26"/>
        </w:rPr>
      </w:pPr>
      <w:r w:rsidRPr="00F70AD0">
        <w:rPr>
          <w:rFonts w:ascii="Arial" w:hAnsi="Arial" w:cs="Arial"/>
          <w:sz w:val="26"/>
          <w:szCs w:val="26"/>
        </w:rPr>
        <w:t>A</w:t>
      </w:r>
      <w:r>
        <w:rPr>
          <w:rFonts w:ascii="Arial" w:hAnsi="Arial" w:cs="Arial"/>
          <w:sz w:val="26"/>
          <w:szCs w:val="26"/>
        </w:rPr>
        <w:t>l</w:t>
      </w:r>
      <w:r w:rsidRPr="00F70AD0">
        <w:rPr>
          <w:rFonts w:ascii="Arial" w:hAnsi="Arial" w:cs="Arial"/>
          <w:sz w:val="26"/>
          <w:szCs w:val="26"/>
        </w:rPr>
        <w:t xml:space="preserve"> respecto, conviene indicar que los conceptos de impugnación deben contener la expresión de la lesión que se presuma se haya cometido, sin que sea suficiente repetir lo que </w:t>
      </w:r>
      <w:r w:rsidR="00FA6314">
        <w:rPr>
          <w:rFonts w:ascii="Arial" w:hAnsi="Arial" w:cs="Arial"/>
          <w:sz w:val="26"/>
          <w:szCs w:val="26"/>
        </w:rPr>
        <w:t>ya se hizo valer en</w:t>
      </w:r>
      <w:r w:rsidR="00AD73EA">
        <w:rPr>
          <w:rFonts w:ascii="Arial" w:hAnsi="Arial" w:cs="Arial"/>
          <w:sz w:val="26"/>
          <w:szCs w:val="26"/>
        </w:rPr>
        <w:t xml:space="preserve"> primera instancia</w:t>
      </w:r>
      <w:r w:rsidRPr="00F70AD0">
        <w:rPr>
          <w:rFonts w:ascii="Arial" w:hAnsi="Arial" w:cs="Arial"/>
          <w:sz w:val="26"/>
          <w:szCs w:val="26"/>
        </w:rPr>
        <w:t>, en parte porque ya existió pronunciamiento respecto a tales puntos y en un segundo plano, porque la reiteración de inconformidades no evidencia</w:t>
      </w:r>
      <w:r w:rsidR="00775208">
        <w:rPr>
          <w:rFonts w:ascii="Arial" w:hAnsi="Arial" w:cs="Arial"/>
          <w:sz w:val="26"/>
          <w:szCs w:val="26"/>
        </w:rPr>
        <w:t xml:space="preserve"> la ilegalidad de la autoridad; toda vez que</w:t>
      </w:r>
      <w:r w:rsidRPr="00F70AD0">
        <w:rPr>
          <w:rFonts w:ascii="Arial" w:hAnsi="Arial" w:cs="Arial"/>
          <w:sz w:val="26"/>
          <w:szCs w:val="26"/>
        </w:rPr>
        <w:t xml:space="preserve"> ante esta instancia, lo conducente era que manifestara las presumibles ilegalidades cometidas </w:t>
      </w:r>
      <w:r w:rsidR="00775208">
        <w:rPr>
          <w:rFonts w:ascii="Arial" w:hAnsi="Arial" w:cs="Arial"/>
          <w:sz w:val="26"/>
          <w:szCs w:val="26"/>
        </w:rPr>
        <w:t>en la sentencia combatida</w:t>
      </w:r>
      <w:r w:rsidRPr="00F70AD0">
        <w:rPr>
          <w:rFonts w:ascii="Arial" w:hAnsi="Arial" w:cs="Arial"/>
          <w:sz w:val="26"/>
          <w:szCs w:val="26"/>
        </w:rPr>
        <w:t xml:space="preserve">. </w:t>
      </w:r>
    </w:p>
    <w:p w:rsidR="00EA7274" w:rsidRDefault="00775208" w:rsidP="00B1170F">
      <w:pPr>
        <w:pStyle w:val="Sinespaciado"/>
        <w:spacing w:before="240" w:after="240" w:line="360" w:lineRule="auto"/>
        <w:ind w:firstLine="708"/>
        <w:jc w:val="both"/>
        <w:rPr>
          <w:rFonts w:ascii="Arial" w:hAnsi="Arial" w:cs="Arial"/>
          <w:sz w:val="26"/>
          <w:szCs w:val="26"/>
        </w:rPr>
      </w:pPr>
      <w:r>
        <w:rPr>
          <w:rFonts w:ascii="Arial" w:hAnsi="Arial" w:cs="Arial"/>
          <w:sz w:val="26"/>
          <w:szCs w:val="26"/>
        </w:rPr>
        <w:t xml:space="preserve">Esto </w:t>
      </w:r>
      <w:r w:rsidR="00572CC1" w:rsidRPr="00A823AE">
        <w:rPr>
          <w:rFonts w:ascii="Arial" w:hAnsi="Arial" w:cs="Arial"/>
          <w:sz w:val="26"/>
          <w:szCs w:val="26"/>
        </w:rPr>
        <w:t xml:space="preserve">es así, porque el recurso de revisión tiene por objetivo analizar la inexactitud o imprecisión en que haya incurrido la juzgadora primigenia en su determinación y no es el medio para analizar la litis sometida a la consideración de la juzgadora de origen. </w:t>
      </w:r>
    </w:p>
    <w:p w:rsidR="00EA7274" w:rsidRPr="00EA7274" w:rsidRDefault="00775208" w:rsidP="00EA7274">
      <w:pPr>
        <w:pStyle w:val="Sinespaciado"/>
        <w:spacing w:before="240" w:after="240" w:line="360" w:lineRule="auto"/>
        <w:ind w:firstLine="708"/>
        <w:jc w:val="both"/>
        <w:rPr>
          <w:rFonts w:ascii="Arial" w:hAnsi="Arial" w:cs="Arial"/>
          <w:sz w:val="26"/>
          <w:szCs w:val="26"/>
        </w:rPr>
      </w:pPr>
      <w:r>
        <w:rPr>
          <w:rFonts w:ascii="Arial" w:hAnsi="Arial" w:cs="Arial"/>
          <w:sz w:val="26"/>
          <w:szCs w:val="26"/>
        </w:rPr>
        <w:t xml:space="preserve">Lo </w:t>
      </w:r>
      <w:r w:rsidR="00C9209A">
        <w:rPr>
          <w:rFonts w:ascii="Arial" w:hAnsi="Arial" w:cs="Arial"/>
          <w:sz w:val="26"/>
          <w:szCs w:val="26"/>
        </w:rPr>
        <w:t xml:space="preserve">que </w:t>
      </w:r>
      <w:r>
        <w:rPr>
          <w:rFonts w:ascii="Arial" w:hAnsi="Arial" w:cs="Arial"/>
          <w:sz w:val="26"/>
          <w:szCs w:val="26"/>
        </w:rPr>
        <w:t>encuentra</w:t>
      </w:r>
      <w:r w:rsidR="00EA7274">
        <w:rPr>
          <w:rFonts w:ascii="Arial" w:hAnsi="Arial" w:cs="Arial"/>
          <w:sz w:val="26"/>
          <w:szCs w:val="26"/>
        </w:rPr>
        <w:t xml:space="preserve"> apoyo en la Jurisprudencia de la </w:t>
      </w:r>
      <w:r w:rsidR="00EA7274" w:rsidRPr="00EA7274">
        <w:rPr>
          <w:rFonts w:ascii="Arial" w:hAnsi="Arial" w:cs="Arial"/>
          <w:sz w:val="26"/>
          <w:szCs w:val="26"/>
        </w:rPr>
        <w:t>Décima Época</w:t>
      </w:r>
      <w:r w:rsidR="00EA7274">
        <w:rPr>
          <w:rFonts w:ascii="Arial" w:hAnsi="Arial" w:cs="Arial"/>
          <w:sz w:val="26"/>
          <w:szCs w:val="26"/>
        </w:rPr>
        <w:t xml:space="preserve">, con número de registro </w:t>
      </w:r>
      <w:r w:rsidR="00EA7274" w:rsidRPr="00EA7274">
        <w:rPr>
          <w:rFonts w:ascii="Arial" w:hAnsi="Arial" w:cs="Arial"/>
          <w:sz w:val="26"/>
          <w:szCs w:val="26"/>
        </w:rPr>
        <w:t>159974</w:t>
      </w:r>
      <w:r w:rsidR="00EA7274">
        <w:rPr>
          <w:rFonts w:ascii="Arial" w:hAnsi="Arial" w:cs="Arial"/>
          <w:sz w:val="26"/>
          <w:szCs w:val="26"/>
        </w:rPr>
        <w:t xml:space="preserve">, emitida por </w:t>
      </w:r>
      <w:r w:rsidR="00EA7274" w:rsidRPr="00EA7274">
        <w:rPr>
          <w:rFonts w:ascii="Arial" w:hAnsi="Arial" w:cs="Arial"/>
          <w:sz w:val="26"/>
          <w:szCs w:val="26"/>
        </w:rPr>
        <w:t xml:space="preserve"> </w:t>
      </w:r>
      <w:r w:rsidR="00EA7274">
        <w:rPr>
          <w:rFonts w:ascii="Arial" w:hAnsi="Arial" w:cs="Arial"/>
          <w:sz w:val="26"/>
          <w:szCs w:val="26"/>
        </w:rPr>
        <w:t xml:space="preserve">el </w:t>
      </w:r>
      <w:r w:rsidR="00EA7274" w:rsidRPr="00EA7274">
        <w:rPr>
          <w:rFonts w:ascii="Arial" w:hAnsi="Arial" w:cs="Arial"/>
          <w:sz w:val="26"/>
          <w:szCs w:val="26"/>
        </w:rPr>
        <w:t xml:space="preserve">Tercer Tribunal Colegiado </w:t>
      </w:r>
      <w:r w:rsidR="00EA7274">
        <w:rPr>
          <w:rFonts w:ascii="Arial" w:hAnsi="Arial" w:cs="Arial"/>
          <w:sz w:val="26"/>
          <w:szCs w:val="26"/>
        </w:rPr>
        <w:t>en</w:t>
      </w:r>
      <w:r w:rsidR="00EA7274" w:rsidRPr="00EA7274">
        <w:rPr>
          <w:rFonts w:ascii="Arial" w:hAnsi="Arial" w:cs="Arial"/>
          <w:sz w:val="26"/>
          <w:szCs w:val="26"/>
        </w:rPr>
        <w:t xml:space="preserve"> Materia Administrativa </w:t>
      </w:r>
      <w:r w:rsidR="00EA7274">
        <w:rPr>
          <w:rFonts w:ascii="Arial" w:hAnsi="Arial" w:cs="Arial"/>
          <w:sz w:val="26"/>
          <w:szCs w:val="26"/>
        </w:rPr>
        <w:t>del</w:t>
      </w:r>
      <w:r w:rsidR="00EA7274" w:rsidRPr="00EA7274">
        <w:rPr>
          <w:rFonts w:ascii="Arial" w:hAnsi="Arial" w:cs="Arial"/>
          <w:sz w:val="26"/>
          <w:szCs w:val="26"/>
        </w:rPr>
        <w:t xml:space="preserve"> Cuarto Circuito</w:t>
      </w:r>
      <w:r w:rsidR="00EA7274">
        <w:rPr>
          <w:rFonts w:ascii="Arial" w:hAnsi="Arial" w:cs="Arial"/>
          <w:sz w:val="26"/>
          <w:szCs w:val="26"/>
        </w:rPr>
        <w:t>, publicada en el</w:t>
      </w:r>
      <w:r w:rsidR="00EA7274" w:rsidRPr="00EA7274">
        <w:rPr>
          <w:rFonts w:ascii="Arial" w:hAnsi="Arial" w:cs="Arial"/>
          <w:sz w:val="26"/>
          <w:szCs w:val="26"/>
        </w:rPr>
        <w:t xml:space="preserve"> Semanario Judicial de la Federación y su Gaceta</w:t>
      </w:r>
      <w:r w:rsidR="00EA7274">
        <w:rPr>
          <w:rFonts w:ascii="Arial" w:hAnsi="Arial" w:cs="Arial"/>
          <w:sz w:val="26"/>
          <w:szCs w:val="26"/>
        </w:rPr>
        <w:t xml:space="preserve">, </w:t>
      </w:r>
      <w:r w:rsidR="00EA7274" w:rsidRPr="00EA7274">
        <w:rPr>
          <w:rFonts w:ascii="Arial" w:hAnsi="Arial" w:cs="Arial"/>
          <w:sz w:val="26"/>
          <w:szCs w:val="26"/>
        </w:rPr>
        <w:t>Libro XII, Septiembre de 2012</w:t>
      </w:r>
      <w:r w:rsidR="00EA7274">
        <w:rPr>
          <w:rFonts w:ascii="Arial" w:hAnsi="Arial" w:cs="Arial"/>
          <w:sz w:val="26"/>
          <w:szCs w:val="26"/>
        </w:rPr>
        <w:t xml:space="preserve"> dos mil doce</w:t>
      </w:r>
      <w:r w:rsidR="00EA7274" w:rsidRPr="00EA7274">
        <w:rPr>
          <w:rFonts w:ascii="Arial" w:hAnsi="Arial" w:cs="Arial"/>
          <w:sz w:val="26"/>
          <w:szCs w:val="26"/>
        </w:rPr>
        <w:t>, Tomo 3</w:t>
      </w:r>
      <w:r w:rsidR="00EA7274">
        <w:rPr>
          <w:rFonts w:ascii="Arial" w:hAnsi="Arial" w:cs="Arial"/>
          <w:sz w:val="26"/>
          <w:szCs w:val="26"/>
        </w:rPr>
        <w:t xml:space="preserve">, visible en la página </w:t>
      </w:r>
      <w:r w:rsidR="00EA7274" w:rsidRPr="00EA7274">
        <w:rPr>
          <w:rFonts w:ascii="Arial" w:hAnsi="Arial" w:cs="Arial"/>
          <w:sz w:val="26"/>
          <w:szCs w:val="26"/>
        </w:rPr>
        <w:t>1347</w:t>
      </w:r>
      <w:r w:rsidR="00EA7274">
        <w:rPr>
          <w:rFonts w:ascii="Arial" w:hAnsi="Arial" w:cs="Arial"/>
          <w:sz w:val="26"/>
          <w:szCs w:val="26"/>
        </w:rPr>
        <w:t xml:space="preserve">, de rubro y tenor siguientes: </w:t>
      </w:r>
      <w:r w:rsidR="00EA7274" w:rsidRPr="00EA7274">
        <w:rPr>
          <w:rFonts w:ascii="Arial" w:hAnsi="Arial" w:cs="Arial"/>
          <w:sz w:val="26"/>
          <w:szCs w:val="26"/>
        </w:rPr>
        <w:t xml:space="preserve"> </w:t>
      </w:r>
    </w:p>
    <w:p w:rsidR="00EA7274" w:rsidRPr="00C9209A" w:rsidRDefault="00EA7274" w:rsidP="00C9209A">
      <w:pPr>
        <w:pStyle w:val="Sinespaciado"/>
        <w:spacing w:before="240" w:after="240" w:line="276" w:lineRule="auto"/>
        <w:ind w:left="709" w:right="616"/>
        <w:jc w:val="both"/>
        <w:rPr>
          <w:rFonts w:ascii="Arial" w:hAnsi="Arial" w:cs="Arial"/>
          <w:i/>
        </w:rPr>
      </w:pPr>
      <w:r>
        <w:rPr>
          <w:rFonts w:ascii="Arial" w:hAnsi="Arial" w:cs="Arial"/>
          <w:b/>
          <w:i/>
        </w:rPr>
        <w:lastRenderedPageBreak/>
        <w:t>“</w:t>
      </w:r>
      <w:r w:rsidRPr="00EA7274">
        <w:rPr>
          <w:rFonts w:ascii="Arial" w:hAnsi="Arial" w:cs="Arial"/>
          <w:b/>
          <w:i/>
        </w:rPr>
        <w:t>AGRAVIOS INOPERANTES EN LA REVISIÓN FISCAL. LO SON AQUELLOS QUE EN LUGAR DE CONTROVERTIR LA OMISIÓN O INEXACTITUD DE LA SALA A QUO EN EL ANÁLISIS DE LOS ARGUMENTOS DE DEFENSA EXPUESTOS EN LA DEMANDA SÓLO LOS REPRODUCEN</w:t>
      </w:r>
      <w:r w:rsidRPr="00EA7274">
        <w:rPr>
          <w:rFonts w:ascii="Arial" w:hAnsi="Arial" w:cs="Arial"/>
          <w:i/>
        </w:rPr>
        <w:t>. Los agravios en la revisión fiscal son inoperantes si lo alegado en ellos se limita a reproducir el planteamiento defensivo que se esbozó ante la instancia natural para sustentar la validez del acto o actos materia del juicio contencioso administrativo, en lugar de controvertir la omisión o inexactitud de la Sala a quo en el análisis de los argumentos a ese fin estructurados, merced a que la litis, tratándose del mencionado recurso, se circunscribe a examinar la legalidad o no de la determinación que la autoridad jurisdiccional de origen asumió frente a las exposiciones defensivas hechas valer, pero no a estudiar, de primera mano, el tema de discusión en el contexto primario, ya que de no estimarlo así, se inobservaría la técnica procesal que rige al comentado medio extraordinario de impugnación.</w:t>
      </w:r>
      <w:r>
        <w:rPr>
          <w:rFonts w:ascii="Arial" w:hAnsi="Arial" w:cs="Arial"/>
          <w:i/>
        </w:rPr>
        <w:t>”</w:t>
      </w:r>
    </w:p>
    <w:p w:rsidR="00C9209A" w:rsidRPr="00C9209A" w:rsidRDefault="008F276B" w:rsidP="00DF0936">
      <w:pPr>
        <w:spacing w:after="240" w:line="360" w:lineRule="auto"/>
        <w:ind w:firstLine="708"/>
        <w:jc w:val="both"/>
        <w:rPr>
          <w:rFonts w:ascii="Arial" w:hAnsi="Arial" w:cs="Arial"/>
          <w:sz w:val="26"/>
          <w:szCs w:val="26"/>
        </w:rPr>
      </w:pPr>
      <w:r>
        <w:rPr>
          <w:rFonts w:ascii="Times New Roman" w:hAnsi="Times New Roman" w:cs="Times New Roman"/>
          <w:noProof/>
          <w:sz w:val="24"/>
          <w:szCs w:val="24"/>
          <w:lang w:eastAsia="es-MX"/>
        </w:rPr>
        <mc:AlternateContent>
          <mc:Choice Requires="wps">
            <w:drawing>
              <wp:anchor distT="0" distB="0" distL="114300" distR="114300" simplePos="0" relativeHeight="251657728" behindDoc="0" locked="0" layoutInCell="1" allowOverlap="1" wp14:anchorId="7DEC2F98" wp14:editId="68EAC464">
                <wp:simplePos x="0" y="0"/>
                <wp:positionH relativeFrom="column">
                  <wp:posOffset>5641675</wp:posOffset>
                </wp:positionH>
                <wp:positionV relativeFrom="paragraph">
                  <wp:posOffset>4253949</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8F276B" w:rsidRDefault="008F276B" w:rsidP="008F276B">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EC2F98" id="Cuadro de texto 3" o:spid="_x0000_s1028" type="#_x0000_t202" style="position:absolute;left:0;text-align:left;margin-left:444.25pt;margin-top:334.95pt;width:84.75pt;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">
                <v:textbox>
                  <w:txbxContent>
                    <w:p w:rsidR="008F276B" w:rsidRDefault="008F276B" w:rsidP="008F276B">
                      <w:pPr>
                        <w:rPr>
                          <w:sz w:val="16"/>
                          <w:szCs w:val="16"/>
                        </w:rPr>
                      </w:pPr>
                      <w:r>
                        <w:rPr>
                          <w:sz w:val="16"/>
                          <w:szCs w:val="16"/>
                        </w:rPr>
                        <w:t>Datos personales protegidos por el Art. 116 de la LGTAIP y el Art. 56 de la LTAIPEO</w:t>
                      </w:r>
                    </w:p>
                  </w:txbxContent>
                </v:textbox>
              </v:shape>
            </w:pict>
          </mc:Fallback>
        </mc:AlternateContent>
      </w:r>
      <w:r w:rsidR="00C9209A">
        <w:rPr>
          <w:rFonts w:ascii="Arial" w:hAnsi="Arial" w:cs="Arial"/>
          <w:sz w:val="26"/>
          <w:szCs w:val="26"/>
        </w:rPr>
        <w:t>Sin que sea óbice a lo anterior que el recurrente señale que</w:t>
      </w:r>
      <w:r w:rsidR="00C9209A">
        <w:rPr>
          <w:rFonts w:ascii="Arial" w:hAnsi="Arial" w:cs="Arial"/>
          <w:bCs/>
          <w:color w:val="000000"/>
          <w:sz w:val="26"/>
          <w:szCs w:val="26"/>
        </w:rPr>
        <w:t xml:space="preserve"> contrario a lo argumentado po</w:t>
      </w:r>
      <w:r w:rsidR="00DF0936">
        <w:rPr>
          <w:rFonts w:ascii="Arial" w:hAnsi="Arial" w:cs="Arial"/>
          <w:bCs/>
          <w:color w:val="000000"/>
          <w:sz w:val="26"/>
          <w:szCs w:val="26"/>
        </w:rPr>
        <w:t>r la Magistrada de Primera I</w:t>
      </w:r>
      <w:r w:rsidR="00C9209A">
        <w:rPr>
          <w:rFonts w:ascii="Arial" w:hAnsi="Arial" w:cs="Arial"/>
          <w:bCs/>
          <w:color w:val="000000"/>
          <w:sz w:val="26"/>
          <w:szCs w:val="26"/>
        </w:rPr>
        <w:t xml:space="preserve">nstancia, la Ley de Pensiones para los Trabajadores del Gobierno del Estado, en ningún artículo establece que las jubilaciones sean solamente para los trabajadores de base o que las mismas sean derivadas de un Contrato Colectivo de Trabajo y que dicha ley tampoco señala que las jubilaciones son de naturaleza contractual o legal; pues con ello de manera alguna controvierte los argumentos torales de la A quo, consistentes en que </w:t>
      </w:r>
      <w:r w:rsidR="00C9209A" w:rsidRPr="00D376AD">
        <w:rPr>
          <w:rFonts w:ascii="Arial" w:hAnsi="Arial" w:cs="Arial"/>
          <w:bCs/>
          <w:color w:val="000000"/>
          <w:sz w:val="26"/>
          <w:szCs w:val="26"/>
        </w:rPr>
        <w:t xml:space="preserve">el único beneficio que puede obtener </w:t>
      </w:r>
      <w:r w:rsidR="00C9209A">
        <w:rPr>
          <w:rFonts w:ascii="Arial" w:hAnsi="Arial" w:cs="Arial"/>
          <w:bCs/>
          <w:color w:val="000000"/>
          <w:sz w:val="26"/>
          <w:szCs w:val="26"/>
        </w:rPr>
        <w:t xml:space="preserve">el aquí recurrente </w:t>
      </w:r>
      <w:r w:rsidR="00C9209A" w:rsidRPr="00D376AD">
        <w:rPr>
          <w:rFonts w:ascii="Arial" w:hAnsi="Arial" w:cs="Arial"/>
          <w:bCs/>
          <w:color w:val="000000"/>
          <w:sz w:val="26"/>
          <w:szCs w:val="26"/>
        </w:rPr>
        <w:t>es el de pensionado, establecido en la fracción II del artículo 54</w:t>
      </w:r>
      <w:r w:rsidR="00C9209A">
        <w:rPr>
          <w:rFonts w:ascii="Arial" w:hAnsi="Arial" w:cs="Arial"/>
          <w:bCs/>
          <w:color w:val="000000"/>
          <w:sz w:val="26"/>
          <w:szCs w:val="26"/>
        </w:rPr>
        <w:t>,</w:t>
      </w:r>
      <w:r w:rsidR="00C9209A" w:rsidRPr="00D376AD">
        <w:rPr>
          <w:rFonts w:ascii="Arial" w:hAnsi="Arial" w:cs="Arial"/>
          <w:bCs/>
          <w:color w:val="000000"/>
          <w:sz w:val="26"/>
          <w:szCs w:val="26"/>
        </w:rPr>
        <w:t xml:space="preserve"> de la </w:t>
      </w:r>
      <w:r w:rsidR="00C9209A">
        <w:rPr>
          <w:rFonts w:ascii="Arial" w:hAnsi="Arial" w:cs="Arial"/>
          <w:bCs/>
          <w:color w:val="000000"/>
          <w:sz w:val="26"/>
          <w:szCs w:val="26"/>
        </w:rPr>
        <w:t>Ley de Pensiones en cita</w:t>
      </w:r>
      <w:r w:rsidR="00C9209A" w:rsidRPr="00D376AD">
        <w:rPr>
          <w:rFonts w:ascii="Arial" w:hAnsi="Arial" w:cs="Arial"/>
          <w:bCs/>
          <w:color w:val="000000"/>
          <w:sz w:val="26"/>
          <w:szCs w:val="26"/>
        </w:rPr>
        <w:t>,</w:t>
      </w:r>
      <w:r w:rsidR="00C9209A">
        <w:rPr>
          <w:rFonts w:ascii="Arial" w:hAnsi="Arial" w:cs="Arial"/>
          <w:bCs/>
          <w:color w:val="000000"/>
          <w:sz w:val="26"/>
          <w:szCs w:val="26"/>
        </w:rPr>
        <w:t xml:space="preserve"> ya que para </w:t>
      </w:r>
      <w:r w:rsidR="00C9209A" w:rsidRPr="00D376AD">
        <w:rPr>
          <w:rFonts w:ascii="Arial" w:hAnsi="Arial" w:cs="Arial"/>
          <w:bCs/>
          <w:color w:val="000000"/>
          <w:sz w:val="26"/>
          <w:szCs w:val="26"/>
        </w:rPr>
        <w:t>estar en condiciones de recibir los beneficios que se otorgan a los jubilados</w:t>
      </w:r>
      <w:r w:rsidR="00C9209A">
        <w:rPr>
          <w:rFonts w:ascii="Arial" w:hAnsi="Arial" w:cs="Arial"/>
          <w:bCs/>
          <w:color w:val="000000"/>
          <w:sz w:val="26"/>
          <w:szCs w:val="26"/>
        </w:rPr>
        <w:t xml:space="preserve">, de conformidad con el </w:t>
      </w:r>
      <w:r w:rsidR="00C9209A" w:rsidRPr="00D376AD">
        <w:rPr>
          <w:rFonts w:ascii="Arial" w:hAnsi="Arial" w:cs="Arial"/>
          <w:bCs/>
          <w:color w:val="000000"/>
          <w:sz w:val="26"/>
          <w:szCs w:val="26"/>
        </w:rPr>
        <w:t>artículo transitorio CUARTO,</w:t>
      </w:r>
      <w:r w:rsidR="00C9209A">
        <w:rPr>
          <w:rFonts w:ascii="Arial" w:hAnsi="Arial" w:cs="Arial"/>
          <w:bCs/>
          <w:color w:val="000000"/>
          <w:sz w:val="26"/>
          <w:szCs w:val="26"/>
        </w:rPr>
        <w:t xml:space="preserve"> del ordenamiento legal invocado,</w:t>
      </w:r>
      <w:r w:rsidR="00C9209A" w:rsidRPr="00D376AD">
        <w:rPr>
          <w:rFonts w:ascii="Arial" w:hAnsi="Arial" w:cs="Arial"/>
          <w:bCs/>
          <w:color w:val="000000"/>
          <w:sz w:val="26"/>
          <w:szCs w:val="26"/>
        </w:rPr>
        <w:t xml:space="preserve"> </w:t>
      </w:r>
      <w:r w:rsidR="00C9209A">
        <w:rPr>
          <w:rFonts w:ascii="Arial" w:hAnsi="Arial" w:cs="Arial"/>
          <w:bCs/>
          <w:color w:val="000000"/>
          <w:sz w:val="26"/>
          <w:szCs w:val="26"/>
        </w:rPr>
        <w:t>es requisito que</w:t>
      </w:r>
      <w:r w:rsidR="00C9209A" w:rsidRPr="00D376AD">
        <w:rPr>
          <w:rFonts w:ascii="Arial" w:hAnsi="Arial" w:cs="Arial"/>
          <w:bCs/>
          <w:color w:val="000000"/>
          <w:sz w:val="26"/>
          <w:szCs w:val="26"/>
        </w:rPr>
        <w:t xml:space="preserve"> los hombres acrediten haber laborado un mínimo de veintinueve años</w:t>
      </w:r>
      <w:r w:rsidR="00C9209A">
        <w:rPr>
          <w:rFonts w:ascii="Arial" w:hAnsi="Arial" w:cs="Arial"/>
          <w:bCs/>
          <w:color w:val="000000"/>
          <w:sz w:val="26"/>
          <w:szCs w:val="26"/>
        </w:rPr>
        <w:t xml:space="preserve">, el cual no acredita al haber trabajado </w:t>
      </w:r>
      <w:r w:rsidR="00C9209A" w:rsidRPr="00D376AD">
        <w:rPr>
          <w:rFonts w:ascii="Arial" w:hAnsi="Arial" w:cs="Arial"/>
          <w:bCs/>
          <w:color w:val="000000"/>
          <w:sz w:val="26"/>
          <w:szCs w:val="26"/>
        </w:rPr>
        <w:t xml:space="preserve">dieciséis años, nueve meses y una quincena, dato que fue corroborado por el Consejo </w:t>
      </w:r>
      <w:r w:rsidR="00C9209A" w:rsidRPr="00C9209A">
        <w:rPr>
          <w:rFonts w:ascii="Arial" w:hAnsi="Arial" w:cs="Arial"/>
          <w:sz w:val="26"/>
          <w:szCs w:val="26"/>
        </w:rPr>
        <w:t>Directivo de la Oficina de Pensiones.</w:t>
      </w:r>
    </w:p>
    <w:p w:rsidR="00851A38" w:rsidRDefault="00C9209A" w:rsidP="00C9209A">
      <w:pPr>
        <w:spacing w:after="240" w:line="360" w:lineRule="auto"/>
        <w:jc w:val="both"/>
        <w:rPr>
          <w:rFonts w:ascii="Arial" w:hAnsi="Arial" w:cs="Arial"/>
          <w:sz w:val="24"/>
          <w:szCs w:val="24"/>
        </w:rPr>
      </w:pPr>
      <w:r w:rsidRPr="00C9209A">
        <w:rPr>
          <w:rFonts w:ascii="Arial" w:hAnsi="Arial" w:cs="Arial"/>
          <w:sz w:val="26"/>
          <w:szCs w:val="26"/>
        </w:rPr>
        <w:tab/>
        <w:t>Pues como quedó precisado, con dichas manifestaciones</w:t>
      </w:r>
      <w:r>
        <w:rPr>
          <w:rFonts w:ascii="Arial" w:hAnsi="Arial" w:cs="Arial"/>
          <w:sz w:val="26"/>
          <w:szCs w:val="26"/>
        </w:rPr>
        <w:t xml:space="preserve"> de manera alguna controvierte los razonamientos vertidos por la demandada, ni pone en evidencia la ilegalidad de las consideraciones en que se sustentó la resolución impugnada.</w:t>
      </w:r>
    </w:p>
    <w:p w:rsidR="00C9209A" w:rsidRPr="005628AD" w:rsidRDefault="00C9209A" w:rsidP="00C9209A">
      <w:pPr>
        <w:spacing w:after="240" w:line="360" w:lineRule="auto"/>
        <w:ind w:firstLine="708"/>
        <w:jc w:val="both"/>
        <w:rPr>
          <w:rFonts w:ascii="Arial" w:hAnsi="Arial" w:cs="Arial"/>
          <w:sz w:val="26"/>
          <w:szCs w:val="26"/>
        </w:rPr>
      </w:pPr>
      <w:r>
        <w:rPr>
          <w:rFonts w:ascii="Arial" w:hAnsi="Arial" w:cs="Arial"/>
          <w:sz w:val="26"/>
          <w:szCs w:val="26"/>
        </w:rPr>
        <w:t xml:space="preserve">Sirve de apoyo la Jurisprudencia de la Novena Época, con número de registro </w:t>
      </w:r>
      <w:r w:rsidRPr="005628AD">
        <w:rPr>
          <w:rFonts w:ascii="Arial" w:hAnsi="Arial" w:cs="Arial"/>
          <w:sz w:val="26"/>
          <w:szCs w:val="26"/>
        </w:rPr>
        <w:t>173593</w:t>
      </w:r>
      <w:r>
        <w:rPr>
          <w:rFonts w:ascii="Arial" w:hAnsi="Arial" w:cs="Arial"/>
          <w:sz w:val="26"/>
          <w:szCs w:val="26"/>
        </w:rPr>
        <w:t>, sustentada por el</w:t>
      </w:r>
      <w:r w:rsidRPr="005C10BD">
        <w:rPr>
          <w:rFonts w:ascii="Arial" w:hAnsi="Arial" w:cs="Arial"/>
          <w:sz w:val="26"/>
          <w:szCs w:val="26"/>
        </w:rPr>
        <w:t xml:space="preserve"> </w:t>
      </w:r>
      <w:r>
        <w:rPr>
          <w:rFonts w:ascii="Arial" w:hAnsi="Arial" w:cs="Arial"/>
          <w:sz w:val="26"/>
          <w:szCs w:val="26"/>
        </w:rPr>
        <w:t>C</w:t>
      </w:r>
      <w:r w:rsidRPr="005628AD">
        <w:rPr>
          <w:rFonts w:ascii="Arial" w:hAnsi="Arial" w:cs="Arial"/>
          <w:sz w:val="26"/>
          <w:szCs w:val="26"/>
        </w:rPr>
        <w:t xml:space="preserve">uarto Tribunal Colegiado </w:t>
      </w:r>
      <w:r>
        <w:rPr>
          <w:rFonts w:ascii="Arial" w:hAnsi="Arial" w:cs="Arial"/>
          <w:sz w:val="26"/>
          <w:szCs w:val="26"/>
        </w:rPr>
        <w:t xml:space="preserve">en </w:t>
      </w:r>
      <w:r w:rsidRPr="005628AD">
        <w:rPr>
          <w:rFonts w:ascii="Arial" w:hAnsi="Arial" w:cs="Arial"/>
          <w:sz w:val="26"/>
          <w:szCs w:val="26"/>
        </w:rPr>
        <w:t xml:space="preserve">Materia Administrativa </w:t>
      </w:r>
      <w:r>
        <w:rPr>
          <w:rFonts w:ascii="Arial" w:hAnsi="Arial" w:cs="Arial"/>
          <w:sz w:val="26"/>
          <w:szCs w:val="26"/>
        </w:rPr>
        <w:t xml:space="preserve">del </w:t>
      </w:r>
      <w:r w:rsidRPr="005628AD">
        <w:rPr>
          <w:rFonts w:ascii="Arial" w:hAnsi="Arial" w:cs="Arial"/>
          <w:sz w:val="26"/>
          <w:szCs w:val="26"/>
        </w:rPr>
        <w:t xml:space="preserve"> Primer Circuito</w:t>
      </w:r>
      <w:r>
        <w:rPr>
          <w:rFonts w:ascii="Arial" w:hAnsi="Arial" w:cs="Arial"/>
          <w:sz w:val="26"/>
          <w:szCs w:val="26"/>
        </w:rPr>
        <w:t xml:space="preserve">, publicada en </w:t>
      </w:r>
      <w:r>
        <w:rPr>
          <w:rFonts w:ascii="Arial" w:hAnsi="Arial" w:cs="Arial"/>
          <w:sz w:val="26"/>
          <w:szCs w:val="26"/>
        </w:rPr>
        <w:lastRenderedPageBreak/>
        <w:t xml:space="preserve">el </w:t>
      </w:r>
      <w:r w:rsidRPr="005628AD">
        <w:rPr>
          <w:rFonts w:ascii="Arial" w:hAnsi="Arial" w:cs="Arial"/>
          <w:sz w:val="26"/>
          <w:szCs w:val="26"/>
        </w:rPr>
        <w:t>Semanario Judici</w:t>
      </w:r>
      <w:r>
        <w:rPr>
          <w:rFonts w:ascii="Arial" w:hAnsi="Arial" w:cs="Arial"/>
          <w:sz w:val="26"/>
          <w:szCs w:val="26"/>
        </w:rPr>
        <w:t xml:space="preserve">al de la Federación y su Gaceta, Tomo XXV, Enero de 2007, visible en la página </w:t>
      </w:r>
      <w:r w:rsidRPr="005628AD">
        <w:rPr>
          <w:rFonts w:ascii="Arial" w:hAnsi="Arial" w:cs="Arial"/>
          <w:sz w:val="26"/>
          <w:szCs w:val="26"/>
        </w:rPr>
        <w:t>2121</w:t>
      </w:r>
      <w:r>
        <w:rPr>
          <w:rFonts w:ascii="Arial" w:hAnsi="Arial" w:cs="Arial"/>
          <w:sz w:val="26"/>
          <w:szCs w:val="26"/>
        </w:rPr>
        <w:t xml:space="preserve">, de rubro y tenor siguientes: </w:t>
      </w:r>
    </w:p>
    <w:p w:rsidR="00C9209A" w:rsidRPr="00C01E4F" w:rsidRDefault="00C9209A" w:rsidP="00C9209A">
      <w:pPr>
        <w:ind w:left="567" w:right="616"/>
        <w:jc w:val="both"/>
        <w:rPr>
          <w:rFonts w:ascii="Arial" w:hAnsi="Arial" w:cs="Arial"/>
          <w:i/>
        </w:rPr>
      </w:pPr>
      <w:r>
        <w:rPr>
          <w:rFonts w:ascii="Arial" w:hAnsi="Arial" w:cs="Arial"/>
          <w:b/>
          <w:sz w:val="26"/>
          <w:szCs w:val="26"/>
        </w:rPr>
        <w:t>“</w:t>
      </w:r>
      <w:r w:rsidRPr="00C01E4F">
        <w:rPr>
          <w:rFonts w:ascii="Arial" w:hAnsi="Arial" w:cs="Arial"/>
          <w:b/>
          <w:i/>
        </w:rPr>
        <w:t>CONCEPTOS DE VIOLACIÓN O AGRAVIOS. SON INOPERANTES CUANDO LOS ARGUMENTOS EXPUESTOS POR EL QUEJOSO O EL RECURRENTE SON AMBIGUOS Y SUPERFICIALES</w:t>
      </w:r>
      <w:r w:rsidRPr="00C01E4F">
        <w:rPr>
          <w:rFonts w:ascii="Arial" w:hAnsi="Arial" w:cs="Arial"/>
          <w:i/>
        </w:rPr>
        <w:t xml:space="preserve">. Los actos de autoridad y las sentencias están investidos de una presunción de validez que debe ser destruida. Por tanto, cuando lo expuesto por la parte quejosa o el recurrente es ambiguo y superficial, en tanto que no señala ni concreta algún razonamiento capaz de ser analizado, tal pretensión de invalidez es inatendible, en cuanto no logra construir y proponer la causa de pedir, en la medida que elude referirse al fundamento, razones decisorias o argumentos y al porqué de su reclamación. Así, tal deficiencia revela una falta de pertinencia entre lo pretendido y las razones aportadas que, por ende, no son idóneas ni justificadas para colegir y concluir lo pedido. Por consiguiente, los argumentos o causa de pedir que se expresen en los conceptos de violación de la demanda de amparo o en los agravios de la revisión </w:t>
      </w:r>
      <w:r w:rsidRPr="00C01E4F">
        <w:rPr>
          <w:rFonts w:ascii="Arial" w:hAnsi="Arial" w:cs="Arial"/>
          <w:b/>
          <w:i/>
        </w:rPr>
        <w:t>deben, invariablemente, estar dirigidos a descalificar y evidenciar la ilegalidad de las consideraciones en que se sustenta el acto reclamado, porque de no ser así, las manifestaciones que se viertan no podrán ser analizadas por el órgano colegiado y deberán calificarse de inoperantes</w:t>
      </w:r>
      <w:r w:rsidRPr="00C01E4F">
        <w:rPr>
          <w:rFonts w:ascii="Arial" w:hAnsi="Arial" w:cs="Arial"/>
          <w:i/>
        </w:rPr>
        <w:t xml:space="preserve">, ya que se está ante argumentos non </w:t>
      </w:r>
      <w:proofErr w:type="spellStart"/>
      <w:r w:rsidRPr="00C01E4F">
        <w:rPr>
          <w:rFonts w:ascii="Arial" w:hAnsi="Arial" w:cs="Arial"/>
          <w:i/>
        </w:rPr>
        <w:t>sequitur</w:t>
      </w:r>
      <w:proofErr w:type="spellEnd"/>
      <w:r w:rsidRPr="00C01E4F">
        <w:rPr>
          <w:rFonts w:ascii="Arial" w:hAnsi="Arial" w:cs="Arial"/>
          <w:i/>
        </w:rPr>
        <w:t xml:space="preserve"> para obtener una declaratoria de invalidez.</w:t>
      </w:r>
      <w:r>
        <w:rPr>
          <w:rFonts w:ascii="Arial" w:hAnsi="Arial" w:cs="Arial"/>
          <w:i/>
        </w:rPr>
        <w:t>”</w:t>
      </w:r>
    </w:p>
    <w:p w:rsidR="00851A38" w:rsidRDefault="00851A38" w:rsidP="00572CC1">
      <w:pPr>
        <w:spacing w:line="360" w:lineRule="auto"/>
        <w:jc w:val="both"/>
        <w:rPr>
          <w:rFonts w:ascii="Arial" w:hAnsi="Arial" w:cs="Arial"/>
          <w:sz w:val="24"/>
          <w:szCs w:val="24"/>
        </w:rPr>
      </w:pPr>
    </w:p>
    <w:p w:rsidR="00572CC1" w:rsidRDefault="00572CC1" w:rsidP="00572CC1">
      <w:pPr>
        <w:spacing w:line="360" w:lineRule="auto"/>
        <w:jc w:val="both"/>
        <w:rPr>
          <w:rFonts w:ascii="Arial" w:hAnsi="Arial" w:cs="Arial"/>
          <w:b/>
          <w:sz w:val="26"/>
          <w:szCs w:val="26"/>
        </w:rPr>
      </w:pPr>
      <w:r>
        <w:rPr>
          <w:rFonts w:ascii="Arial" w:hAnsi="Arial" w:cs="Arial"/>
          <w:sz w:val="24"/>
          <w:szCs w:val="24"/>
        </w:rPr>
        <w:tab/>
      </w:r>
      <w:r w:rsidRPr="00A823AE">
        <w:rPr>
          <w:rFonts w:ascii="Arial" w:hAnsi="Arial" w:cs="Arial"/>
          <w:sz w:val="26"/>
          <w:szCs w:val="26"/>
        </w:rPr>
        <w:t xml:space="preserve">En mérito de estas consideraciones es que </w:t>
      </w:r>
      <w:r w:rsidR="00EA7274">
        <w:rPr>
          <w:rFonts w:ascii="Arial" w:hAnsi="Arial" w:cs="Arial"/>
          <w:sz w:val="26"/>
          <w:szCs w:val="26"/>
        </w:rPr>
        <w:t>el agravio vertido por el recurrente resulta</w:t>
      </w:r>
      <w:r w:rsidRPr="00A823AE">
        <w:rPr>
          <w:rFonts w:ascii="Arial" w:hAnsi="Arial" w:cs="Arial"/>
          <w:sz w:val="26"/>
          <w:szCs w:val="26"/>
        </w:rPr>
        <w:t xml:space="preserve"> </w:t>
      </w:r>
      <w:r w:rsidRPr="00A823AE">
        <w:rPr>
          <w:rFonts w:ascii="Arial" w:hAnsi="Arial" w:cs="Arial"/>
          <w:b/>
          <w:sz w:val="26"/>
          <w:szCs w:val="26"/>
        </w:rPr>
        <w:t xml:space="preserve">inoperante. </w:t>
      </w:r>
    </w:p>
    <w:p w:rsidR="00775208" w:rsidRDefault="00775208" w:rsidP="00775208">
      <w:pPr>
        <w:spacing w:line="360" w:lineRule="auto"/>
        <w:jc w:val="both"/>
        <w:rPr>
          <w:rFonts w:ascii="Arial" w:hAnsi="Arial" w:cs="Arial"/>
          <w:b/>
          <w:sz w:val="26"/>
          <w:szCs w:val="26"/>
        </w:rPr>
      </w:pPr>
    </w:p>
    <w:p w:rsidR="00572CC1" w:rsidRPr="00A823AE" w:rsidRDefault="00572CC1" w:rsidP="00775208">
      <w:pPr>
        <w:spacing w:line="360" w:lineRule="auto"/>
        <w:jc w:val="both"/>
        <w:rPr>
          <w:rFonts w:ascii="Arial" w:eastAsia="Times New Roman" w:hAnsi="Arial" w:cs="Arial"/>
          <w:bCs/>
          <w:i/>
          <w:sz w:val="26"/>
          <w:szCs w:val="26"/>
          <w:lang w:eastAsia="es-ES"/>
        </w:rPr>
      </w:pPr>
      <w:r w:rsidRPr="00A823AE">
        <w:rPr>
          <w:rFonts w:ascii="Arial" w:hAnsi="Arial" w:cs="Arial"/>
          <w:sz w:val="26"/>
          <w:szCs w:val="26"/>
        </w:rPr>
        <w:tab/>
      </w:r>
      <w:r w:rsidR="00DC2F6D">
        <w:rPr>
          <w:rFonts w:ascii="Arial" w:hAnsi="Arial" w:cs="Arial"/>
          <w:sz w:val="26"/>
          <w:szCs w:val="26"/>
        </w:rPr>
        <w:t>Atendiendo a los razonamientos esgrimidos</w:t>
      </w:r>
      <w:r w:rsidRPr="00DC2F6D">
        <w:rPr>
          <w:rFonts w:ascii="Arial" w:hAnsi="Arial" w:cs="Arial"/>
          <w:sz w:val="26"/>
          <w:szCs w:val="26"/>
        </w:rPr>
        <w:t>,</w:t>
      </w:r>
      <w:r w:rsidRPr="00A823AE">
        <w:rPr>
          <w:rFonts w:ascii="Arial" w:hAnsi="Arial" w:cs="Arial"/>
          <w:b/>
          <w:sz w:val="26"/>
          <w:szCs w:val="26"/>
        </w:rPr>
        <w:t xml:space="preserve"> </w:t>
      </w:r>
      <w:r w:rsidRPr="00A823AE">
        <w:rPr>
          <w:rFonts w:ascii="Arial" w:hAnsi="Arial" w:cs="Arial"/>
          <w:sz w:val="26"/>
          <w:szCs w:val="26"/>
        </w:rPr>
        <w:t xml:space="preserve">se </w:t>
      </w:r>
      <w:r w:rsidRPr="00A823AE">
        <w:rPr>
          <w:rFonts w:ascii="Arial" w:hAnsi="Arial" w:cs="Arial"/>
          <w:b/>
          <w:sz w:val="26"/>
          <w:szCs w:val="26"/>
        </w:rPr>
        <w:t xml:space="preserve">CONFIRMA </w:t>
      </w:r>
      <w:r w:rsidRPr="00A823AE">
        <w:rPr>
          <w:rFonts w:ascii="Arial" w:hAnsi="Arial" w:cs="Arial"/>
          <w:sz w:val="26"/>
          <w:szCs w:val="26"/>
        </w:rPr>
        <w:t xml:space="preserve">la sentencia de </w:t>
      </w:r>
      <w:r w:rsidR="00775208">
        <w:rPr>
          <w:rFonts w:ascii="Arial" w:hAnsi="Arial" w:cs="Arial"/>
          <w:sz w:val="26"/>
          <w:szCs w:val="26"/>
        </w:rPr>
        <w:t>veintinueve de septiembre de dos mil diecisiete</w:t>
      </w:r>
      <w:r w:rsidRPr="00A823AE">
        <w:rPr>
          <w:rFonts w:ascii="Arial" w:hAnsi="Arial" w:cs="Arial"/>
          <w:sz w:val="26"/>
          <w:szCs w:val="26"/>
        </w:rPr>
        <w:t xml:space="preserve"> y, con fundamento en los artículos 207 y 208 de la Ley de Justicia Administrativa para el Estado,</w:t>
      </w:r>
      <w:r w:rsidR="00DF0936">
        <w:rPr>
          <w:rFonts w:ascii="Arial" w:hAnsi="Arial" w:cs="Arial"/>
          <w:sz w:val="26"/>
          <w:szCs w:val="26"/>
        </w:rPr>
        <w:t xml:space="preserve"> vigente hasta el veinte de octubre de dos mil diecisiete,</w:t>
      </w:r>
      <w:r w:rsidRPr="00A823AE">
        <w:rPr>
          <w:rFonts w:ascii="Arial" w:hAnsi="Arial" w:cs="Arial"/>
          <w:sz w:val="26"/>
          <w:szCs w:val="26"/>
        </w:rPr>
        <w:t xml:space="preserve"> se:</w:t>
      </w:r>
    </w:p>
    <w:p w:rsidR="0086324C" w:rsidRDefault="0086324C" w:rsidP="006F0C94">
      <w:pPr>
        <w:pStyle w:val="Sinespaciado"/>
        <w:spacing w:before="240" w:line="360" w:lineRule="auto"/>
        <w:ind w:firstLine="708"/>
        <w:jc w:val="center"/>
        <w:rPr>
          <w:rFonts w:ascii="Arial" w:hAnsi="Arial" w:cs="Arial"/>
          <w:b/>
          <w:sz w:val="26"/>
          <w:szCs w:val="26"/>
        </w:rPr>
      </w:pPr>
      <w:r w:rsidRPr="00164D1B">
        <w:rPr>
          <w:rFonts w:ascii="Arial" w:hAnsi="Arial" w:cs="Arial"/>
          <w:b/>
          <w:sz w:val="26"/>
          <w:szCs w:val="26"/>
        </w:rPr>
        <w:t>R E S U E L V E</w:t>
      </w:r>
    </w:p>
    <w:p w:rsidR="0086324C" w:rsidRPr="00164D1B" w:rsidRDefault="0086324C" w:rsidP="0086324C">
      <w:pPr>
        <w:pStyle w:val="Textoindependiente21"/>
        <w:tabs>
          <w:tab w:val="left" w:pos="-1985"/>
          <w:tab w:val="left" w:pos="7938"/>
        </w:tabs>
        <w:spacing w:before="240" w:line="360" w:lineRule="auto"/>
        <w:ind w:right="17" w:firstLine="709"/>
        <w:rPr>
          <w:rFonts w:ascii="Arial" w:hAnsi="Arial" w:cs="Arial"/>
          <w:b/>
          <w:sz w:val="26"/>
          <w:szCs w:val="26"/>
        </w:rPr>
      </w:pPr>
      <w:r w:rsidRPr="00164D1B">
        <w:rPr>
          <w:rFonts w:ascii="Arial" w:hAnsi="Arial" w:cs="Arial"/>
          <w:b/>
          <w:sz w:val="26"/>
          <w:szCs w:val="26"/>
        </w:rPr>
        <w:t>PRIMERO</w:t>
      </w:r>
      <w:r>
        <w:rPr>
          <w:rFonts w:ascii="Arial" w:hAnsi="Arial" w:cs="Arial"/>
          <w:sz w:val="26"/>
          <w:szCs w:val="26"/>
        </w:rPr>
        <w:t xml:space="preserve">. Se </w:t>
      </w:r>
      <w:r w:rsidR="00DB0E12">
        <w:rPr>
          <w:rFonts w:ascii="Arial" w:hAnsi="Arial" w:cs="Arial"/>
          <w:b/>
          <w:sz w:val="26"/>
          <w:szCs w:val="26"/>
        </w:rPr>
        <w:t>CONFIRMA</w:t>
      </w:r>
      <w:r w:rsidR="009A29AE">
        <w:rPr>
          <w:rFonts w:ascii="Arial" w:hAnsi="Arial" w:cs="Arial"/>
          <w:b/>
          <w:sz w:val="26"/>
          <w:szCs w:val="26"/>
        </w:rPr>
        <w:t xml:space="preserve"> </w:t>
      </w:r>
      <w:r w:rsidR="009A29AE">
        <w:rPr>
          <w:rFonts w:ascii="Arial" w:hAnsi="Arial" w:cs="Arial"/>
          <w:sz w:val="26"/>
          <w:szCs w:val="26"/>
        </w:rPr>
        <w:t xml:space="preserve">la sentencia </w:t>
      </w:r>
      <w:r w:rsidR="00BF4270">
        <w:rPr>
          <w:rFonts w:ascii="Arial" w:hAnsi="Arial" w:cs="Arial"/>
          <w:sz w:val="26"/>
          <w:szCs w:val="26"/>
          <w:lang w:eastAsia="es-MX"/>
        </w:rPr>
        <w:t xml:space="preserve">de </w:t>
      </w:r>
      <w:r w:rsidR="00DB0E12">
        <w:rPr>
          <w:rFonts w:ascii="Arial" w:hAnsi="Arial" w:cs="Arial"/>
          <w:sz w:val="26"/>
          <w:szCs w:val="26"/>
          <w:lang w:eastAsia="es-MX"/>
        </w:rPr>
        <w:t xml:space="preserve">veintinueve de </w:t>
      </w:r>
      <w:r w:rsidR="00775208">
        <w:rPr>
          <w:rFonts w:ascii="Arial" w:hAnsi="Arial" w:cs="Arial"/>
          <w:sz w:val="26"/>
          <w:szCs w:val="26"/>
          <w:lang w:eastAsia="es-MX"/>
        </w:rPr>
        <w:t>septiembre</w:t>
      </w:r>
      <w:r w:rsidR="00DB0E12">
        <w:rPr>
          <w:rFonts w:ascii="Arial" w:hAnsi="Arial" w:cs="Arial"/>
          <w:sz w:val="26"/>
          <w:szCs w:val="26"/>
          <w:lang w:eastAsia="es-MX"/>
        </w:rPr>
        <w:t xml:space="preserve"> de</w:t>
      </w:r>
      <w:r w:rsidR="00787AC6">
        <w:rPr>
          <w:rFonts w:ascii="Arial" w:hAnsi="Arial" w:cs="Arial"/>
          <w:sz w:val="26"/>
          <w:szCs w:val="26"/>
          <w:lang w:eastAsia="es-MX"/>
        </w:rPr>
        <w:t xml:space="preserve"> </w:t>
      </w:r>
      <w:r w:rsidR="00BF4270">
        <w:rPr>
          <w:rFonts w:ascii="Arial" w:hAnsi="Arial" w:cs="Arial"/>
          <w:sz w:val="26"/>
          <w:szCs w:val="26"/>
          <w:lang w:eastAsia="es-MX"/>
        </w:rPr>
        <w:t>dos mil diecisiete, dictada por la Séptima Sala</w:t>
      </w:r>
      <w:r w:rsidR="00DB0E12">
        <w:rPr>
          <w:rFonts w:ascii="Arial" w:hAnsi="Arial" w:cs="Arial"/>
          <w:sz w:val="26"/>
          <w:szCs w:val="26"/>
          <w:lang w:eastAsia="es-MX"/>
        </w:rPr>
        <w:t xml:space="preserve"> Unitaria</w:t>
      </w:r>
      <w:r w:rsidR="00BF4270">
        <w:rPr>
          <w:rFonts w:ascii="Arial" w:hAnsi="Arial" w:cs="Arial"/>
          <w:sz w:val="26"/>
          <w:szCs w:val="26"/>
          <w:lang w:eastAsia="es-MX"/>
        </w:rPr>
        <w:t xml:space="preserve"> de Primera Instancia</w:t>
      </w:r>
      <w:r>
        <w:rPr>
          <w:rFonts w:ascii="Arial" w:hAnsi="Arial" w:cs="Arial"/>
          <w:sz w:val="26"/>
          <w:szCs w:val="26"/>
        </w:rPr>
        <w:t xml:space="preserve">, </w:t>
      </w:r>
      <w:r w:rsidR="009A29AE">
        <w:rPr>
          <w:rFonts w:ascii="Arial" w:hAnsi="Arial" w:cs="Arial"/>
          <w:sz w:val="26"/>
          <w:szCs w:val="26"/>
        </w:rPr>
        <w:t>en términos del</w:t>
      </w:r>
      <w:r>
        <w:rPr>
          <w:rFonts w:ascii="Arial" w:hAnsi="Arial" w:cs="Arial"/>
          <w:sz w:val="26"/>
          <w:szCs w:val="26"/>
        </w:rPr>
        <w:t xml:space="preserve"> considerando que antecede.</w:t>
      </w:r>
      <w:r w:rsidRPr="006E349D">
        <w:rPr>
          <w:rFonts w:ascii="Arial" w:hAnsi="Arial" w:cs="Arial"/>
          <w:sz w:val="26"/>
          <w:szCs w:val="26"/>
        </w:rPr>
        <w:t xml:space="preserve"> </w:t>
      </w:r>
    </w:p>
    <w:p w:rsidR="00A40BBE" w:rsidRPr="00AF0108" w:rsidRDefault="0086324C" w:rsidP="006A6C96">
      <w:pPr>
        <w:spacing w:before="240" w:line="360" w:lineRule="auto"/>
        <w:ind w:firstLine="708"/>
        <w:jc w:val="both"/>
        <w:rPr>
          <w:rFonts w:ascii="Arial" w:eastAsia="Calibri" w:hAnsi="Arial" w:cs="Arial"/>
          <w:sz w:val="26"/>
          <w:szCs w:val="26"/>
        </w:rPr>
      </w:pPr>
      <w:r>
        <w:rPr>
          <w:rFonts w:ascii="Arial" w:hAnsi="Arial" w:cs="Arial"/>
          <w:b/>
          <w:sz w:val="26"/>
          <w:szCs w:val="26"/>
        </w:rPr>
        <w:t xml:space="preserve">SEGUNDO. </w:t>
      </w:r>
      <w:r w:rsidR="00100A52">
        <w:rPr>
          <w:rFonts w:ascii="Arial" w:hAnsi="Arial" w:cs="Arial"/>
          <w:b/>
          <w:sz w:val="26"/>
          <w:szCs w:val="26"/>
        </w:rPr>
        <w:t>NOTIFÍQUESE Y CÚ</w:t>
      </w:r>
      <w:r w:rsidRPr="00AF0108">
        <w:rPr>
          <w:rFonts w:ascii="Arial" w:hAnsi="Arial" w:cs="Arial"/>
          <w:b/>
          <w:sz w:val="26"/>
          <w:szCs w:val="26"/>
        </w:rPr>
        <w:t>MPLASE,</w:t>
      </w:r>
      <w:r w:rsidRPr="00AF0108">
        <w:rPr>
          <w:rFonts w:ascii="Arial" w:hAnsi="Arial" w:cs="Arial"/>
          <w:sz w:val="26"/>
          <w:szCs w:val="26"/>
        </w:rPr>
        <w:t xml:space="preserve"> con copia certificada de la presente resolución, vuelvan las constancias remitidas a la </w:t>
      </w:r>
      <w:r w:rsidR="009A29AE">
        <w:rPr>
          <w:rFonts w:ascii="Arial" w:hAnsi="Arial" w:cs="Arial"/>
          <w:sz w:val="26"/>
          <w:szCs w:val="26"/>
        </w:rPr>
        <w:t>Séptima</w:t>
      </w:r>
      <w:r w:rsidRPr="00AF0108">
        <w:rPr>
          <w:rFonts w:ascii="Arial" w:hAnsi="Arial" w:cs="Arial"/>
          <w:sz w:val="26"/>
          <w:szCs w:val="26"/>
        </w:rPr>
        <w:t xml:space="preserve"> Sala Unitari</w:t>
      </w:r>
      <w:r w:rsidR="00100A52">
        <w:rPr>
          <w:rFonts w:ascii="Arial" w:hAnsi="Arial" w:cs="Arial"/>
          <w:sz w:val="26"/>
          <w:szCs w:val="26"/>
        </w:rPr>
        <w:t xml:space="preserve">a de Primera Instancia </w:t>
      </w:r>
      <w:r w:rsidRPr="00AF0108">
        <w:rPr>
          <w:rFonts w:ascii="Arial" w:eastAsia="Calibri" w:hAnsi="Arial" w:cs="Arial"/>
          <w:sz w:val="26"/>
          <w:szCs w:val="26"/>
        </w:rPr>
        <w:t>y en su oportunidad archívese el cuaderno de revisión como concluido.</w:t>
      </w:r>
      <w:r w:rsidR="009A29AE">
        <w:rPr>
          <w:rFonts w:ascii="Arial" w:eastAsia="Calibri" w:hAnsi="Arial" w:cs="Arial"/>
          <w:sz w:val="26"/>
          <w:szCs w:val="26"/>
        </w:rPr>
        <w:t xml:space="preserve"> </w:t>
      </w:r>
    </w:p>
    <w:p w:rsidR="005802E3" w:rsidRDefault="005802E3" w:rsidP="005802E3">
      <w:pPr>
        <w:pStyle w:val="Sinespaciado"/>
        <w:spacing w:before="240" w:line="360" w:lineRule="auto"/>
        <w:ind w:firstLine="708"/>
        <w:jc w:val="both"/>
        <w:rPr>
          <w:rFonts w:ascii="Arial" w:hAnsi="Arial" w:cs="Arial"/>
          <w:sz w:val="26"/>
          <w:szCs w:val="26"/>
        </w:rPr>
      </w:pPr>
      <w:r>
        <w:rPr>
          <w:rFonts w:ascii="Arial" w:hAnsi="Arial" w:cs="Arial"/>
          <w:sz w:val="26"/>
          <w:szCs w:val="26"/>
        </w:rPr>
        <w:t xml:space="preserve">Así por unanimidad de votos, lo resolvieron y firmaron los Magistrados integrantes de la Sala Superior del Tribunal de Justicia </w:t>
      </w:r>
      <w:r>
        <w:rPr>
          <w:rFonts w:ascii="Arial" w:hAnsi="Arial" w:cs="Arial"/>
          <w:sz w:val="26"/>
          <w:szCs w:val="26"/>
        </w:rPr>
        <w:lastRenderedPageBreak/>
        <w:t>Administrativa del Estado de Oaxaca, quienes actúan con la Secretaria General de Acuerdos de este Tribunal, que autoriza y da fe.</w:t>
      </w:r>
    </w:p>
    <w:p w:rsidR="005802E3" w:rsidRDefault="005802E3" w:rsidP="005802E3">
      <w:pPr>
        <w:spacing w:line="360" w:lineRule="auto"/>
        <w:jc w:val="both"/>
        <w:rPr>
          <w:rFonts w:ascii="Arial" w:hAnsi="Arial" w:cs="Arial"/>
          <w:bCs/>
          <w:sz w:val="26"/>
          <w:szCs w:val="26"/>
        </w:rPr>
      </w:pPr>
    </w:p>
    <w:p w:rsidR="005802E3" w:rsidRDefault="005802E3" w:rsidP="005802E3">
      <w:pPr>
        <w:spacing w:line="360" w:lineRule="auto"/>
        <w:jc w:val="both"/>
        <w:rPr>
          <w:rFonts w:ascii="Arial" w:hAnsi="Arial" w:cs="Arial"/>
          <w:bCs/>
          <w:sz w:val="26"/>
          <w:szCs w:val="26"/>
        </w:rPr>
      </w:pPr>
    </w:p>
    <w:p w:rsidR="00DF0936" w:rsidRDefault="00DF0936" w:rsidP="005802E3">
      <w:pPr>
        <w:spacing w:line="360" w:lineRule="auto"/>
        <w:jc w:val="both"/>
        <w:rPr>
          <w:rFonts w:ascii="Arial" w:hAnsi="Arial" w:cs="Arial"/>
          <w:bCs/>
          <w:sz w:val="26"/>
          <w:szCs w:val="26"/>
        </w:rPr>
      </w:pPr>
    </w:p>
    <w:p w:rsidR="005802E3" w:rsidRDefault="005802E3" w:rsidP="005802E3">
      <w:pPr>
        <w:jc w:val="center"/>
        <w:rPr>
          <w:rFonts w:ascii="Arial" w:hAnsi="Arial" w:cs="Arial"/>
          <w:sz w:val="26"/>
          <w:szCs w:val="26"/>
        </w:rPr>
      </w:pPr>
      <w:r>
        <w:rPr>
          <w:rFonts w:ascii="Arial" w:hAnsi="Arial" w:cs="Arial"/>
          <w:sz w:val="26"/>
          <w:szCs w:val="26"/>
        </w:rPr>
        <w:t>MAGISTRADA MARÍA ELENA VILLA DE JARQUÍN.</w:t>
      </w:r>
    </w:p>
    <w:p w:rsidR="005802E3" w:rsidRPr="00E350E4" w:rsidRDefault="005802E3" w:rsidP="005802E3">
      <w:pPr>
        <w:jc w:val="center"/>
        <w:rPr>
          <w:rFonts w:ascii="Arial" w:hAnsi="Arial" w:cs="Arial"/>
          <w:sz w:val="26"/>
          <w:szCs w:val="26"/>
        </w:rPr>
      </w:pPr>
      <w:r>
        <w:rPr>
          <w:rFonts w:ascii="Arial" w:hAnsi="Arial" w:cs="Arial"/>
          <w:sz w:val="26"/>
          <w:szCs w:val="26"/>
        </w:rPr>
        <w:t xml:space="preserve">ENCARGADA DEL DESPACHO DE LA PRESIDENCIA </w:t>
      </w:r>
    </w:p>
    <w:p w:rsidR="005802E3" w:rsidRDefault="005802E3" w:rsidP="005802E3">
      <w:pPr>
        <w:spacing w:line="360" w:lineRule="auto"/>
        <w:rPr>
          <w:rFonts w:ascii="Arial" w:hAnsi="Arial" w:cs="Arial"/>
          <w:b/>
          <w:sz w:val="26"/>
          <w:szCs w:val="26"/>
        </w:rPr>
      </w:pPr>
    </w:p>
    <w:p w:rsidR="005802E3" w:rsidRDefault="005802E3" w:rsidP="005802E3">
      <w:pPr>
        <w:spacing w:line="360" w:lineRule="auto"/>
        <w:rPr>
          <w:rFonts w:ascii="Arial" w:hAnsi="Arial" w:cs="Arial"/>
          <w:b/>
          <w:sz w:val="26"/>
          <w:szCs w:val="26"/>
        </w:rPr>
      </w:pPr>
    </w:p>
    <w:p w:rsidR="00DF0936" w:rsidRDefault="00DF0936" w:rsidP="005802E3">
      <w:pPr>
        <w:spacing w:line="360" w:lineRule="auto"/>
        <w:rPr>
          <w:rFonts w:ascii="Arial" w:hAnsi="Arial" w:cs="Arial"/>
          <w:b/>
          <w:sz w:val="26"/>
          <w:szCs w:val="26"/>
        </w:rPr>
      </w:pPr>
    </w:p>
    <w:p w:rsidR="005802E3" w:rsidRDefault="005802E3" w:rsidP="005802E3">
      <w:pPr>
        <w:spacing w:line="360" w:lineRule="auto"/>
        <w:rPr>
          <w:rFonts w:ascii="Arial" w:hAnsi="Arial" w:cs="Arial"/>
          <w:b/>
          <w:sz w:val="26"/>
          <w:szCs w:val="26"/>
        </w:rPr>
      </w:pPr>
    </w:p>
    <w:p w:rsidR="005802E3" w:rsidRPr="00E350E4" w:rsidRDefault="005802E3" w:rsidP="005802E3">
      <w:pPr>
        <w:spacing w:line="360" w:lineRule="auto"/>
        <w:jc w:val="center"/>
        <w:rPr>
          <w:rFonts w:ascii="Arial" w:hAnsi="Arial" w:cs="Arial"/>
          <w:sz w:val="26"/>
          <w:szCs w:val="26"/>
        </w:rPr>
      </w:pPr>
      <w:r>
        <w:rPr>
          <w:rFonts w:ascii="Arial" w:hAnsi="Arial" w:cs="Arial"/>
          <w:sz w:val="26"/>
          <w:szCs w:val="26"/>
        </w:rPr>
        <w:t>MAGISTRADO HUGO VILLEGAS AQUINO.</w:t>
      </w:r>
    </w:p>
    <w:p w:rsidR="005802E3" w:rsidRDefault="005802E3" w:rsidP="005802E3">
      <w:pPr>
        <w:spacing w:line="360" w:lineRule="auto"/>
        <w:rPr>
          <w:rFonts w:ascii="Arial" w:hAnsi="Arial" w:cs="Arial"/>
          <w:sz w:val="26"/>
          <w:szCs w:val="26"/>
        </w:rPr>
      </w:pPr>
    </w:p>
    <w:p w:rsidR="005802E3" w:rsidRDefault="005802E3" w:rsidP="005802E3">
      <w:pPr>
        <w:spacing w:line="360" w:lineRule="auto"/>
        <w:rPr>
          <w:rFonts w:ascii="Arial" w:hAnsi="Arial" w:cs="Arial"/>
          <w:sz w:val="26"/>
          <w:szCs w:val="26"/>
        </w:rPr>
      </w:pPr>
    </w:p>
    <w:p w:rsidR="00DF0936" w:rsidRDefault="00DF0936" w:rsidP="005802E3">
      <w:pPr>
        <w:spacing w:line="360" w:lineRule="auto"/>
        <w:rPr>
          <w:rFonts w:ascii="Arial" w:hAnsi="Arial" w:cs="Arial"/>
          <w:sz w:val="26"/>
          <w:szCs w:val="26"/>
        </w:rPr>
      </w:pPr>
    </w:p>
    <w:p w:rsidR="005802E3" w:rsidRDefault="005802E3" w:rsidP="005802E3">
      <w:pPr>
        <w:spacing w:line="360" w:lineRule="auto"/>
        <w:jc w:val="center"/>
        <w:rPr>
          <w:rFonts w:ascii="Arial" w:hAnsi="Arial" w:cs="Arial"/>
          <w:sz w:val="26"/>
          <w:szCs w:val="26"/>
        </w:rPr>
      </w:pPr>
    </w:p>
    <w:p w:rsidR="005802E3" w:rsidRDefault="005802E3" w:rsidP="005802E3">
      <w:pPr>
        <w:spacing w:line="360" w:lineRule="auto"/>
        <w:jc w:val="center"/>
        <w:rPr>
          <w:rFonts w:ascii="Arial" w:hAnsi="Arial" w:cs="Arial"/>
          <w:sz w:val="26"/>
          <w:szCs w:val="26"/>
        </w:rPr>
      </w:pPr>
      <w:r>
        <w:rPr>
          <w:rFonts w:ascii="Arial" w:hAnsi="Arial" w:cs="Arial"/>
          <w:sz w:val="26"/>
          <w:szCs w:val="26"/>
        </w:rPr>
        <w:t>MAGISTRADO ADRIÁN QUIROGA AVENDAÑO.</w:t>
      </w:r>
    </w:p>
    <w:p w:rsidR="005802E3" w:rsidRDefault="005802E3" w:rsidP="005802E3">
      <w:pPr>
        <w:spacing w:line="360" w:lineRule="auto"/>
        <w:jc w:val="center"/>
        <w:rPr>
          <w:rFonts w:ascii="Arial" w:hAnsi="Arial" w:cs="Arial"/>
          <w:sz w:val="26"/>
          <w:szCs w:val="26"/>
        </w:rPr>
      </w:pPr>
    </w:p>
    <w:p w:rsidR="00DF0936" w:rsidRDefault="00DF0936" w:rsidP="005802E3">
      <w:pPr>
        <w:spacing w:line="360" w:lineRule="auto"/>
        <w:jc w:val="center"/>
        <w:rPr>
          <w:rFonts w:ascii="Arial" w:hAnsi="Arial" w:cs="Arial"/>
          <w:sz w:val="26"/>
          <w:szCs w:val="26"/>
        </w:rPr>
      </w:pPr>
    </w:p>
    <w:p w:rsidR="005802E3" w:rsidRDefault="005802E3" w:rsidP="005802E3">
      <w:pPr>
        <w:spacing w:line="360" w:lineRule="auto"/>
        <w:rPr>
          <w:rFonts w:ascii="Arial" w:hAnsi="Arial" w:cs="Arial"/>
          <w:sz w:val="26"/>
          <w:szCs w:val="26"/>
        </w:rPr>
      </w:pPr>
    </w:p>
    <w:p w:rsidR="005802E3" w:rsidRDefault="005802E3" w:rsidP="005802E3">
      <w:pPr>
        <w:spacing w:line="360" w:lineRule="auto"/>
        <w:rPr>
          <w:rFonts w:ascii="Arial" w:hAnsi="Arial" w:cs="Arial"/>
          <w:sz w:val="26"/>
          <w:szCs w:val="26"/>
        </w:rPr>
      </w:pPr>
    </w:p>
    <w:p w:rsidR="005802E3" w:rsidRDefault="005802E3" w:rsidP="005802E3">
      <w:pPr>
        <w:spacing w:line="360" w:lineRule="auto"/>
        <w:jc w:val="center"/>
        <w:rPr>
          <w:rFonts w:ascii="Arial" w:hAnsi="Arial" w:cs="Arial"/>
          <w:sz w:val="26"/>
          <w:szCs w:val="26"/>
        </w:rPr>
      </w:pPr>
      <w:r>
        <w:rPr>
          <w:rFonts w:ascii="Arial" w:hAnsi="Arial" w:cs="Arial"/>
          <w:sz w:val="26"/>
          <w:szCs w:val="26"/>
        </w:rPr>
        <w:t>MAGISTRADO ENRIQUE PACHECO MARTÍNEZ.</w:t>
      </w:r>
    </w:p>
    <w:p w:rsidR="005802E3" w:rsidRDefault="005802E3" w:rsidP="005802E3">
      <w:pPr>
        <w:spacing w:line="360" w:lineRule="auto"/>
        <w:jc w:val="center"/>
        <w:rPr>
          <w:rFonts w:ascii="Arial" w:hAnsi="Arial" w:cs="Arial"/>
          <w:sz w:val="26"/>
          <w:szCs w:val="26"/>
        </w:rPr>
      </w:pPr>
    </w:p>
    <w:p w:rsidR="005802E3" w:rsidRDefault="005802E3" w:rsidP="005802E3">
      <w:pPr>
        <w:spacing w:line="360" w:lineRule="auto"/>
        <w:rPr>
          <w:rFonts w:ascii="Arial" w:hAnsi="Arial" w:cs="Arial"/>
          <w:sz w:val="26"/>
          <w:szCs w:val="26"/>
        </w:rPr>
      </w:pPr>
    </w:p>
    <w:p w:rsidR="005802E3" w:rsidRDefault="005802E3" w:rsidP="005802E3">
      <w:pPr>
        <w:jc w:val="center"/>
        <w:rPr>
          <w:rFonts w:ascii="Arial" w:hAnsi="Arial" w:cs="Arial"/>
          <w:sz w:val="26"/>
          <w:szCs w:val="26"/>
        </w:rPr>
      </w:pPr>
    </w:p>
    <w:p w:rsidR="005802E3" w:rsidRDefault="008F276B" w:rsidP="005802E3">
      <w:pPr>
        <w:jc w:val="center"/>
        <w:rPr>
          <w:rFonts w:ascii="Arial" w:hAnsi="Arial" w:cs="Arial"/>
          <w:sz w:val="26"/>
          <w:szCs w:val="26"/>
        </w:rPr>
      </w:pPr>
      <w:r>
        <w:rPr>
          <w:rFonts w:ascii="Times New Roman" w:hAnsi="Times New Roman" w:cs="Times New Roman"/>
          <w:noProof/>
          <w:sz w:val="24"/>
          <w:szCs w:val="24"/>
          <w:lang w:eastAsia="es-MX"/>
        </w:rPr>
        <mc:AlternateContent>
          <mc:Choice Requires="wps">
            <w:drawing>
              <wp:anchor distT="0" distB="0" distL="114300" distR="114300" simplePos="0" relativeHeight="251664896" behindDoc="0" locked="0" layoutInCell="1" allowOverlap="1" wp14:anchorId="74514239" wp14:editId="6C667612">
                <wp:simplePos x="0" y="0"/>
                <wp:positionH relativeFrom="column">
                  <wp:posOffset>5702060</wp:posOffset>
                </wp:positionH>
                <wp:positionV relativeFrom="paragraph">
                  <wp:posOffset>198025</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8F276B" w:rsidRDefault="008F276B" w:rsidP="008F276B">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514239" id="Cuadro de texto 5" o:spid="_x0000_s1029" type="#_x0000_t202" style="position:absolute;left:0;text-align:left;margin-left:449pt;margin-top:15.6pt;width:84.75pt;height:51.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">
                <v:textbox>
                  <w:txbxContent>
                    <w:p w:rsidR="008F276B" w:rsidRDefault="008F276B" w:rsidP="008F276B">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p>
    <w:p w:rsidR="005802E3" w:rsidRDefault="005802E3" w:rsidP="005802E3">
      <w:pPr>
        <w:jc w:val="center"/>
        <w:rPr>
          <w:rFonts w:ascii="Arial" w:hAnsi="Arial" w:cs="Arial"/>
          <w:sz w:val="26"/>
          <w:szCs w:val="26"/>
        </w:rPr>
      </w:pPr>
      <w:r>
        <w:rPr>
          <w:rFonts w:ascii="Arial" w:hAnsi="Arial" w:cs="Arial"/>
          <w:sz w:val="26"/>
          <w:szCs w:val="26"/>
        </w:rPr>
        <w:t>LICENCIADA SANDRA PÉREZ CRUZ.</w:t>
      </w:r>
    </w:p>
    <w:p w:rsidR="005802E3" w:rsidRDefault="005802E3" w:rsidP="005802E3">
      <w:pPr>
        <w:jc w:val="center"/>
        <w:rPr>
          <w:rFonts w:ascii="Arial" w:hAnsi="Arial" w:cs="Arial"/>
          <w:sz w:val="26"/>
          <w:szCs w:val="26"/>
        </w:rPr>
      </w:pPr>
      <w:r>
        <w:rPr>
          <w:rFonts w:ascii="Arial" w:hAnsi="Arial" w:cs="Arial"/>
          <w:sz w:val="26"/>
          <w:szCs w:val="26"/>
        </w:rPr>
        <w:t>SECRETARIA GENERAL DE ACUERDOS.</w:t>
      </w:r>
    </w:p>
    <w:p w:rsidR="005802E3" w:rsidRDefault="005802E3" w:rsidP="005802E3">
      <w:pPr>
        <w:spacing w:line="360" w:lineRule="auto"/>
        <w:ind w:firstLine="708"/>
        <w:jc w:val="both"/>
        <w:rPr>
          <w:rFonts w:ascii="Calibri" w:hAnsi="Calibri" w:cs="Times New Roman"/>
          <w:sz w:val="26"/>
          <w:szCs w:val="26"/>
        </w:rPr>
      </w:pPr>
    </w:p>
    <w:p w:rsidR="005802E3" w:rsidRDefault="005802E3" w:rsidP="005802E3">
      <w:pPr>
        <w:spacing w:line="360" w:lineRule="auto"/>
        <w:ind w:firstLine="708"/>
        <w:jc w:val="both"/>
        <w:rPr>
          <w:sz w:val="26"/>
          <w:szCs w:val="26"/>
        </w:rPr>
      </w:pPr>
    </w:p>
    <w:p w:rsidR="005802E3" w:rsidRPr="00CE5C32" w:rsidRDefault="005802E3" w:rsidP="005802E3">
      <w:pPr>
        <w:spacing w:line="360" w:lineRule="auto"/>
        <w:ind w:firstLine="708"/>
        <w:jc w:val="both"/>
        <w:rPr>
          <w:sz w:val="26"/>
          <w:szCs w:val="26"/>
        </w:rPr>
      </w:pPr>
    </w:p>
    <w:p w:rsidR="005802E3" w:rsidRPr="00782842" w:rsidRDefault="005802E3" w:rsidP="005802E3">
      <w:pPr>
        <w:spacing w:line="360" w:lineRule="auto"/>
        <w:ind w:firstLine="708"/>
        <w:jc w:val="both"/>
        <w:rPr>
          <w:rFonts w:ascii="Arial" w:eastAsia="Calibri" w:hAnsi="Arial" w:cs="Arial"/>
          <w:sz w:val="24"/>
          <w:szCs w:val="24"/>
        </w:rPr>
      </w:pPr>
    </w:p>
    <w:p w:rsidR="006B5907" w:rsidRDefault="006B5907" w:rsidP="005802E3">
      <w:pPr>
        <w:spacing w:before="240" w:line="360" w:lineRule="auto"/>
        <w:jc w:val="both"/>
        <w:rPr>
          <w:rFonts w:ascii="Arial" w:eastAsia="Calibri" w:hAnsi="Arial" w:cs="Arial"/>
          <w:sz w:val="26"/>
          <w:szCs w:val="26"/>
        </w:rPr>
      </w:pPr>
    </w:p>
    <w:p w:rsidR="006B5907" w:rsidRDefault="006B5907" w:rsidP="00B1093A">
      <w:pPr>
        <w:jc w:val="center"/>
        <w:rPr>
          <w:rFonts w:ascii="Arial" w:eastAsia="Calibri" w:hAnsi="Arial" w:cs="Arial"/>
          <w:sz w:val="26"/>
          <w:szCs w:val="26"/>
        </w:rPr>
      </w:pPr>
    </w:p>
    <w:p w:rsidR="006B5907" w:rsidRDefault="006B5907" w:rsidP="00B1093A">
      <w:pPr>
        <w:jc w:val="center"/>
        <w:rPr>
          <w:rFonts w:ascii="Arial" w:eastAsia="Calibri" w:hAnsi="Arial" w:cs="Arial"/>
          <w:sz w:val="26"/>
          <w:szCs w:val="26"/>
        </w:rPr>
      </w:pPr>
    </w:p>
    <w:p w:rsidR="00CF1C55" w:rsidRDefault="00CF1C55" w:rsidP="00B1093A">
      <w:pPr>
        <w:jc w:val="center"/>
        <w:rPr>
          <w:rFonts w:ascii="Arial" w:eastAsia="Calibri" w:hAnsi="Arial" w:cs="Arial"/>
          <w:sz w:val="26"/>
          <w:szCs w:val="26"/>
        </w:rPr>
      </w:pPr>
    </w:p>
    <w:p w:rsidR="00CF1C55" w:rsidRDefault="00CF1C55" w:rsidP="00B1093A">
      <w:pPr>
        <w:jc w:val="center"/>
        <w:rPr>
          <w:rFonts w:ascii="Arial" w:eastAsia="Calibri" w:hAnsi="Arial" w:cs="Arial"/>
          <w:sz w:val="26"/>
          <w:szCs w:val="26"/>
        </w:rPr>
      </w:pPr>
    </w:p>
    <w:p w:rsidR="006B5907" w:rsidRDefault="006B5907" w:rsidP="00DF0936">
      <w:pPr>
        <w:rPr>
          <w:rFonts w:ascii="Arial" w:eastAsia="Calibri" w:hAnsi="Arial" w:cs="Arial"/>
          <w:sz w:val="26"/>
          <w:szCs w:val="26"/>
        </w:rPr>
      </w:pPr>
    </w:p>
    <w:sectPr w:rsidR="006B5907" w:rsidSect="00787AC6">
      <w:headerReference w:type="even" r:id="rId8"/>
      <w:headerReference w:type="default" r:id="rId9"/>
      <w:footerReference w:type="default" r:id="rId10"/>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9C6" w:rsidRDefault="00E839C6" w:rsidP="0086324C">
      <w:r>
        <w:separator/>
      </w:r>
    </w:p>
  </w:endnote>
  <w:endnote w:type="continuationSeparator" w:id="0">
    <w:p w:rsidR="00E839C6" w:rsidRDefault="00E839C6" w:rsidP="00863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76B" w:rsidRDefault="008F276B">
    <w:pPr>
      <w:pStyle w:val="Piedepgina"/>
    </w:pPr>
    <w:r>
      <w:rPr>
        <w:noProof/>
        <w:lang w:eastAsia="es-MX"/>
      </w:rPr>
      <mc:AlternateContent>
        <mc:Choice Requires="wps">
          <w:drawing>
            <wp:anchor distT="0" distB="0" distL="114300" distR="114300" simplePos="0" relativeHeight="251652608" behindDoc="0" locked="0" layoutInCell="1" allowOverlap="1" wp14:anchorId="2A511388" wp14:editId="036712E4">
              <wp:simplePos x="0" y="0"/>
              <wp:positionH relativeFrom="column">
                <wp:posOffset>-1701237</wp:posOffset>
              </wp:positionH>
              <wp:positionV relativeFrom="paragraph">
                <wp:posOffset>-3803315</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8F276B" w:rsidRDefault="008F276B" w:rsidP="008F276B">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511388" id="_x0000_t202" coordsize="21600,21600" o:spt="202" path="m,l,21600r21600,l21600,xe">
              <v:stroke joinstyle="miter"/>
              <v:path gradientshapeok="t" o:connecttype="rect"/>
            </v:shapetype>
            <v:shape id="Cuadro de texto 4" o:spid="_x0000_s1030" type="#_x0000_t202" style="position:absolute;margin-left:-133.95pt;margin-top:-299.45pt;width:84.75pt;height:51.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sQsJQIAAEs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">
              <v:textbox>
                <w:txbxContent>
                  <w:p w:rsidR="008F276B" w:rsidRDefault="008F276B" w:rsidP="008F276B">
                    <w:pPr>
                      <w:rPr>
                        <w:sz w:val="16"/>
                        <w:szCs w:val="16"/>
                      </w:rPr>
                    </w:pPr>
                    <w:r>
                      <w:rPr>
                        <w:sz w:val="16"/>
                        <w:szCs w:val="16"/>
                      </w:rPr>
                      <w:t>Datos personales protegidos por el Art. 116 de la LGTAIP y el Art.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9C6" w:rsidRDefault="00E839C6" w:rsidP="0086324C">
      <w:r>
        <w:separator/>
      </w:r>
    </w:p>
  </w:footnote>
  <w:footnote w:type="continuationSeparator" w:id="0">
    <w:p w:rsidR="00E839C6" w:rsidRDefault="00E839C6" w:rsidP="008632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5A0041" w:rsidRDefault="005A0041">
        <w:pPr>
          <w:pStyle w:val="Encabezado"/>
          <w:jc w:val="center"/>
        </w:pPr>
        <w:r>
          <w:fldChar w:fldCharType="begin"/>
        </w:r>
        <w:r>
          <w:instrText>PAGE   \* MERGEFORMAT</w:instrText>
        </w:r>
        <w:r>
          <w:fldChar w:fldCharType="separate"/>
        </w:r>
        <w:r>
          <w:rPr>
            <w:noProof/>
          </w:rPr>
          <w:t>8</w:t>
        </w:r>
        <w:r>
          <w:fldChar w:fldCharType="end"/>
        </w:r>
      </w:p>
    </w:sdtContent>
  </w:sdt>
  <w:p w:rsidR="005A0041" w:rsidRDefault="005A004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5A0041" w:rsidRDefault="005A0041" w:rsidP="005A0041">
        <w:pPr>
          <w:pStyle w:val="Encabezado"/>
          <w:jc w:val="center"/>
          <w:rPr>
            <w:noProof/>
          </w:rPr>
        </w:pPr>
        <w:r>
          <w:fldChar w:fldCharType="begin"/>
        </w:r>
        <w:r>
          <w:instrText xml:space="preserve"> PAGE   \* MERGEFORMAT </w:instrText>
        </w:r>
        <w:r>
          <w:fldChar w:fldCharType="separate"/>
        </w:r>
        <w:r w:rsidR="008F276B">
          <w:rPr>
            <w:noProof/>
          </w:rPr>
          <w:t>8</w:t>
        </w:r>
        <w:r>
          <w:rPr>
            <w:noProof/>
          </w:rPr>
          <w:fldChar w:fldCharType="end"/>
        </w:r>
      </w:p>
      <w:p w:rsidR="005A0041" w:rsidRDefault="008F276B" w:rsidP="005A0041">
        <w:pPr>
          <w:pStyle w:val="Encabezado"/>
          <w:jc w:val="center"/>
        </w:pPr>
      </w:p>
    </w:sdtContent>
  </w:sdt>
  <w:p w:rsidR="009D5178" w:rsidRDefault="009D5178" w:rsidP="005A0041">
    <w:pPr>
      <w:pStyle w:val="Encabezado"/>
      <w:tabs>
        <w:tab w:val="left" w:pos="142"/>
      </w:tabs>
      <w:ind w:left="284"/>
      <w:rPr>
        <w:noProof/>
        <w:lang w:val="es-MX" w:eastAsia="es-MX"/>
      </w:rPr>
    </w:pPr>
  </w:p>
  <w:p w:rsidR="005A0041" w:rsidRDefault="009D5178" w:rsidP="005A0041">
    <w:pPr>
      <w:pStyle w:val="Encabezado"/>
      <w:tabs>
        <w:tab w:val="left" w:pos="142"/>
      </w:tabs>
      <w:ind w:left="284"/>
    </w:pPr>
    <w:r>
      <w:rPr>
        <w:noProof/>
        <w:lang w:val="es-MX" w:eastAsia="es-MX"/>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261531AC"/>
    <w:multiLevelType w:val="hybridMultilevel"/>
    <w:tmpl w:val="0E008988"/>
    <w:lvl w:ilvl="0" w:tplc="B69AC1E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34A56D03"/>
    <w:multiLevelType w:val="hybridMultilevel"/>
    <w:tmpl w:val="FCB410E0"/>
    <w:lvl w:ilvl="0" w:tplc="AE186DF6">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
    <w:nsid w:val="77792E11"/>
    <w:multiLevelType w:val="hybridMultilevel"/>
    <w:tmpl w:val="E766B0DA"/>
    <w:lvl w:ilvl="0" w:tplc="2F8C9BDC">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proofState w:spelling="clean" w:grammar="clean"/>
  <w:defaultTabStop w:val="708"/>
  <w:hyphenationZone w:val="425"/>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4C"/>
    <w:rsid w:val="0000291B"/>
    <w:rsid w:val="00002D1B"/>
    <w:rsid w:val="0000639F"/>
    <w:rsid w:val="00010E72"/>
    <w:rsid w:val="0001511C"/>
    <w:rsid w:val="00023AE0"/>
    <w:rsid w:val="000356B8"/>
    <w:rsid w:val="00036E58"/>
    <w:rsid w:val="0003721D"/>
    <w:rsid w:val="000403C3"/>
    <w:rsid w:val="00041685"/>
    <w:rsid w:val="000419E2"/>
    <w:rsid w:val="00052F68"/>
    <w:rsid w:val="000634AD"/>
    <w:rsid w:val="00066584"/>
    <w:rsid w:val="000735CD"/>
    <w:rsid w:val="00073CE2"/>
    <w:rsid w:val="000761BA"/>
    <w:rsid w:val="0008646E"/>
    <w:rsid w:val="000912F2"/>
    <w:rsid w:val="00093AD2"/>
    <w:rsid w:val="000A6001"/>
    <w:rsid w:val="000B0C12"/>
    <w:rsid w:val="000C2693"/>
    <w:rsid w:val="000C683C"/>
    <w:rsid w:val="000C6957"/>
    <w:rsid w:val="000D2E73"/>
    <w:rsid w:val="000D4AB5"/>
    <w:rsid w:val="001008B4"/>
    <w:rsid w:val="00100A52"/>
    <w:rsid w:val="0010570A"/>
    <w:rsid w:val="00110B0E"/>
    <w:rsid w:val="001117B6"/>
    <w:rsid w:val="00120984"/>
    <w:rsid w:val="00123EC2"/>
    <w:rsid w:val="001314F2"/>
    <w:rsid w:val="00142B33"/>
    <w:rsid w:val="001437EF"/>
    <w:rsid w:val="00153114"/>
    <w:rsid w:val="001559BF"/>
    <w:rsid w:val="001617BC"/>
    <w:rsid w:val="00161C6A"/>
    <w:rsid w:val="0017342C"/>
    <w:rsid w:val="00176019"/>
    <w:rsid w:val="00176F42"/>
    <w:rsid w:val="00195B00"/>
    <w:rsid w:val="001A0584"/>
    <w:rsid w:val="001A55C0"/>
    <w:rsid w:val="001B054F"/>
    <w:rsid w:val="001B720E"/>
    <w:rsid w:val="001C7823"/>
    <w:rsid w:val="001D7457"/>
    <w:rsid w:val="001E7EA9"/>
    <w:rsid w:val="001F7789"/>
    <w:rsid w:val="0020469D"/>
    <w:rsid w:val="00226DC2"/>
    <w:rsid w:val="00232E82"/>
    <w:rsid w:val="00233D05"/>
    <w:rsid w:val="00244927"/>
    <w:rsid w:val="0024547A"/>
    <w:rsid w:val="00246FE5"/>
    <w:rsid w:val="00262CFF"/>
    <w:rsid w:val="00262DE6"/>
    <w:rsid w:val="00263CE0"/>
    <w:rsid w:val="00265C24"/>
    <w:rsid w:val="00265E96"/>
    <w:rsid w:val="00266BA6"/>
    <w:rsid w:val="00267AB6"/>
    <w:rsid w:val="00282A4C"/>
    <w:rsid w:val="00293AC9"/>
    <w:rsid w:val="002946FD"/>
    <w:rsid w:val="002947C2"/>
    <w:rsid w:val="002A4A28"/>
    <w:rsid w:val="002A56E7"/>
    <w:rsid w:val="002A6E97"/>
    <w:rsid w:val="002B733C"/>
    <w:rsid w:val="002C05DE"/>
    <w:rsid w:val="002C106D"/>
    <w:rsid w:val="002C6022"/>
    <w:rsid w:val="002C6BD4"/>
    <w:rsid w:val="002D767A"/>
    <w:rsid w:val="002E3019"/>
    <w:rsid w:val="002E4046"/>
    <w:rsid w:val="002F76DA"/>
    <w:rsid w:val="003013F5"/>
    <w:rsid w:val="003074FB"/>
    <w:rsid w:val="00312807"/>
    <w:rsid w:val="00315FF5"/>
    <w:rsid w:val="00322F0A"/>
    <w:rsid w:val="003373D0"/>
    <w:rsid w:val="003453F7"/>
    <w:rsid w:val="00345682"/>
    <w:rsid w:val="00347458"/>
    <w:rsid w:val="00351FFD"/>
    <w:rsid w:val="00362548"/>
    <w:rsid w:val="00370DD3"/>
    <w:rsid w:val="00374536"/>
    <w:rsid w:val="00375598"/>
    <w:rsid w:val="00375DD4"/>
    <w:rsid w:val="00387132"/>
    <w:rsid w:val="003A0B65"/>
    <w:rsid w:val="003A1BCF"/>
    <w:rsid w:val="003A7ED2"/>
    <w:rsid w:val="003B1D33"/>
    <w:rsid w:val="003D64A8"/>
    <w:rsid w:val="003E06D0"/>
    <w:rsid w:val="003F0D67"/>
    <w:rsid w:val="003F1B7F"/>
    <w:rsid w:val="003F2456"/>
    <w:rsid w:val="00401620"/>
    <w:rsid w:val="00406EB1"/>
    <w:rsid w:val="00410238"/>
    <w:rsid w:val="00413494"/>
    <w:rsid w:val="00430716"/>
    <w:rsid w:val="00441007"/>
    <w:rsid w:val="00442407"/>
    <w:rsid w:val="0045464F"/>
    <w:rsid w:val="004829E1"/>
    <w:rsid w:val="00483CD6"/>
    <w:rsid w:val="004A0926"/>
    <w:rsid w:val="004B0C15"/>
    <w:rsid w:val="004D2249"/>
    <w:rsid w:val="004D53E5"/>
    <w:rsid w:val="004E16D5"/>
    <w:rsid w:val="004E3ACA"/>
    <w:rsid w:val="004E49FA"/>
    <w:rsid w:val="004E671F"/>
    <w:rsid w:val="004E7B9E"/>
    <w:rsid w:val="004F2D4F"/>
    <w:rsid w:val="004F6EFE"/>
    <w:rsid w:val="005000B8"/>
    <w:rsid w:val="00500511"/>
    <w:rsid w:val="00504E43"/>
    <w:rsid w:val="00515919"/>
    <w:rsid w:val="00517AED"/>
    <w:rsid w:val="00520E4A"/>
    <w:rsid w:val="0053322D"/>
    <w:rsid w:val="00534B12"/>
    <w:rsid w:val="00543AC8"/>
    <w:rsid w:val="0054778D"/>
    <w:rsid w:val="0055003F"/>
    <w:rsid w:val="005634F0"/>
    <w:rsid w:val="00565066"/>
    <w:rsid w:val="00572100"/>
    <w:rsid w:val="00572CC1"/>
    <w:rsid w:val="005802E3"/>
    <w:rsid w:val="005805E6"/>
    <w:rsid w:val="00582A85"/>
    <w:rsid w:val="005842F9"/>
    <w:rsid w:val="0058561F"/>
    <w:rsid w:val="005939FC"/>
    <w:rsid w:val="005A0041"/>
    <w:rsid w:val="005A21F9"/>
    <w:rsid w:val="005A5118"/>
    <w:rsid w:val="005A6F11"/>
    <w:rsid w:val="005B7F94"/>
    <w:rsid w:val="005C1643"/>
    <w:rsid w:val="005C2FEE"/>
    <w:rsid w:val="005C49D1"/>
    <w:rsid w:val="005C5E2B"/>
    <w:rsid w:val="005C6D5A"/>
    <w:rsid w:val="005D0269"/>
    <w:rsid w:val="005E22F7"/>
    <w:rsid w:val="005F5F50"/>
    <w:rsid w:val="00602C4B"/>
    <w:rsid w:val="00603900"/>
    <w:rsid w:val="00605657"/>
    <w:rsid w:val="006119CB"/>
    <w:rsid w:val="00612491"/>
    <w:rsid w:val="00625AE1"/>
    <w:rsid w:val="00643BCF"/>
    <w:rsid w:val="00651C1E"/>
    <w:rsid w:val="00652127"/>
    <w:rsid w:val="00674146"/>
    <w:rsid w:val="006755ED"/>
    <w:rsid w:val="006801A6"/>
    <w:rsid w:val="00681A33"/>
    <w:rsid w:val="00683227"/>
    <w:rsid w:val="00687623"/>
    <w:rsid w:val="00696B58"/>
    <w:rsid w:val="00696CAB"/>
    <w:rsid w:val="006A4DD0"/>
    <w:rsid w:val="006A53B7"/>
    <w:rsid w:val="006A69B7"/>
    <w:rsid w:val="006A6C96"/>
    <w:rsid w:val="006B2B1F"/>
    <w:rsid w:val="006B5907"/>
    <w:rsid w:val="006B6E22"/>
    <w:rsid w:val="006C127A"/>
    <w:rsid w:val="006C7FF1"/>
    <w:rsid w:val="006D2350"/>
    <w:rsid w:val="006E1498"/>
    <w:rsid w:val="006F0C94"/>
    <w:rsid w:val="006F62A3"/>
    <w:rsid w:val="006F640D"/>
    <w:rsid w:val="006F700A"/>
    <w:rsid w:val="00702AE8"/>
    <w:rsid w:val="00710EF4"/>
    <w:rsid w:val="00721D5E"/>
    <w:rsid w:val="00724063"/>
    <w:rsid w:val="00725896"/>
    <w:rsid w:val="00736D95"/>
    <w:rsid w:val="007467F9"/>
    <w:rsid w:val="00750C39"/>
    <w:rsid w:val="007638EA"/>
    <w:rsid w:val="00766EE1"/>
    <w:rsid w:val="00770C05"/>
    <w:rsid w:val="00771FA9"/>
    <w:rsid w:val="00772704"/>
    <w:rsid w:val="00775208"/>
    <w:rsid w:val="007803F8"/>
    <w:rsid w:val="00784644"/>
    <w:rsid w:val="00787AC6"/>
    <w:rsid w:val="00792D97"/>
    <w:rsid w:val="007951F2"/>
    <w:rsid w:val="00796826"/>
    <w:rsid w:val="007B133E"/>
    <w:rsid w:val="007B24B6"/>
    <w:rsid w:val="007B31BD"/>
    <w:rsid w:val="007B35A3"/>
    <w:rsid w:val="007B5A59"/>
    <w:rsid w:val="007B74A1"/>
    <w:rsid w:val="007C27AD"/>
    <w:rsid w:val="007D3714"/>
    <w:rsid w:val="007E5863"/>
    <w:rsid w:val="00802211"/>
    <w:rsid w:val="008058B6"/>
    <w:rsid w:val="0080622E"/>
    <w:rsid w:val="008255FD"/>
    <w:rsid w:val="00841F85"/>
    <w:rsid w:val="0084294D"/>
    <w:rsid w:val="00844FB5"/>
    <w:rsid w:val="008477FF"/>
    <w:rsid w:val="00851A38"/>
    <w:rsid w:val="00855755"/>
    <w:rsid w:val="00862906"/>
    <w:rsid w:val="0086295A"/>
    <w:rsid w:val="0086324C"/>
    <w:rsid w:val="00863795"/>
    <w:rsid w:val="00867DC7"/>
    <w:rsid w:val="00871E80"/>
    <w:rsid w:val="0088538D"/>
    <w:rsid w:val="0088680F"/>
    <w:rsid w:val="00886E7A"/>
    <w:rsid w:val="00892857"/>
    <w:rsid w:val="00895421"/>
    <w:rsid w:val="00895A3E"/>
    <w:rsid w:val="0089776E"/>
    <w:rsid w:val="008B0C94"/>
    <w:rsid w:val="008D1C33"/>
    <w:rsid w:val="008D32AA"/>
    <w:rsid w:val="008E08B9"/>
    <w:rsid w:val="008E25F2"/>
    <w:rsid w:val="008E773C"/>
    <w:rsid w:val="008F18D7"/>
    <w:rsid w:val="008F276B"/>
    <w:rsid w:val="008F52A7"/>
    <w:rsid w:val="009041FC"/>
    <w:rsid w:val="0092244F"/>
    <w:rsid w:val="00926745"/>
    <w:rsid w:val="00944265"/>
    <w:rsid w:val="009449E8"/>
    <w:rsid w:val="00944A5C"/>
    <w:rsid w:val="00961155"/>
    <w:rsid w:val="0096695A"/>
    <w:rsid w:val="00974CEB"/>
    <w:rsid w:val="00974E9B"/>
    <w:rsid w:val="009759AA"/>
    <w:rsid w:val="00981211"/>
    <w:rsid w:val="00982303"/>
    <w:rsid w:val="00983B89"/>
    <w:rsid w:val="00984A57"/>
    <w:rsid w:val="009872FE"/>
    <w:rsid w:val="009A29AE"/>
    <w:rsid w:val="009A3413"/>
    <w:rsid w:val="009B2EA7"/>
    <w:rsid w:val="009C0C04"/>
    <w:rsid w:val="009C4792"/>
    <w:rsid w:val="009C5367"/>
    <w:rsid w:val="009D31CA"/>
    <w:rsid w:val="009D5178"/>
    <w:rsid w:val="009E04F1"/>
    <w:rsid w:val="009E42AE"/>
    <w:rsid w:val="009E4F41"/>
    <w:rsid w:val="009E55FA"/>
    <w:rsid w:val="009F1FD5"/>
    <w:rsid w:val="009F4D2B"/>
    <w:rsid w:val="00A0411B"/>
    <w:rsid w:val="00A10F98"/>
    <w:rsid w:val="00A20617"/>
    <w:rsid w:val="00A2733F"/>
    <w:rsid w:val="00A309B6"/>
    <w:rsid w:val="00A3345B"/>
    <w:rsid w:val="00A35447"/>
    <w:rsid w:val="00A40BBE"/>
    <w:rsid w:val="00A42893"/>
    <w:rsid w:val="00A47102"/>
    <w:rsid w:val="00A476CA"/>
    <w:rsid w:val="00A47F7C"/>
    <w:rsid w:val="00A508D7"/>
    <w:rsid w:val="00A56232"/>
    <w:rsid w:val="00A57667"/>
    <w:rsid w:val="00A600AF"/>
    <w:rsid w:val="00A732AB"/>
    <w:rsid w:val="00A847B1"/>
    <w:rsid w:val="00A969C6"/>
    <w:rsid w:val="00A97C4D"/>
    <w:rsid w:val="00AA046D"/>
    <w:rsid w:val="00AB0D24"/>
    <w:rsid w:val="00AB3B51"/>
    <w:rsid w:val="00AC27E8"/>
    <w:rsid w:val="00AC6780"/>
    <w:rsid w:val="00AD3626"/>
    <w:rsid w:val="00AD3C9B"/>
    <w:rsid w:val="00AD4DB6"/>
    <w:rsid w:val="00AD73EA"/>
    <w:rsid w:val="00AE4B9A"/>
    <w:rsid w:val="00AE73F3"/>
    <w:rsid w:val="00AF574D"/>
    <w:rsid w:val="00B0177C"/>
    <w:rsid w:val="00B0618B"/>
    <w:rsid w:val="00B06594"/>
    <w:rsid w:val="00B06AC0"/>
    <w:rsid w:val="00B1093A"/>
    <w:rsid w:val="00B1170F"/>
    <w:rsid w:val="00B1605D"/>
    <w:rsid w:val="00B17C94"/>
    <w:rsid w:val="00B23ABF"/>
    <w:rsid w:val="00B274E8"/>
    <w:rsid w:val="00B27EB0"/>
    <w:rsid w:val="00B50462"/>
    <w:rsid w:val="00B540A0"/>
    <w:rsid w:val="00B54B17"/>
    <w:rsid w:val="00B60D14"/>
    <w:rsid w:val="00B675C8"/>
    <w:rsid w:val="00B73016"/>
    <w:rsid w:val="00B81ED2"/>
    <w:rsid w:val="00B8500D"/>
    <w:rsid w:val="00B959DB"/>
    <w:rsid w:val="00BA67AE"/>
    <w:rsid w:val="00BB0AD8"/>
    <w:rsid w:val="00BB1547"/>
    <w:rsid w:val="00BB3360"/>
    <w:rsid w:val="00BD62B8"/>
    <w:rsid w:val="00BE3B76"/>
    <w:rsid w:val="00BF31B1"/>
    <w:rsid w:val="00BF4270"/>
    <w:rsid w:val="00BF618B"/>
    <w:rsid w:val="00BF6517"/>
    <w:rsid w:val="00C01661"/>
    <w:rsid w:val="00C06F24"/>
    <w:rsid w:val="00C159A5"/>
    <w:rsid w:val="00C26834"/>
    <w:rsid w:val="00C314D3"/>
    <w:rsid w:val="00C33757"/>
    <w:rsid w:val="00C47321"/>
    <w:rsid w:val="00C51772"/>
    <w:rsid w:val="00C531F0"/>
    <w:rsid w:val="00C64F74"/>
    <w:rsid w:val="00C751E6"/>
    <w:rsid w:val="00C8038B"/>
    <w:rsid w:val="00C858C3"/>
    <w:rsid w:val="00C87533"/>
    <w:rsid w:val="00C9209A"/>
    <w:rsid w:val="00C94FF0"/>
    <w:rsid w:val="00C9502A"/>
    <w:rsid w:val="00C96AC8"/>
    <w:rsid w:val="00CA4F40"/>
    <w:rsid w:val="00CB1630"/>
    <w:rsid w:val="00CB4F6B"/>
    <w:rsid w:val="00CB721C"/>
    <w:rsid w:val="00CD0972"/>
    <w:rsid w:val="00CD2F3D"/>
    <w:rsid w:val="00CD3A92"/>
    <w:rsid w:val="00CD66CA"/>
    <w:rsid w:val="00CE12E0"/>
    <w:rsid w:val="00CF1C55"/>
    <w:rsid w:val="00CF2E22"/>
    <w:rsid w:val="00CF6487"/>
    <w:rsid w:val="00CF75E3"/>
    <w:rsid w:val="00D0246B"/>
    <w:rsid w:val="00D026C4"/>
    <w:rsid w:val="00D07AA3"/>
    <w:rsid w:val="00D11093"/>
    <w:rsid w:val="00D12A30"/>
    <w:rsid w:val="00D23FC5"/>
    <w:rsid w:val="00D24801"/>
    <w:rsid w:val="00D31951"/>
    <w:rsid w:val="00D32014"/>
    <w:rsid w:val="00D32682"/>
    <w:rsid w:val="00D327B8"/>
    <w:rsid w:val="00D32DA3"/>
    <w:rsid w:val="00D33550"/>
    <w:rsid w:val="00D34394"/>
    <w:rsid w:val="00D35AB8"/>
    <w:rsid w:val="00D376AD"/>
    <w:rsid w:val="00D41B95"/>
    <w:rsid w:val="00D50AE6"/>
    <w:rsid w:val="00D5276D"/>
    <w:rsid w:val="00D63D8F"/>
    <w:rsid w:val="00D7090D"/>
    <w:rsid w:val="00D92032"/>
    <w:rsid w:val="00DB0E12"/>
    <w:rsid w:val="00DB79FE"/>
    <w:rsid w:val="00DC2F6D"/>
    <w:rsid w:val="00DD117A"/>
    <w:rsid w:val="00DD7089"/>
    <w:rsid w:val="00DF0936"/>
    <w:rsid w:val="00E04A76"/>
    <w:rsid w:val="00E12938"/>
    <w:rsid w:val="00E23BEE"/>
    <w:rsid w:val="00E26C40"/>
    <w:rsid w:val="00E32781"/>
    <w:rsid w:val="00E32BCA"/>
    <w:rsid w:val="00E36E6C"/>
    <w:rsid w:val="00E43322"/>
    <w:rsid w:val="00E530A1"/>
    <w:rsid w:val="00E57E95"/>
    <w:rsid w:val="00E624E8"/>
    <w:rsid w:val="00E71DE5"/>
    <w:rsid w:val="00E76AE3"/>
    <w:rsid w:val="00E839C6"/>
    <w:rsid w:val="00E87D85"/>
    <w:rsid w:val="00E92163"/>
    <w:rsid w:val="00EA7274"/>
    <w:rsid w:val="00EB3361"/>
    <w:rsid w:val="00EB442F"/>
    <w:rsid w:val="00EC316F"/>
    <w:rsid w:val="00EC5D12"/>
    <w:rsid w:val="00EE0ABE"/>
    <w:rsid w:val="00EE18C2"/>
    <w:rsid w:val="00EE28F2"/>
    <w:rsid w:val="00EE59F3"/>
    <w:rsid w:val="00EE6B93"/>
    <w:rsid w:val="00EE77F8"/>
    <w:rsid w:val="00F03E94"/>
    <w:rsid w:val="00F07F94"/>
    <w:rsid w:val="00F12399"/>
    <w:rsid w:val="00F157C7"/>
    <w:rsid w:val="00F16F3C"/>
    <w:rsid w:val="00F21A20"/>
    <w:rsid w:val="00F23B6E"/>
    <w:rsid w:val="00F24299"/>
    <w:rsid w:val="00F26FCD"/>
    <w:rsid w:val="00F37F5B"/>
    <w:rsid w:val="00F4677D"/>
    <w:rsid w:val="00F468ED"/>
    <w:rsid w:val="00F52FBC"/>
    <w:rsid w:val="00F575D8"/>
    <w:rsid w:val="00F674F7"/>
    <w:rsid w:val="00F67A1C"/>
    <w:rsid w:val="00F86C69"/>
    <w:rsid w:val="00F92FE2"/>
    <w:rsid w:val="00F95668"/>
    <w:rsid w:val="00F968CB"/>
    <w:rsid w:val="00F97248"/>
    <w:rsid w:val="00F97D9A"/>
    <w:rsid w:val="00FA6314"/>
    <w:rsid w:val="00FB0316"/>
    <w:rsid w:val="00FC13FE"/>
    <w:rsid w:val="00FC43DD"/>
    <w:rsid w:val="00FC7594"/>
    <w:rsid w:val="00FD089F"/>
    <w:rsid w:val="00FD1CC2"/>
    <w:rsid w:val="00FF06A7"/>
    <w:rsid w:val="00FF6E13"/>
    <w:rsid w:val="00FF76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5:docId w15:val="{A203FD7A-C5F0-412F-A799-151D98DBA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24C"/>
    <w:pPr>
      <w:spacing w:after="0" w:line="240" w:lineRule="auto"/>
    </w:pPr>
  </w:style>
  <w:style w:type="paragraph" w:styleId="Ttulo1">
    <w:name w:val="heading 1"/>
    <w:basedOn w:val="Normal"/>
    <w:next w:val="Normal"/>
    <w:link w:val="Ttulo1Car"/>
    <w:uiPriority w:val="9"/>
    <w:qFormat/>
    <w:rsid w:val="0086324C"/>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6324C"/>
    <w:rPr>
      <w:rFonts w:asciiTheme="majorHAnsi" w:eastAsiaTheme="majorEastAsia" w:hAnsiTheme="majorHAnsi" w:cstheme="majorBidi"/>
      <w:b/>
      <w:bCs/>
      <w:color w:val="2E74B5" w:themeColor="accent1" w:themeShade="BF"/>
      <w:sz w:val="28"/>
      <w:szCs w:val="28"/>
      <w:lang w:val="es-ES"/>
    </w:rPr>
  </w:style>
  <w:style w:type="paragraph" w:customStyle="1" w:styleId="Textoindependiente21">
    <w:name w:val="Texto independiente 21"/>
    <w:basedOn w:val="Normal"/>
    <w:rsid w:val="0086324C"/>
    <w:pPr>
      <w:widowControl w:val="0"/>
      <w:spacing w:line="480" w:lineRule="auto"/>
      <w:ind w:right="51" w:firstLine="1134"/>
      <w:jc w:val="both"/>
    </w:pPr>
    <w:rPr>
      <w:rFonts w:ascii="Courier" w:eastAsia="Times New Roman" w:hAnsi="Courier" w:cs="Times New Roman"/>
      <w:sz w:val="24"/>
      <w:szCs w:val="20"/>
      <w:lang w:val="es-ES" w:eastAsia="es-ES"/>
    </w:rPr>
  </w:style>
  <w:style w:type="paragraph" w:styleId="Encabezado">
    <w:name w:val="header"/>
    <w:basedOn w:val="Normal"/>
    <w:link w:val="EncabezadoCar"/>
    <w:uiPriority w:val="99"/>
    <w:rsid w:val="0086324C"/>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86324C"/>
    <w:rPr>
      <w:rFonts w:ascii="Times New Roman" w:eastAsia="PMingLiU" w:hAnsi="Times New Roman" w:cs="Times New Roman"/>
      <w:sz w:val="24"/>
      <w:szCs w:val="24"/>
      <w:lang w:val="es-ES" w:eastAsia="zh-TW"/>
    </w:rPr>
  </w:style>
  <w:style w:type="paragraph" w:styleId="Sinespaciado">
    <w:name w:val="No Spacing"/>
    <w:uiPriority w:val="1"/>
    <w:qFormat/>
    <w:rsid w:val="0086324C"/>
    <w:pPr>
      <w:spacing w:after="0" w:line="240" w:lineRule="auto"/>
    </w:pPr>
    <w:rPr>
      <w:lang w:val="es-ES"/>
    </w:rPr>
  </w:style>
  <w:style w:type="paragraph" w:styleId="Textonotapie">
    <w:name w:val="footnote text"/>
    <w:basedOn w:val="Normal"/>
    <w:link w:val="TextonotapieCar"/>
    <w:uiPriority w:val="99"/>
    <w:semiHidden/>
    <w:unhideWhenUsed/>
    <w:rsid w:val="0086324C"/>
    <w:rPr>
      <w:sz w:val="20"/>
      <w:szCs w:val="20"/>
      <w:lang w:val="es-ES"/>
    </w:rPr>
  </w:style>
  <w:style w:type="character" w:customStyle="1" w:styleId="TextonotapieCar">
    <w:name w:val="Texto nota pie Car"/>
    <w:basedOn w:val="Fuentedeprrafopredeter"/>
    <w:link w:val="Textonotapie"/>
    <w:uiPriority w:val="99"/>
    <w:semiHidden/>
    <w:rsid w:val="0086324C"/>
    <w:rPr>
      <w:sz w:val="20"/>
      <w:szCs w:val="20"/>
      <w:lang w:val="es-ES"/>
    </w:rPr>
  </w:style>
  <w:style w:type="character" w:styleId="Refdenotaalpie">
    <w:name w:val="footnote reference"/>
    <w:basedOn w:val="Fuentedeprrafopredeter"/>
    <w:uiPriority w:val="99"/>
    <w:semiHidden/>
    <w:unhideWhenUsed/>
    <w:rsid w:val="0086324C"/>
    <w:rPr>
      <w:vertAlign w:val="superscript"/>
    </w:rPr>
  </w:style>
  <w:style w:type="paragraph" w:styleId="Prrafodelista">
    <w:name w:val="List Paragraph"/>
    <w:basedOn w:val="Normal"/>
    <w:uiPriority w:val="34"/>
    <w:qFormat/>
    <w:rsid w:val="00796826"/>
    <w:pPr>
      <w:spacing w:after="200" w:line="276" w:lineRule="auto"/>
      <w:ind w:left="720"/>
      <w:contextualSpacing/>
    </w:pPr>
    <w:rPr>
      <w:lang w:val="es-ES"/>
    </w:rPr>
  </w:style>
  <w:style w:type="paragraph" w:styleId="Textodeglobo">
    <w:name w:val="Balloon Text"/>
    <w:basedOn w:val="Normal"/>
    <w:link w:val="TextodegloboCar"/>
    <w:uiPriority w:val="99"/>
    <w:semiHidden/>
    <w:unhideWhenUsed/>
    <w:rsid w:val="005000B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00B8"/>
    <w:rPr>
      <w:rFonts w:ascii="Segoe UI" w:hAnsi="Segoe UI" w:cs="Segoe UI"/>
      <w:sz w:val="18"/>
      <w:szCs w:val="18"/>
    </w:rPr>
  </w:style>
  <w:style w:type="paragraph" w:customStyle="1" w:styleId="Pa1">
    <w:name w:val="Pa1"/>
    <w:basedOn w:val="Normal"/>
    <w:next w:val="Normal"/>
    <w:uiPriority w:val="99"/>
    <w:rsid w:val="00BD62B8"/>
    <w:pPr>
      <w:autoSpaceDE w:val="0"/>
      <w:autoSpaceDN w:val="0"/>
      <w:adjustRightInd w:val="0"/>
      <w:spacing w:line="241" w:lineRule="atLeast"/>
    </w:pPr>
    <w:rPr>
      <w:rFonts w:ascii="Times New Roman" w:eastAsia="Calibri" w:hAnsi="Times New Roman" w:cs="Times New Roman"/>
      <w:sz w:val="24"/>
      <w:szCs w:val="24"/>
      <w:lang w:eastAsia="es-MX"/>
    </w:rPr>
  </w:style>
  <w:style w:type="character" w:customStyle="1" w:styleId="A1">
    <w:name w:val="A1"/>
    <w:uiPriority w:val="99"/>
    <w:rsid w:val="00BD62B8"/>
    <w:rPr>
      <w:i/>
      <w:iCs/>
      <w:color w:val="000000"/>
      <w:sz w:val="28"/>
      <w:szCs w:val="28"/>
    </w:rPr>
  </w:style>
  <w:style w:type="paragraph" w:styleId="NormalWeb">
    <w:name w:val="Normal (Web)"/>
    <w:basedOn w:val="Normal"/>
    <w:uiPriority w:val="99"/>
    <w:semiHidden/>
    <w:unhideWhenUsed/>
    <w:rsid w:val="003F1B7F"/>
    <w:pPr>
      <w:spacing w:before="100" w:beforeAutospacing="1" w:after="100" w:afterAutospacing="1"/>
    </w:pPr>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unhideWhenUsed/>
    <w:rsid w:val="009D5178"/>
    <w:pPr>
      <w:tabs>
        <w:tab w:val="center" w:pos="4419"/>
        <w:tab w:val="right" w:pos="8838"/>
      </w:tabs>
    </w:pPr>
  </w:style>
  <w:style w:type="character" w:customStyle="1" w:styleId="PiedepginaCar">
    <w:name w:val="Pie de página Car"/>
    <w:basedOn w:val="Fuentedeprrafopredeter"/>
    <w:link w:val="Piedepgina"/>
    <w:uiPriority w:val="99"/>
    <w:rsid w:val="009D5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03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BCB11-C3EA-42D8-9560-DE2CDD188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2540</Words>
  <Characters>13972</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sony</cp:lastModifiedBy>
  <cp:revision>9</cp:revision>
  <cp:lastPrinted>2018-01-23T21:46:00Z</cp:lastPrinted>
  <dcterms:created xsi:type="dcterms:W3CDTF">2018-03-26T16:41:00Z</dcterms:created>
  <dcterms:modified xsi:type="dcterms:W3CDTF">2018-12-10T00:46:00Z</dcterms:modified>
</cp:coreProperties>
</file>