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B17D70" w14:paraId="02B1814F" w14:textId="77777777" w:rsidTr="00D2291D">
        <w:tc>
          <w:tcPr>
            <w:tcW w:w="2356" w:type="dxa"/>
          </w:tcPr>
          <w:p w14:paraId="4CA2B5D3" w14:textId="77777777" w:rsidR="00930102" w:rsidRPr="00B17D70" w:rsidRDefault="00930102" w:rsidP="00D2291D">
            <w:pPr>
              <w:spacing w:after="0" w:line="240" w:lineRule="auto"/>
              <w:rPr>
                <w:rFonts w:ascii="Arial" w:hAnsi="Arial" w:cs="Arial"/>
                <w:b/>
                <w:sz w:val="26"/>
                <w:szCs w:val="26"/>
              </w:rPr>
            </w:pPr>
            <w:r w:rsidRPr="00B17D70">
              <w:rPr>
                <w:rFonts w:ascii="Arial" w:hAnsi="Arial" w:cs="Arial"/>
                <w:b/>
                <w:sz w:val="26"/>
                <w:szCs w:val="26"/>
              </w:rPr>
              <w:t xml:space="preserve">     </w:t>
            </w:r>
          </w:p>
        </w:tc>
        <w:tc>
          <w:tcPr>
            <w:tcW w:w="7426" w:type="dxa"/>
          </w:tcPr>
          <w:p w14:paraId="19264CD3" w14:textId="77777777" w:rsidR="00930102" w:rsidRPr="00B17D70" w:rsidRDefault="00930102" w:rsidP="00D2291D">
            <w:pPr>
              <w:tabs>
                <w:tab w:val="left" w:pos="3103"/>
              </w:tabs>
              <w:spacing w:after="0" w:line="240" w:lineRule="auto"/>
              <w:ind w:left="2394"/>
              <w:jc w:val="both"/>
              <w:rPr>
                <w:rFonts w:ascii="Arial" w:hAnsi="Arial" w:cs="Arial"/>
                <w:b/>
                <w:i/>
                <w:iCs/>
                <w:caps/>
                <w:sz w:val="26"/>
                <w:szCs w:val="26"/>
              </w:rPr>
            </w:pPr>
            <w:r w:rsidRPr="00B17D70">
              <w:rPr>
                <w:rFonts w:ascii="Arial" w:hAnsi="Arial" w:cs="Arial"/>
                <w:b/>
                <w:i/>
                <w:iCs/>
                <w:caps/>
                <w:sz w:val="26"/>
                <w:szCs w:val="26"/>
              </w:rPr>
              <w:t xml:space="preserve">                       </w:t>
            </w:r>
          </w:p>
          <w:p w14:paraId="6D5E0714" w14:textId="19A2CD37" w:rsidR="00930102" w:rsidRPr="00B17D70" w:rsidRDefault="00930102" w:rsidP="00D2291D">
            <w:pPr>
              <w:tabs>
                <w:tab w:val="left" w:pos="3103"/>
              </w:tabs>
              <w:spacing w:after="0" w:line="240" w:lineRule="auto"/>
              <w:ind w:left="2394"/>
              <w:jc w:val="both"/>
              <w:rPr>
                <w:rFonts w:ascii="Arial" w:hAnsi="Arial" w:cs="Arial"/>
                <w:b/>
                <w:iCs/>
                <w:caps/>
                <w:sz w:val="26"/>
                <w:szCs w:val="26"/>
              </w:rPr>
            </w:pPr>
            <w:r w:rsidRPr="00B17D70">
              <w:rPr>
                <w:rFonts w:ascii="Arial" w:hAnsi="Arial" w:cs="Arial"/>
                <w:b/>
                <w:iCs/>
                <w:caps/>
                <w:sz w:val="26"/>
                <w:szCs w:val="26"/>
              </w:rPr>
              <w:t>SALA SUPERIOR DEL TRIBUNAL DE</w:t>
            </w:r>
            <w:r w:rsidR="00FA2351" w:rsidRPr="00B17D70">
              <w:rPr>
                <w:rFonts w:ascii="Arial" w:hAnsi="Arial" w:cs="Arial"/>
                <w:b/>
                <w:iCs/>
                <w:caps/>
                <w:sz w:val="26"/>
                <w:szCs w:val="26"/>
              </w:rPr>
              <w:t xml:space="preserve"> JUSTICIA ADMINISTRATIVA DEL ESTADO DE OAXACA</w:t>
            </w:r>
            <w:r w:rsidRPr="00B17D70">
              <w:rPr>
                <w:rFonts w:ascii="Arial" w:hAnsi="Arial" w:cs="Arial"/>
                <w:b/>
                <w:iCs/>
                <w:caps/>
                <w:sz w:val="26"/>
                <w:szCs w:val="26"/>
              </w:rPr>
              <w:t>.</w:t>
            </w:r>
          </w:p>
          <w:p w14:paraId="4B426E98" w14:textId="77777777" w:rsidR="00930102" w:rsidRPr="00B17D70" w:rsidRDefault="00930102" w:rsidP="00D2291D">
            <w:pPr>
              <w:pStyle w:val="Encabezado"/>
              <w:tabs>
                <w:tab w:val="clear" w:pos="4252"/>
              </w:tabs>
              <w:ind w:left="2394" w:right="51"/>
              <w:jc w:val="both"/>
              <w:rPr>
                <w:rFonts w:ascii="Arial" w:hAnsi="Arial" w:cs="Arial"/>
                <w:b/>
                <w:iCs/>
                <w:caps/>
                <w:sz w:val="26"/>
                <w:szCs w:val="26"/>
                <w:lang w:val="es-PE"/>
              </w:rPr>
            </w:pPr>
            <w:r w:rsidRPr="00B17D70">
              <w:rPr>
                <w:rFonts w:ascii="Arial" w:hAnsi="Arial" w:cs="Arial"/>
                <w:b/>
                <w:iCs/>
                <w:caps/>
                <w:sz w:val="26"/>
                <w:szCs w:val="26"/>
                <w:lang w:val="es-PE"/>
              </w:rPr>
              <w:t xml:space="preserve">               </w:t>
            </w:r>
          </w:p>
          <w:p w14:paraId="4E999F73" w14:textId="54E6EA83" w:rsidR="00930102" w:rsidRPr="00B17D70" w:rsidRDefault="00930102" w:rsidP="00D2291D">
            <w:pPr>
              <w:pStyle w:val="Encabezado"/>
              <w:tabs>
                <w:tab w:val="clear" w:pos="4252"/>
              </w:tabs>
              <w:ind w:left="2394" w:right="51"/>
              <w:jc w:val="both"/>
              <w:rPr>
                <w:rFonts w:ascii="Arial" w:hAnsi="Arial" w:cs="Arial"/>
                <w:b/>
                <w:iCs/>
                <w:caps/>
                <w:sz w:val="26"/>
                <w:szCs w:val="26"/>
                <w:lang w:val="es-PE"/>
              </w:rPr>
            </w:pPr>
            <w:r w:rsidRPr="00B17D70">
              <w:rPr>
                <w:rFonts w:ascii="Arial" w:hAnsi="Arial" w:cs="Arial"/>
                <w:b/>
                <w:iCs/>
                <w:caps/>
                <w:sz w:val="26"/>
                <w:szCs w:val="26"/>
                <w:lang w:val="es-PE"/>
              </w:rPr>
              <w:t>RECURSO DE REVISIÓN:   0</w:t>
            </w:r>
            <w:r w:rsidR="00AE3A0D" w:rsidRPr="00B17D70">
              <w:rPr>
                <w:rFonts w:ascii="Arial" w:hAnsi="Arial" w:cs="Arial"/>
                <w:b/>
                <w:iCs/>
                <w:caps/>
                <w:sz w:val="26"/>
                <w:szCs w:val="26"/>
                <w:lang w:val="es-PE"/>
              </w:rPr>
              <w:t>601</w:t>
            </w:r>
            <w:r w:rsidR="00DE2E63" w:rsidRPr="00B17D70">
              <w:rPr>
                <w:rFonts w:ascii="Arial" w:hAnsi="Arial" w:cs="Arial"/>
                <w:b/>
                <w:iCs/>
                <w:caps/>
                <w:sz w:val="26"/>
                <w:szCs w:val="26"/>
                <w:lang w:val="es-PE"/>
              </w:rPr>
              <w:t>/2017</w:t>
            </w:r>
            <w:r w:rsidRPr="00B17D70">
              <w:rPr>
                <w:rFonts w:ascii="Arial" w:hAnsi="Arial" w:cs="Arial"/>
                <w:b/>
                <w:iCs/>
                <w:caps/>
                <w:sz w:val="26"/>
                <w:szCs w:val="26"/>
                <w:lang w:val="es-PE"/>
              </w:rPr>
              <w:t xml:space="preserve"> </w:t>
            </w:r>
          </w:p>
          <w:p w14:paraId="7686DDA2" w14:textId="77777777" w:rsidR="00930102" w:rsidRPr="00B17D70"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13AB97B8" w:rsidR="00930102" w:rsidRPr="00B17D70" w:rsidRDefault="00BA48B4" w:rsidP="00D2291D">
            <w:pPr>
              <w:pStyle w:val="Encabezado"/>
              <w:tabs>
                <w:tab w:val="clear" w:pos="4252"/>
              </w:tabs>
              <w:ind w:left="2394" w:right="51"/>
              <w:jc w:val="both"/>
              <w:rPr>
                <w:rFonts w:ascii="Arial" w:hAnsi="Arial" w:cs="Arial"/>
                <w:b/>
                <w:iCs/>
                <w:caps/>
                <w:sz w:val="26"/>
                <w:szCs w:val="26"/>
                <w:lang w:val="es-PE"/>
              </w:rPr>
            </w:pPr>
            <w:r w:rsidRPr="00B17D70">
              <w:rPr>
                <w:rFonts w:ascii="Arial" w:hAnsi="Arial" w:cs="Arial"/>
                <w:b/>
                <w:iCs/>
                <w:caps/>
                <w:sz w:val="26"/>
                <w:szCs w:val="26"/>
                <w:lang w:val="es-PE"/>
              </w:rPr>
              <w:t>EXPEDI</w:t>
            </w:r>
            <w:r w:rsidR="00930102" w:rsidRPr="00B17D70">
              <w:rPr>
                <w:rFonts w:ascii="Arial" w:hAnsi="Arial" w:cs="Arial"/>
                <w:b/>
                <w:iCs/>
                <w:caps/>
                <w:sz w:val="26"/>
                <w:szCs w:val="26"/>
                <w:lang w:val="es-PE"/>
              </w:rPr>
              <w:t>ENTE: 0</w:t>
            </w:r>
            <w:r w:rsidR="00F81383" w:rsidRPr="00B17D70">
              <w:rPr>
                <w:rFonts w:ascii="Arial" w:hAnsi="Arial" w:cs="Arial"/>
                <w:b/>
                <w:iCs/>
                <w:caps/>
                <w:sz w:val="26"/>
                <w:szCs w:val="26"/>
                <w:lang w:val="es-PE"/>
              </w:rPr>
              <w:t>3</w:t>
            </w:r>
            <w:r w:rsidR="00AE3A0D" w:rsidRPr="00B17D70">
              <w:rPr>
                <w:rFonts w:ascii="Arial" w:hAnsi="Arial" w:cs="Arial"/>
                <w:b/>
                <w:iCs/>
                <w:caps/>
                <w:sz w:val="26"/>
                <w:szCs w:val="26"/>
                <w:lang w:val="es-PE"/>
              </w:rPr>
              <w:t>09</w:t>
            </w:r>
            <w:r w:rsidRPr="00B17D70">
              <w:rPr>
                <w:rFonts w:ascii="Arial" w:hAnsi="Arial" w:cs="Arial"/>
                <w:b/>
                <w:iCs/>
                <w:caps/>
                <w:sz w:val="26"/>
                <w:szCs w:val="26"/>
                <w:lang w:val="es-PE"/>
              </w:rPr>
              <w:t>/2016</w:t>
            </w:r>
            <w:r w:rsidR="00930102" w:rsidRPr="00B17D70">
              <w:rPr>
                <w:rFonts w:ascii="Arial" w:hAnsi="Arial" w:cs="Arial"/>
                <w:b/>
                <w:iCs/>
                <w:caps/>
                <w:sz w:val="26"/>
                <w:szCs w:val="26"/>
                <w:lang w:val="es-PE"/>
              </w:rPr>
              <w:t xml:space="preserve"> DE LA </w:t>
            </w:r>
            <w:r w:rsidR="00F81383" w:rsidRPr="00B17D70">
              <w:rPr>
                <w:rFonts w:ascii="Arial" w:hAnsi="Arial" w:cs="Arial"/>
                <w:b/>
                <w:iCs/>
                <w:caps/>
                <w:sz w:val="26"/>
                <w:szCs w:val="26"/>
                <w:lang w:val="es-PE"/>
              </w:rPr>
              <w:t>SE</w:t>
            </w:r>
            <w:r w:rsidR="00AE3A0D" w:rsidRPr="00B17D70">
              <w:rPr>
                <w:rFonts w:ascii="Arial" w:hAnsi="Arial" w:cs="Arial"/>
                <w:b/>
                <w:iCs/>
                <w:caps/>
                <w:sz w:val="26"/>
                <w:szCs w:val="26"/>
                <w:lang w:val="es-PE"/>
              </w:rPr>
              <w:t>xta</w:t>
            </w:r>
            <w:r w:rsidR="00581B90" w:rsidRPr="00B17D70">
              <w:rPr>
                <w:rFonts w:ascii="Arial" w:hAnsi="Arial" w:cs="Arial"/>
                <w:b/>
                <w:iCs/>
                <w:caps/>
                <w:sz w:val="26"/>
                <w:szCs w:val="26"/>
                <w:lang w:val="es-PE"/>
              </w:rPr>
              <w:t xml:space="preserve"> </w:t>
            </w:r>
            <w:r w:rsidR="00930102" w:rsidRPr="00B17D70">
              <w:rPr>
                <w:rFonts w:ascii="Arial" w:hAnsi="Arial" w:cs="Arial"/>
                <w:b/>
                <w:iCs/>
                <w:caps/>
                <w:sz w:val="26"/>
                <w:szCs w:val="26"/>
                <w:lang w:val="es-PE"/>
              </w:rPr>
              <w:t>SALA UNITARIA DE PRIMERA INSTANCIA</w:t>
            </w:r>
          </w:p>
          <w:p w14:paraId="03F0FDAF" w14:textId="77777777" w:rsidR="00930102" w:rsidRPr="00B17D70" w:rsidRDefault="00930102" w:rsidP="00D2291D">
            <w:pPr>
              <w:pStyle w:val="Encabezado"/>
              <w:tabs>
                <w:tab w:val="clear" w:pos="4252"/>
              </w:tabs>
              <w:ind w:left="2394" w:right="51"/>
              <w:jc w:val="both"/>
              <w:rPr>
                <w:rFonts w:ascii="Arial" w:hAnsi="Arial" w:cs="Arial"/>
                <w:b/>
                <w:iCs/>
                <w:caps/>
                <w:sz w:val="26"/>
                <w:szCs w:val="26"/>
                <w:lang w:val="es-PE"/>
              </w:rPr>
            </w:pPr>
            <w:r w:rsidRPr="00B17D70">
              <w:rPr>
                <w:rFonts w:ascii="Arial" w:hAnsi="Arial" w:cs="Arial"/>
                <w:b/>
                <w:iCs/>
                <w:caps/>
                <w:sz w:val="26"/>
                <w:szCs w:val="26"/>
                <w:lang w:val="es-PE"/>
              </w:rPr>
              <w:t xml:space="preserve">       </w:t>
            </w:r>
          </w:p>
          <w:p w14:paraId="4F40C424" w14:textId="77777777" w:rsidR="00930102" w:rsidRPr="00B17D70" w:rsidRDefault="00930102" w:rsidP="00D2291D">
            <w:pPr>
              <w:pStyle w:val="Encabezado"/>
              <w:tabs>
                <w:tab w:val="clear" w:pos="4252"/>
              </w:tabs>
              <w:ind w:left="2394" w:right="51"/>
              <w:jc w:val="both"/>
              <w:rPr>
                <w:rFonts w:ascii="Arial" w:hAnsi="Arial" w:cs="Arial"/>
                <w:b/>
                <w:iCs/>
                <w:caps/>
                <w:sz w:val="26"/>
                <w:szCs w:val="26"/>
                <w:lang w:val="es-PE"/>
              </w:rPr>
            </w:pPr>
            <w:r w:rsidRPr="00B17D70">
              <w:rPr>
                <w:rFonts w:ascii="Arial" w:hAnsi="Arial" w:cs="Arial"/>
                <w:b/>
                <w:iCs/>
                <w:caps/>
                <w:sz w:val="26"/>
                <w:szCs w:val="26"/>
                <w:lang w:val="es-PE"/>
              </w:rPr>
              <w:t>magistrado ponente: HUGO VILLEGAS AQUINO</w:t>
            </w:r>
          </w:p>
        </w:tc>
      </w:tr>
      <w:tr w:rsidR="00930102" w:rsidRPr="00B17D70" w14:paraId="3A595020" w14:textId="77777777" w:rsidTr="00D2291D">
        <w:tc>
          <w:tcPr>
            <w:tcW w:w="2356" w:type="dxa"/>
          </w:tcPr>
          <w:p w14:paraId="6EBA5A36" w14:textId="77777777" w:rsidR="00930102" w:rsidRPr="00B17D70" w:rsidRDefault="00930102" w:rsidP="00D2291D">
            <w:pPr>
              <w:spacing w:after="0" w:line="240" w:lineRule="auto"/>
              <w:rPr>
                <w:rFonts w:ascii="Arial" w:hAnsi="Arial" w:cs="Arial"/>
                <w:b/>
                <w:sz w:val="26"/>
                <w:szCs w:val="26"/>
              </w:rPr>
            </w:pPr>
          </w:p>
        </w:tc>
        <w:tc>
          <w:tcPr>
            <w:tcW w:w="7426" w:type="dxa"/>
          </w:tcPr>
          <w:p w14:paraId="7E23B164" w14:textId="77777777" w:rsidR="00930102" w:rsidRPr="00B17D70" w:rsidRDefault="00930102" w:rsidP="00D2291D">
            <w:pPr>
              <w:tabs>
                <w:tab w:val="left" w:pos="3103"/>
              </w:tabs>
              <w:spacing w:after="0" w:line="240" w:lineRule="auto"/>
              <w:ind w:left="2678" w:hanging="2961"/>
              <w:jc w:val="both"/>
              <w:rPr>
                <w:rFonts w:ascii="Arial" w:hAnsi="Arial" w:cs="Arial"/>
                <w:b/>
                <w:iCs/>
                <w:caps/>
                <w:sz w:val="26"/>
                <w:szCs w:val="26"/>
              </w:rPr>
            </w:pPr>
            <w:r w:rsidRPr="00B17D70">
              <w:rPr>
                <w:rFonts w:ascii="Arial" w:hAnsi="Arial" w:cs="Arial"/>
                <w:b/>
                <w:i/>
                <w:iCs/>
                <w:caps/>
                <w:sz w:val="26"/>
                <w:szCs w:val="26"/>
              </w:rPr>
              <w:t xml:space="preserve">                                          </w:t>
            </w:r>
          </w:p>
        </w:tc>
      </w:tr>
      <w:tr w:rsidR="00930102" w:rsidRPr="00B17D70" w14:paraId="46F7E6FE" w14:textId="77777777" w:rsidTr="00D2291D">
        <w:tc>
          <w:tcPr>
            <w:tcW w:w="2356" w:type="dxa"/>
          </w:tcPr>
          <w:p w14:paraId="0F63ACC7" w14:textId="77777777" w:rsidR="00930102" w:rsidRPr="00B17D70" w:rsidRDefault="00930102" w:rsidP="00D2291D">
            <w:pPr>
              <w:spacing w:after="0" w:line="240" w:lineRule="auto"/>
              <w:rPr>
                <w:rFonts w:ascii="Arial" w:hAnsi="Arial" w:cs="Arial"/>
                <w:b/>
                <w:sz w:val="26"/>
                <w:szCs w:val="26"/>
              </w:rPr>
            </w:pPr>
          </w:p>
        </w:tc>
        <w:tc>
          <w:tcPr>
            <w:tcW w:w="7426" w:type="dxa"/>
          </w:tcPr>
          <w:p w14:paraId="7DE7F6E7" w14:textId="77777777" w:rsidR="00930102" w:rsidRPr="00B17D70"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23ADE150" w:rsidR="00930102" w:rsidRPr="00B17D70" w:rsidRDefault="00930102" w:rsidP="00B17D70">
      <w:pPr>
        <w:spacing w:line="360" w:lineRule="auto"/>
        <w:jc w:val="both"/>
        <w:rPr>
          <w:rFonts w:ascii="Arial" w:hAnsi="Arial" w:cs="Arial"/>
          <w:b/>
          <w:sz w:val="26"/>
          <w:szCs w:val="26"/>
          <w:lang w:val="es-MX"/>
        </w:rPr>
      </w:pPr>
      <w:r w:rsidRPr="00B17D70">
        <w:rPr>
          <w:rFonts w:ascii="Arial" w:hAnsi="Arial" w:cs="Arial"/>
          <w:b/>
          <w:sz w:val="26"/>
          <w:szCs w:val="26"/>
          <w:lang w:val="es-MX"/>
        </w:rPr>
        <w:t>O</w:t>
      </w:r>
      <w:r w:rsidR="00A351BA" w:rsidRPr="00B17D70">
        <w:rPr>
          <w:rFonts w:ascii="Arial" w:hAnsi="Arial" w:cs="Arial"/>
          <w:b/>
          <w:sz w:val="26"/>
          <w:szCs w:val="26"/>
          <w:lang w:val="es-MX"/>
        </w:rPr>
        <w:t xml:space="preserve">AXACA DE JUÁREZ, OAXACA, </w:t>
      </w:r>
      <w:r w:rsidR="00FA2351" w:rsidRPr="00B17D70">
        <w:rPr>
          <w:rFonts w:ascii="Arial" w:hAnsi="Arial" w:cs="Arial"/>
          <w:b/>
          <w:sz w:val="26"/>
          <w:szCs w:val="26"/>
          <w:lang w:val="es-MX"/>
        </w:rPr>
        <w:t xml:space="preserve">OCHO </w:t>
      </w:r>
      <w:r w:rsidR="00A351BA" w:rsidRPr="00B17D70">
        <w:rPr>
          <w:rFonts w:ascii="Arial" w:hAnsi="Arial" w:cs="Arial"/>
          <w:b/>
          <w:sz w:val="26"/>
          <w:szCs w:val="26"/>
          <w:lang w:val="es-MX"/>
        </w:rPr>
        <w:t xml:space="preserve">DE </w:t>
      </w:r>
      <w:r w:rsidR="00861F9D" w:rsidRPr="00B17D70">
        <w:rPr>
          <w:rFonts w:ascii="Arial" w:hAnsi="Arial" w:cs="Arial"/>
          <w:b/>
          <w:sz w:val="26"/>
          <w:szCs w:val="26"/>
          <w:lang w:val="es-MX"/>
        </w:rPr>
        <w:t xml:space="preserve">MARZO </w:t>
      </w:r>
      <w:r w:rsidR="00FA2351" w:rsidRPr="00B17D70">
        <w:rPr>
          <w:rFonts w:ascii="Arial" w:hAnsi="Arial" w:cs="Arial"/>
          <w:b/>
          <w:sz w:val="26"/>
          <w:szCs w:val="26"/>
          <w:lang w:val="es-MX"/>
        </w:rPr>
        <w:t>DE</w:t>
      </w:r>
      <w:r w:rsidR="00A351BA" w:rsidRPr="00B17D70">
        <w:rPr>
          <w:rFonts w:ascii="Arial" w:hAnsi="Arial" w:cs="Arial"/>
          <w:b/>
          <w:sz w:val="26"/>
          <w:szCs w:val="26"/>
          <w:lang w:val="es-MX"/>
        </w:rPr>
        <w:t xml:space="preserve"> DOS MIL DIECIOCHO.</w:t>
      </w:r>
    </w:p>
    <w:p w14:paraId="603F9EEA" w14:textId="08F09B8E" w:rsidR="00930102" w:rsidRPr="00B17D70" w:rsidRDefault="00930102" w:rsidP="00B17D70">
      <w:pPr>
        <w:spacing w:line="360" w:lineRule="auto"/>
        <w:ind w:firstLine="708"/>
        <w:jc w:val="both"/>
        <w:rPr>
          <w:rFonts w:ascii="Arial" w:hAnsi="Arial" w:cs="Arial"/>
          <w:sz w:val="26"/>
          <w:szCs w:val="26"/>
          <w:lang w:val="es-MX"/>
        </w:rPr>
      </w:pPr>
      <w:r w:rsidRPr="00B17D70">
        <w:rPr>
          <w:rFonts w:ascii="Arial" w:hAnsi="Arial" w:cs="Arial"/>
          <w:sz w:val="26"/>
          <w:szCs w:val="26"/>
          <w:lang w:val="es-MX"/>
        </w:rPr>
        <w:t xml:space="preserve">Por recibido el Cuaderno de Revisión </w:t>
      </w:r>
      <w:r w:rsidR="00950C0F" w:rsidRPr="00B17D70">
        <w:rPr>
          <w:rFonts w:ascii="Arial" w:hAnsi="Arial" w:cs="Arial"/>
          <w:b/>
          <w:sz w:val="26"/>
          <w:szCs w:val="26"/>
          <w:lang w:val="es-MX"/>
        </w:rPr>
        <w:t>0</w:t>
      </w:r>
      <w:r w:rsidR="00AE3A0D" w:rsidRPr="00B17D70">
        <w:rPr>
          <w:rFonts w:ascii="Arial" w:hAnsi="Arial" w:cs="Arial"/>
          <w:b/>
          <w:sz w:val="26"/>
          <w:szCs w:val="26"/>
          <w:lang w:val="es-MX"/>
        </w:rPr>
        <w:t>601</w:t>
      </w:r>
      <w:r w:rsidR="00950C0F" w:rsidRPr="00B17D70">
        <w:rPr>
          <w:rFonts w:ascii="Arial" w:hAnsi="Arial" w:cs="Arial"/>
          <w:b/>
          <w:sz w:val="26"/>
          <w:szCs w:val="26"/>
          <w:lang w:val="es-MX"/>
        </w:rPr>
        <w:t>/2017</w:t>
      </w:r>
      <w:r w:rsidRPr="00B17D70">
        <w:rPr>
          <w:rFonts w:ascii="Arial" w:hAnsi="Arial" w:cs="Arial"/>
          <w:sz w:val="26"/>
          <w:szCs w:val="26"/>
          <w:lang w:val="es-MX"/>
        </w:rPr>
        <w:t>, que remite la Secretaría General de Acuerdos, con motivo del recu</w:t>
      </w:r>
      <w:r w:rsidR="00DE2E63" w:rsidRPr="00B17D70">
        <w:rPr>
          <w:rFonts w:ascii="Arial" w:hAnsi="Arial" w:cs="Arial"/>
          <w:sz w:val="26"/>
          <w:szCs w:val="26"/>
          <w:lang w:val="es-MX"/>
        </w:rPr>
        <w:t>rso</w:t>
      </w:r>
      <w:r w:rsidR="007072C4" w:rsidRPr="00B17D70">
        <w:rPr>
          <w:rFonts w:ascii="Arial" w:hAnsi="Arial" w:cs="Arial"/>
          <w:sz w:val="26"/>
          <w:szCs w:val="26"/>
          <w:lang w:val="es-MX"/>
        </w:rPr>
        <w:t xml:space="preserve"> de revisión interpuesto por</w:t>
      </w:r>
      <w:r w:rsidR="00F81383" w:rsidRPr="00B17D70">
        <w:rPr>
          <w:rFonts w:ascii="Arial" w:hAnsi="Arial" w:cs="Arial"/>
          <w:sz w:val="26"/>
          <w:szCs w:val="26"/>
          <w:lang w:val="es-MX"/>
        </w:rPr>
        <w:t xml:space="preserve"> </w:t>
      </w:r>
      <w:r w:rsidR="00AE3A0D" w:rsidRPr="00B17D70">
        <w:rPr>
          <w:rFonts w:ascii="Arial" w:hAnsi="Arial" w:cs="Arial"/>
          <w:b/>
          <w:sz w:val="26"/>
          <w:szCs w:val="26"/>
          <w:lang w:val="es-MX"/>
        </w:rPr>
        <w:t xml:space="preserve">CELERINO ROSAS PLATAS </w:t>
      </w:r>
      <w:r w:rsidR="00AE3A0D" w:rsidRPr="00B17D70">
        <w:rPr>
          <w:rFonts w:ascii="Arial" w:hAnsi="Arial" w:cs="Arial"/>
          <w:sz w:val="26"/>
          <w:szCs w:val="26"/>
          <w:lang w:val="es-MX"/>
        </w:rPr>
        <w:t>como Director Jurídico de la Secretaría de la Contraloría y Transparencia Gubernamental del Estado de Oaxaca y en su carácter de autoridad demandada, personalidad que acredita en términos del artículo 120 de la Ley de Justicia Administrativa para el Estado de Oaxaca,</w:t>
      </w:r>
      <w:r w:rsidR="00341602">
        <w:rPr>
          <w:rFonts w:ascii="Arial" w:hAnsi="Arial" w:cs="Arial"/>
          <w:sz w:val="26"/>
          <w:szCs w:val="26"/>
          <w:lang w:val="es-MX"/>
        </w:rPr>
        <w:t xml:space="preserve"> vigente hasta el veinte de octubre de dos mil diecisiete, </w:t>
      </w:r>
      <w:r w:rsidR="00AE3A0D" w:rsidRPr="00B17D70">
        <w:rPr>
          <w:rFonts w:ascii="Arial" w:hAnsi="Arial" w:cs="Arial"/>
          <w:sz w:val="26"/>
          <w:szCs w:val="26"/>
          <w:lang w:val="es-MX"/>
        </w:rPr>
        <w:t xml:space="preserve">porque exhibe la copia debidamente certificada del documento relativo a su nombramiento y de aquél en el que consta que rindió la protesta de ley al cargo; en contra de la sentencia de diez de julio de dos mil diecisiete dictada por la Sexta Sala Unitaria de Primera Instancia dentro del juicio </w:t>
      </w:r>
      <w:r w:rsidR="00AE3A0D" w:rsidRPr="00B17D70">
        <w:rPr>
          <w:rFonts w:ascii="Arial" w:hAnsi="Arial" w:cs="Arial"/>
          <w:b/>
          <w:sz w:val="26"/>
          <w:szCs w:val="26"/>
          <w:lang w:val="es-MX"/>
        </w:rPr>
        <w:t xml:space="preserve">0309/2016 </w:t>
      </w:r>
      <w:r w:rsidR="00AE3A0D" w:rsidRPr="00B17D70">
        <w:rPr>
          <w:rFonts w:ascii="Arial" w:hAnsi="Arial" w:cs="Arial"/>
          <w:sz w:val="26"/>
          <w:szCs w:val="26"/>
          <w:lang w:val="es-MX"/>
        </w:rPr>
        <w:t xml:space="preserve">de su índice, relativo al juicio de nulidad promovido por </w:t>
      </w:r>
      <w:r w:rsidR="00A2140E">
        <w:rPr>
          <w:rFonts w:ascii="Arial" w:hAnsi="Arial" w:cs="Arial"/>
          <w:b/>
          <w:sz w:val="26"/>
          <w:szCs w:val="26"/>
          <w:lang w:val="es-MX"/>
        </w:rPr>
        <w:t>**********</w:t>
      </w:r>
      <w:r w:rsidR="00AE3A0D" w:rsidRPr="00B17D70">
        <w:rPr>
          <w:rFonts w:ascii="Arial" w:hAnsi="Arial" w:cs="Arial"/>
          <w:sz w:val="26"/>
          <w:szCs w:val="26"/>
          <w:lang w:val="es-MX"/>
        </w:rPr>
        <w:t xml:space="preserve">en contra del </w:t>
      </w:r>
      <w:r w:rsidR="00AE3A0D" w:rsidRPr="00B17D70">
        <w:rPr>
          <w:rFonts w:ascii="Arial" w:hAnsi="Arial" w:cs="Arial"/>
          <w:b/>
          <w:sz w:val="26"/>
          <w:szCs w:val="26"/>
          <w:lang w:val="es-MX"/>
        </w:rPr>
        <w:t xml:space="preserve">recurrente, </w:t>
      </w:r>
      <w:r w:rsidRPr="00B17D70">
        <w:rPr>
          <w:rFonts w:ascii="Arial" w:hAnsi="Arial" w:cs="Arial"/>
          <w:sz w:val="26"/>
          <w:szCs w:val="26"/>
          <w:lang w:val="es-MX"/>
        </w:rPr>
        <w:t xml:space="preserve">por lo que con fundamento en los artículos 207 y 208 de la </w:t>
      </w:r>
      <w:r w:rsidR="00341602">
        <w:rPr>
          <w:rFonts w:ascii="Arial" w:hAnsi="Arial" w:cs="Arial"/>
          <w:sz w:val="26"/>
          <w:szCs w:val="26"/>
          <w:lang w:val="es-MX"/>
        </w:rPr>
        <w:t xml:space="preserve">citada </w:t>
      </w:r>
      <w:r w:rsidRPr="00B17D70">
        <w:rPr>
          <w:rFonts w:ascii="Arial" w:hAnsi="Arial" w:cs="Arial"/>
          <w:sz w:val="26"/>
          <w:szCs w:val="26"/>
          <w:lang w:val="es-MX"/>
        </w:rPr>
        <w:t>Ley de Justicia Administrativa para el Estado de Oaxaca, se admite.  En consecuencia, se procede a dictar resolución en los siguientes términos:</w:t>
      </w:r>
    </w:p>
    <w:p w14:paraId="03C070EC" w14:textId="77777777" w:rsidR="00930102" w:rsidRPr="00B17D70" w:rsidRDefault="00930102" w:rsidP="00930102">
      <w:pPr>
        <w:spacing w:line="360" w:lineRule="auto"/>
        <w:jc w:val="center"/>
        <w:rPr>
          <w:rFonts w:ascii="Arial" w:hAnsi="Arial" w:cs="Arial"/>
          <w:b/>
          <w:bCs/>
          <w:sz w:val="26"/>
          <w:szCs w:val="26"/>
          <w:lang w:val="es-MX"/>
        </w:rPr>
      </w:pPr>
      <w:r w:rsidRPr="00B17D70">
        <w:rPr>
          <w:rFonts w:ascii="Arial" w:hAnsi="Arial" w:cs="Arial"/>
          <w:b/>
          <w:bCs/>
          <w:sz w:val="26"/>
          <w:szCs w:val="26"/>
          <w:lang w:val="es-MX"/>
        </w:rPr>
        <w:t>R E S U L T A N D O</w:t>
      </w:r>
    </w:p>
    <w:p w14:paraId="08B8AF28" w14:textId="118C12BE" w:rsidR="00930102" w:rsidRPr="00B17D70" w:rsidRDefault="00930102" w:rsidP="00AE3A0D">
      <w:pPr>
        <w:spacing w:line="360" w:lineRule="auto"/>
        <w:ind w:firstLine="709"/>
        <w:jc w:val="both"/>
        <w:rPr>
          <w:rFonts w:ascii="Arial" w:hAnsi="Arial" w:cs="Arial"/>
          <w:sz w:val="26"/>
          <w:szCs w:val="26"/>
          <w:lang w:val="es-MX"/>
        </w:rPr>
      </w:pPr>
      <w:r w:rsidRPr="00B17D70">
        <w:rPr>
          <w:rFonts w:ascii="Arial" w:hAnsi="Arial" w:cs="Arial"/>
          <w:b/>
          <w:bCs/>
          <w:sz w:val="26"/>
          <w:szCs w:val="26"/>
          <w:lang w:val="es-MX"/>
        </w:rPr>
        <w:t xml:space="preserve">PRIMERO. </w:t>
      </w:r>
      <w:r w:rsidRPr="00B17D70">
        <w:rPr>
          <w:rFonts w:ascii="Arial" w:hAnsi="Arial" w:cs="Arial"/>
          <w:sz w:val="26"/>
          <w:szCs w:val="26"/>
          <w:lang w:val="es-MX"/>
        </w:rPr>
        <w:t>I</w:t>
      </w:r>
      <w:r w:rsidR="00E623DB" w:rsidRPr="00B17D70">
        <w:rPr>
          <w:rFonts w:ascii="Arial" w:hAnsi="Arial" w:cs="Arial"/>
          <w:sz w:val="26"/>
          <w:szCs w:val="26"/>
          <w:lang w:val="es-MX"/>
        </w:rPr>
        <w:t xml:space="preserve">nconforme </w:t>
      </w:r>
      <w:r w:rsidR="00A508BD" w:rsidRPr="00B17D70">
        <w:rPr>
          <w:rFonts w:ascii="Arial" w:hAnsi="Arial" w:cs="Arial"/>
          <w:sz w:val="26"/>
          <w:szCs w:val="26"/>
          <w:lang w:val="es-MX"/>
        </w:rPr>
        <w:t xml:space="preserve">con </w:t>
      </w:r>
      <w:r w:rsidR="00A351BA" w:rsidRPr="00B17D70">
        <w:rPr>
          <w:rFonts w:ascii="Arial" w:hAnsi="Arial" w:cs="Arial"/>
          <w:sz w:val="26"/>
          <w:szCs w:val="26"/>
          <w:lang w:val="es-MX"/>
        </w:rPr>
        <w:t>la</w:t>
      </w:r>
      <w:r w:rsidR="00894A24" w:rsidRPr="00B17D70">
        <w:rPr>
          <w:rFonts w:ascii="Arial" w:hAnsi="Arial" w:cs="Arial"/>
          <w:sz w:val="26"/>
          <w:szCs w:val="26"/>
          <w:lang w:val="es-MX"/>
        </w:rPr>
        <w:t xml:space="preserve"> sentencia de </w:t>
      </w:r>
      <w:r w:rsidR="00AE3A0D" w:rsidRPr="00B17D70">
        <w:rPr>
          <w:rFonts w:ascii="Arial" w:hAnsi="Arial" w:cs="Arial"/>
          <w:sz w:val="26"/>
          <w:szCs w:val="26"/>
          <w:lang w:val="es-MX"/>
        </w:rPr>
        <w:t>diez de julio</w:t>
      </w:r>
      <w:r w:rsidR="00894A24" w:rsidRPr="00B17D70">
        <w:rPr>
          <w:rFonts w:ascii="Arial" w:hAnsi="Arial" w:cs="Arial"/>
          <w:sz w:val="26"/>
          <w:szCs w:val="26"/>
          <w:lang w:val="es-MX"/>
        </w:rPr>
        <w:t xml:space="preserve"> de dos mil diecisiete dictada por la </w:t>
      </w:r>
      <w:r w:rsidR="00AE3A0D" w:rsidRPr="00B17D70">
        <w:rPr>
          <w:rFonts w:ascii="Arial" w:hAnsi="Arial" w:cs="Arial"/>
          <w:sz w:val="26"/>
          <w:szCs w:val="26"/>
          <w:lang w:val="es-MX"/>
        </w:rPr>
        <w:t>Sexta</w:t>
      </w:r>
      <w:r w:rsidR="00894A24" w:rsidRPr="00B17D70">
        <w:rPr>
          <w:rFonts w:ascii="Arial" w:hAnsi="Arial" w:cs="Arial"/>
          <w:sz w:val="26"/>
          <w:szCs w:val="26"/>
          <w:lang w:val="es-MX"/>
        </w:rPr>
        <w:t xml:space="preserve"> Sala de Prim</w:t>
      </w:r>
      <w:r w:rsidR="00861F9D" w:rsidRPr="00B17D70">
        <w:rPr>
          <w:rFonts w:ascii="Arial" w:hAnsi="Arial" w:cs="Arial"/>
          <w:sz w:val="26"/>
          <w:szCs w:val="26"/>
          <w:lang w:val="es-MX"/>
        </w:rPr>
        <w:t>era Instancia de este Tribunal,</w:t>
      </w:r>
      <w:r w:rsidR="00F81383" w:rsidRPr="00B17D70">
        <w:rPr>
          <w:rFonts w:ascii="Arial" w:hAnsi="Arial" w:cs="Arial"/>
          <w:sz w:val="26"/>
          <w:szCs w:val="26"/>
          <w:lang w:val="es-MX"/>
        </w:rPr>
        <w:t xml:space="preserve"> </w:t>
      </w:r>
      <w:r w:rsidR="00AE3A0D" w:rsidRPr="00B17D70">
        <w:rPr>
          <w:rFonts w:ascii="Arial" w:hAnsi="Arial" w:cs="Arial"/>
          <w:b/>
          <w:sz w:val="26"/>
          <w:szCs w:val="26"/>
          <w:lang w:val="es-MX"/>
        </w:rPr>
        <w:t xml:space="preserve">CELERINO ROSAS PLATAS </w:t>
      </w:r>
      <w:r w:rsidR="00AE3A0D" w:rsidRPr="00B17D70">
        <w:rPr>
          <w:rFonts w:ascii="Arial" w:hAnsi="Arial" w:cs="Arial"/>
          <w:sz w:val="26"/>
          <w:szCs w:val="26"/>
          <w:lang w:val="es-MX"/>
        </w:rPr>
        <w:t>como Director Jurídico de la Secretaría de la Contraloría y Transparencia Gubernamental del Estado de Oaxaca y en su carácter de autoridad demandada</w:t>
      </w:r>
      <w:r w:rsidR="00F81383" w:rsidRPr="00B17D70">
        <w:rPr>
          <w:rFonts w:ascii="Arial" w:hAnsi="Arial" w:cs="Arial"/>
          <w:sz w:val="26"/>
          <w:szCs w:val="26"/>
          <w:lang w:val="es-MX"/>
        </w:rPr>
        <w:t xml:space="preserve">, </w:t>
      </w:r>
      <w:r w:rsidR="00894A24" w:rsidRPr="00B17D70">
        <w:rPr>
          <w:rFonts w:ascii="Arial" w:hAnsi="Arial" w:cs="Arial"/>
          <w:sz w:val="26"/>
          <w:szCs w:val="26"/>
          <w:lang w:val="es-MX"/>
        </w:rPr>
        <w:t xml:space="preserve">interpone en  su contra recurso de revisión. </w:t>
      </w:r>
    </w:p>
    <w:p w14:paraId="30244575" w14:textId="7A1F2BB8" w:rsidR="00DD6D8E" w:rsidRPr="00B17D70" w:rsidRDefault="00930102" w:rsidP="00DD6D8E">
      <w:pPr>
        <w:spacing w:after="0" w:line="360" w:lineRule="auto"/>
        <w:jc w:val="both"/>
        <w:rPr>
          <w:rFonts w:ascii="Arial" w:eastAsia="Calibri" w:hAnsi="Arial" w:cs="Arial"/>
          <w:sz w:val="26"/>
          <w:szCs w:val="26"/>
        </w:rPr>
      </w:pPr>
      <w:r w:rsidRPr="00B17D70">
        <w:rPr>
          <w:rFonts w:ascii="Arial" w:hAnsi="Arial" w:cs="Arial"/>
          <w:b/>
          <w:bCs/>
          <w:sz w:val="26"/>
          <w:szCs w:val="26"/>
          <w:lang w:val="es-MX"/>
        </w:rPr>
        <w:lastRenderedPageBreak/>
        <w:tab/>
        <w:t xml:space="preserve">SEGUNDO.- </w:t>
      </w:r>
      <w:r w:rsidR="001F5246" w:rsidRPr="00B17D70">
        <w:rPr>
          <w:rFonts w:ascii="Arial" w:eastAsia="Calibri" w:hAnsi="Arial" w:cs="Arial"/>
          <w:sz w:val="26"/>
          <w:szCs w:val="26"/>
        </w:rPr>
        <w:t>L</w:t>
      </w:r>
      <w:r w:rsidR="00A351BA" w:rsidRPr="00B17D70">
        <w:rPr>
          <w:rFonts w:ascii="Arial" w:eastAsia="Calibri" w:hAnsi="Arial" w:cs="Arial"/>
          <w:sz w:val="26"/>
          <w:szCs w:val="26"/>
        </w:rPr>
        <w:t>os puntos resolutivos de la</w:t>
      </w:r>
      <w:r w:rsidR="002F6D1A" w:rsidRPr="00B17D70">
        <w:rPr>
          <w:rFonts w:ascii="Arial" w:eastAsia="Calibri" w:hAnsi="Arial" w:cs="Arial"/>
          <w:sz w:val="26"/>
          <w:szCs w:val="26"/>
        </w:rPr>
        <w:t xml:space="preserve"> </w:t>
      </w:r>
      <w:r w:rsidR="00894A24" w:rsidRPr="00B17D70">
        <w:rPr>
          <w:rFonts w:ascii="Arial" w:eastAsia="Calibri" w:hAnsi="Arial" w:cs="Arial"/>
          <w:sz w:val="26"/>
          <w:szCs w:val="26"/>
        </w:rPr>
        <w:t>sentencia</w:t>
      </w:r>
      <w:r w:rsidR="002F6D1A" w:rsidRPr="00B17D70">
        <w:rPr>
          <w:rFonts w:ascii="Arial" w:eastAsia="Calibri" w:hAnsi="Arial" w:cs="Arial"/>
          <w:sz w:val="26"/>
          <w:szCs w:val="26"/>
        </w:rPr>
        <w:t xml:space="preserve"> </w:t>
      </w:r>
      <w:r w:rsidR="00A351BA" w:rsidRPr="00B17D70">
        <w:rPr>
          <w:rFonts w:ascii="Arial" w:eastAsia="Calibri" w:hAnsi="Arial" w:cs="Arial"/>
          <w:sz w:val="26"/>
          <w:szCs w:val="26"/>
        </w:rPr>
        <w:t>recurrida son como siguen:</w:t>
      </w:r>
    </w:p>
    <w:p w14:paraId="36E06340" w14:textId="5961F7C9" w:rsidR="0090160E" w:rsidRDefault="002451B0" w:rsidP="00DD6D8E">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14:paraId="437A6C5C" w14:textId="7D60D9FB" w:rsidR="00AE3A0D" w:rsidRDefault="00A351BA"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sidR="00AE3A0D">
        <w:rPr>
          <w:rFonts w:ascii="Arial" w:eastAsia="Calibri" w:hAnsi="Arial" w:cs="Arial"/>
          <w:i/>
          <w:sz w:val="24"/>
          <w:szCs w:val="24"/>
        </w:rPr>
        <w:t xml:space="preserve">Esta Sexta Sala Unitaria fue competente para conocer y resolver del presente asunto. - - - - - - - - - - - - - - </w:t>
      </w:r>
    </w:p>
    <w:p w14:paraId="4A1DC28C" w14:textId="07976AE6" w:rsidR="00AE3A0D" w:rsidRDefault="00AE3A0D"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 parte actora quedó acreditada en autos, mientras que la personería de la parte demandada no se acreditó por las razones expuestas en el considerando segundo de la presente sentencia.- - - - - - - - </w:t>
      </w:r>
    </w:p>
    <w:p w14:paraId="1909EDEC" w14:textId="56EC9EA5" w:rsidR="00AE3A0D" w:rsidRPr="00AE3A0D" w:rsidRDefault="00AE3A0D"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Se declara la </w:t>
      </w:r>
      <w:r>
        <w:rPr>
          <w:rFonts w:ascii="Arial" w:eastAsia="Calibri" w:hAnsi="Arial" w:cs="Arial"/>
          <w:b/>
          <w:i/>
          <w:sz w:val="24"/>
          <w:szCs w:val="24"/>
        </w:rPr>
        <w:t xml:space="preserve">nulidad lisa y llana </w:t>
      </w:r>
      <w:r>
        <w:rPr>
          <w:rFonts w:ascii="Arial" w:eastAsia="Calibri" w:hAnsi="Arial" w:cs="Arial"/>
          <w:i/>
          <w:sz w:val="24"/>
          <w:szCs w:val="24"/>
        </w:rPr>
        <w:t xml:space="preserve">del acto impugnado, </w:t>
      </w:r>
      <w:r>
        <w:rPr>
          <w:rFonts w:ascii="Arial" w:eastAsia="Calibri" w:hAnsi="Arial" w:cs="Arial"/>
          <w:b/>
          <w:i/>
          <w:sz w:val="24"/>
          <w:szCs w:val="24"/>
        </w:rPr>
        <w:t xml:space="preserve">y se ordena al Director de la Secretaría de la Contraloría y Transparencia Gubernamental del Gobierno del Estado de Oaxaca. </w:t>
      </w:r>
      <w:r>
        <w:rPr>
          <w:rFonts w:ascii="Arial" w:eastAsia="Calibri" w:hAnsi="Arial" w:cs="Arial"/>
          <w:i/>
          <w:sz w:val="24"/>
          <w:szCs w:val="24"/>
        </w:rPr>
        <w:t xml:space="preserve"> - - - - - - - - - - - - - - - - - </w:t>
      </w:r>
    </w:p>
    <w:p w14:paraId="0E75ED04" w14:textId="4B89B5F0" w:rsidR="00AE3A0D" w:rsidRDefault="00AE3A0D" w:rsidP="00AE3A0D">
      <w:pPr>
        <w:pStyle w:val="Prrafodelista"/>
        <w:numPr>
          <w:ilvl w:val="0"/>
          <w:numId w:val="12"/>
        </w:numPr>
        <w:spacing w:after="0" w:line="360" w:lineRule="auto"/>
        <w:ind w:left="851" w:right="1062"/>
        <w:jc w:val="both"/>
        <w:rPr>
          <w:rFonts w:ascii="Arial" w:eastAsia="Calibri" w:hAnsi="Arial" w:cs="Arial"/>
          <w:b/>
          <w:i/>
          <w:sz w:val="24"/>
          <w:szCs w:val="24"/>
        </w:rPr>
      </w:pPr>
      <w:r>
        <w:rPr>
          <w:rFonts w:ascii="Arial" w:eastAsia="Calibri" w:hAnsi="Arial" w:cs="Arial"/>
          <w:b/>
          <w:i/>
          <w:sz w:val="24"/>
          <w:szCs w:val="24"/>
        </w:rPr>
        <w:t xml:space="preserve">Dejar sin efecto la sanción pecuniaria </w:t>
      </w:r>
      <w:r>
        <w:rPr>
          <w:rFonts w:ascii="Arial" w:eastAsia="Calibri" w:hAnsi="Arial" w:cs="Arial"/>
          <w:i/>
          <w:sz w:val="24"/>
          <w:szCs w:val="24"/>
        </w:rPr>
        <w:t xml:space="preserve">consistente en el pago de la cantidad de </w:t>
      </w:r>
      <w:r>
        <w:rPr>
          <w:rFonts w:ascii="Arial" w:eastAsia="Calibri" w:hAnsi="Arial" w:cs="Arial"/>
          <w:b/>
          <w:i/>
          <w:sz w:val="24"/>
          <w:szCs w:val="24"/>
        </w:rPr>
        <w:t xml:space="preserve">$11,214.00 (once mil doscientos catorce pesos 11/100 M.N.) impuesta de manera ilegal </w:t>
      </w:r>
      <w:r>
        <w:rPr>
          <w:rFonts w:ascii="Arial" w:eastAsia="Calibri" w:hAnsi="Arial" w:cs="Arial"/>
          <w:i/>
          <w:sz w:val="24"/>
          <w:szCs w:val="24"/>
        </w:rPr>
        <w:t xml:space="preserve">al actor </w:t>
      </w:r>
      <w:r w:rsidR="00A2140E">
        <w:rPr>
          <w:rFonts w:ascii="Arial" w:eastAsia="Calibri" w:hAnsi="Arial" w:cs="Arial"/>
          <w:b/>
          <w:i/>
          <w:sz w:val="24"/>
          <w:szCs w:val="24"/>
        </w:rPr>
        <w:t>**********</w:t>
      </w:r>
      <w:r>
        <w:rPr>
          <w:rFonts w:ascii="Arial" w:eastAsia="Calibri" w:hAnsi="Arial" w:cs="Arial"/>
          <w:i/>
          <w:sz w:val="24"/>
          <w:szCs w:val="24"/>
        </w:rPr>
        <w:t xml:space="preserve">dentro del expediente </w:t>
      </w:r>
      <w:r>
        <w:rPr>
          <w:rFonts w:ascii="Arial" w:eastAsia="Calibri" w:hAnsi="Arial" w:cs="Arial"/>
          <w:b/>
          <w:i/>
          <w:sz w:val="24"/>
          <w:szCs w:val="24"/>
        </w:rPr>
        <w:t>593/R.A./2014, el 22 veintidós de octubre de 2014 dos mil catorce.</w:t>
      </w:r>
      <w:r>
        <w:rPr>
          <w:rFonts w:ascii="Arial" w:eastAsia="Calibri" w:hAnsi="Arial" w:cs="Arial"/>
          <w:i/>
          <w:sz w:val="24"/>
          <w:szCs w:val="24"/>
        </w:rPr>
        <w:t xml:space="preserve">- - - - - - - - - - - - - </w:t>
      </w:r>
      <w:r w:rsidR="00B17D70">
        <w:rPr>
          <w:rFonts w:ascii="Arial" w:eastAsia="Calibri" w:hAnsi="Arial" w:cs="Arial"/>
          <w:i/>
          <w:sz w:val="24"/>
          <w:szCs w:val="24"/>
        </w:rPr>
        <w:t>- - - - - - - - - - - - - -</w:t>
      </w:r>
    </w:p>
    <w:p w14:paraId="00232250" w14:textId="3D62414E" w:rsidR="00AE3A0D" w:rsidRDefault="00AE3A0D" w:rsidP="00AE3A0D">
      <w:pPr>
        <w:pStyle w:val="Prrafodelista"/>
        <w:numPr>
          <w:ilvl w:val="0"/>
          <w:numId w:val="12"/>
        </w:numPr>
        <w:spacing w:after="0" w:line="360" w:lineRule="auto"/>
        <w:ind w:left="851" w:right="1062"/>
        <w:jc w:val="both"/>
        <w:rPr>
          <w:rFonts w:ascii="Arial" w:eastAsia="Calibri" w:hAnsi="Arial" w:cs="Arial"/>
          <w:b/>
          <w:i/>
          <w:sz w:val="24"/>
          <w:szCs w:val="24"/>
        </w:rPr>
      </w:pPr>
      <w:r>
        <w:rPr>
          <w:rFonts w:ascii="Arial" w:eastAsia="Calibri" w:hAnsi="Arial" w:cs="Arial"/>
          <w:b/>
          <w:i/>
          <w:sz w:val="24"/>
          <w:szCs w:val="24"/>
        </w:rPr>
        <w:t xml:space="preserve">anular y dejar sin efecto, cualquier registro de la sanción pecuniaria </w:t>
      </w:r>
      <w:r>
        <w:rPr>
          <w:rFonts w:ascii="Arial" w:eastAsia="Calibri" w:hAnsi="Arial" w:cs="Arial"/>
          <w:i/>
          <w:sz w:val="24"/>
          <w:szCs w:val="24"/>
        </w:rPr>
        <w:t xml:space="preserve">de la cantidad de </w:t>
      </w:r>
      <w:r>
        <w:rPr>
          <w:rFonts w:ascii="Arial" w:eastAsia="Calibri" w:hAnsi="Arial" w:cs="Arial"/>
          <w:b/>
          <w:i/>
          <w:sz w:val="24"/>
          <w:szCs w:val="24"/>
        </w:rPr>
        <w:t xml:space="preserve">$11,214.00 (once mil doscientos catorce 00/100M.N.) interpuestas al ciudadano </w:t>
      </w:r>
      <w:r w:rsidR="00A2140E">
        <w:rPr>
          <w:rFonts w:ascii="Arial" w:eastAsia="Calibri" w:hAnsi="Arial" w:cs="Arial"/>
          <w:b/>
          <w:i/>
          <w:sz w:val="24"/>
          <w:szCs w:val="24"/>
        </w:rPr>
        <w:t>**********</w:t>
      </w:r>
      <w:r>
        <w:rPr>
          <w:rFonts w:ascii="Arial" w:eastAsia="Calibri" w:hAnsi="Arial" w:cs="Arial"/>
          <w:i/>
          <w:sz w:val="24"/>
          <w:szCs w:val="24"/>
        </w:rPr>
        <w:t xml:space="preserve">dentro del expediente </w:t>
      </w:r>
      <w:r>
        <w:rPr>
          <w:rFonts w:ascii="Arial" w:eastAsia="Calibri" w:hAnsi="Arial" w:cs="Arial"/>
          <w:b/>
          <w:i/>
          <w:sz w:val="24"/>
          <w:szCs w:val="24"/>
        </w:rPr>
        <w:t>593/R.A./2014</w:t>
      </w:r>
    </w:p>
    <w:p w14:paraId="4C41026D" w14:textId="5C635F7C" w:rsidR="00DD63D4" w:rsidRPr="00055136" w:rsidRDefault="00AE3A0D" w:rsidP="00AE3A0D">
      <w:pPr>
        <w:pStyle w:val="Prrafodelista"/>
        <w:spacing w:after="0" w:line="360" w:lineRule="auto"/>
        <w:ind w:left="851" w:right="1062"/>
        <w:jc w:val="both"/>
        <w:rPr>
          <w:rFonts w:ascii="Arial" w:hAnsi="Arial" w:cs="Arial"/>
          <w:i/>
          <w:sz w:val="24"/>
          <w:szCs w:val="24"/>
        </w:rPr>
      </w:pPr>
      <w:r>
        <w:rPr>
          <w:rFonts w:ascii="Arial" w:eastAsia="Calibri" w:hAnsi="Arial" w:cs="Arial"/>
          <w:b/>
          <w:i/>
          <w:sz w:val="24"/>
          <w:szCs w:val="24"/>
        </w:rPr>
        <w:t xml:space="preserve">CUARTO. NOTIFÍQUESE PERSONALENTE A LA PARTE ACTORA Y POR OFICIO A LA AUTORIDAD DEMANDADA, </w:t>
      </w:r>
      <w:r>
        <w:rPr>
          <w:rFonts w:ascii="Arial" w:eastAsia="Calibri" w:hAnsi="Arial" w:cs="Arial"/>
          <w:i/>
          <w:sz w:val="24"/>
          <w:szCs w:val="24"/>
        </w:rPr>
        <w:t xml:space="preserve">con fundamento en los artículos 142 fracción I y 143 fracciones I y II de la Ley de Justicia Administrativa para el Estado de Oaxaca. </w:t>
      </w:r>
      <w:r>
        <w:rPr>
          <w:rFonts w:ascii="Arial" w:eastAsia="Calibri" w:hAnsi="Arial" w:cs="Arial"/>
          <w:b/>
          <w:i/>
          <w:sz w:val="24"/>
          <w:szCs w:val="24"/>
        </w:rPr>
        <w:t>CÚMPLASE.</w:t>
      </w:r>
      <w:r w:rsidR="00DD63D4" w:rsidRPr="00055136">
        <w:rPr>
          <w:rFonts w:ascii="Arial" w:hAnsi="Arial" w:cs="Arial"/>
          <w:i/>
          <w:sz w:val="24"/>
          <w:szCs w:val="24"/>
        </w:rPr>
        <w:t xml:space="preserve"> </w:t>
      </w:r>
    </w:p>
    <w:p w14:paraId="1A03C773" w14:textId="03BB896A" w:rsidR="002451B0" w:rsidRPr="002451B0" w:rsidRDefault="000F6A45" w:rsidP="00DD63D4">
      <w:pPr>
        <w:spacing w:after="0" w:line="360" w:lineRule="auto"/>
        <w:ind w:left="851" w:right="1062"/>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24498DD7" wp14:editId="256E9ECC">
                <wp:simplePos x="0" y="0"/>
                <wp:positionH relativeFrom="column">
                  <wp:posOffset>5469147</wp:posOffset>
                </wp:positionH>
                <wp:positionV relativeFrom="paragraph">
                  <wp:posOffset>245002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4D328A1" w14:textId="77777777" w:rsidR="000F6A45" w:rsidRDefault="000F6A45" w:rsidP="000F6A4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98DD7" id="_x0000_t202" coordsize="21600,21600" o:spt="202" path="m,l,21600r21600,l21600,xe">
                <v:stroke joinstyle="miter"/>
                <v:path gradientshapeok="t" o:connecttype="rect"/>
              </v:shapetype>
              <v:shape id="Cuadro de texto 1" o:spid="_x0000_s1026" type="#_x0000_t202" style="position:absolute;left:0;text-align:left;margin-left:430.65pt;margin-top:19.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">
                <v:textbox>
                  <w:txbxContent>
                    <w:p w14:paraId="34D328A1" w14:textId="77777777" w:rsidR="000F6A45" w:rsidRDefault="000F6A45" w:rsidP="000F6A45">
                      <w:pPr>
                        <w:rPr>
                          <w:sz w:val="16"/>
                          <w:szCs w:val="16"/>
                        </w:rPr>
                      </w:pPr>
                      <w:r>
                        <w:rPr>
                          <w:sz w:val="16"/>
                          <w:szCs w:val="16"/>
                        </w:rPr>
                        <w:t>Datos personales protegidos por el Art. 116 de la LGTAIP y el Art. 56 de la LTAIPEO</w:t>
                      </w:r>
                    </w:p>
                  </w:txbxContent>
                </v:textbox>
              </v:shape>
            </w:pict>
          </mc:Fallback>
        </mc:AlternateContent>
      </w:r>
      <w:r w:rsidR="00DD63D4">
        <w:rPr>
          <w:rFonts w:ascii="Arial" w:eastAsia="Calibri" w:hAnsi="Arial" w:cs="Arial"/>
          <w:b/>
          <w:i/>
          <w:sz w:val="24"/>
          <w:szCs w:val="24"/>
        </w:rPr>
        <w:t>…”</w:t>
      </w:r>
    </w:p>
    <w:p w14:paraId="594C50B6" w14:textId="3E16976A" w:rsidR="00930102" w:rsidRPr="00B17D70" w:rsidRDefault="00930102" w:rsidP="00930102">
      <w:pPr>
        <w:spacing w:before="240" w:line="360" w:lineRule="auto"/>
        <w:jc w:val="center"/>
        <w:rPr>
          <w:rFonts w:ascii="Arial" w:hAnsi="Arial" w:cs="Arial"/>
          <w:b/>
          <w:bCs/>
          <w:sz w:val="26"/>
          <w:szCs w:val="26"/>
          <w:lang w:val="es-MX"/>
        </w:rPr>
      </w:pPr>
      <w:r w:rsidRPr="00B17D70">
        <w:rPr>
          <w:rFonts w:ascii="Arial" w:hAnsi="Arial" w:cs="Arial"/>
          <w:b/>
          <w:bCs/>
          <w:sz w:val="26"/>
          <w:szCs w:val="26"/>
          <w:lang w:val="es-MX"/>
        </w:rPr>
        <w:t>C O N S I D E R A N D O</w:t>
      </w:r>
    </w:p>
    <w:p w14:paraId="5FC13460" w14:textId="4C57870D" w:rsidR="00930102" w:rsidRPr="00B17D70" w:rsidRDefault="00341602" w:rsidP="00930102">
      <w:pPr>
        <w:widowControl w:val="0"/>
        <w:tabs>
          <w:tab w:val="left" w:pos="7938"/>
        </w:tabs>
        <w:spacing w:before="240" w:line="360" w:lineRule="auto"/>
        <w:ind w:right="18" w:firstLine="709"/>
        <w:jc w:val="both"/>
        <w:rPr>
          <w:rFonts w:ascii="Arial" w:hAnsi="Arial" w:cs="Arial"/>
          <w:sz w:val="26"/>
          <w:szCs w:val="26"/>
          <w:lang w:eastAsia="es-ES"/>
        </w:rPr>
      </w:pPr>
      <w:r w:rsidRPr="00BA1FA3">
        <w:rPr>
          <w:rFonts w:ascii="Arial" w:hAnsi="Arial" w:cs="Arial"/>
          <w:b/>
          <w:bCs/>
          <w:iCs/>
          <w:sz w:val="26"/>
          <w:szCs w:val="26"/>
        </w:rPr>
        <w:t xml:space="preserve">PRIMERO. </w:t>
      </w:r>
      <w:r w:rsidRPr="00BA1FA3">
        <w:rPr>
          <w:rFonts w:ascii="Arial" w:hAnsi="Arial" w:cs="Arial"/>
          <w:bCs/>
          <w:iCs/>
          <w:sz w:val="26"/>
          <w:szCs w:val="26"/>
        </w:rPr>
        <w:t xml:space="preserve">Esta Sala Superior es competente para conocer del presente asunto, </w:t>
      </w:r>
      <w:r w:rsidRPr="00BA1FA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930102" w:rsidRPr="00B17D70">
        <w:rPr>
          <w:rFonts w:ascii="Arial" w:hAnsi="Arial" w:cs="Arial"/>
          <w:bCs/>
          <w:iCs/>
          <w:sz w:val="26"/>
          <w:szCs w:val="26"/>
          <w:lang w:eastAsia="es-ES"/>
        </w:rPr>
        <w:t xml:space="preserve">86, 88, 92, 93 fracción I, 94, 201, 206 y 208 de la Ley de Justicia Administrativa para el Estado de </w:t>
      </w:r>
      <w:r w:rsidR="00930102" w:rsidRPr="00B17D70">
        <w:rPr>
          <w:rFonts w:ascii="Arial" w:hAnsi="Arial" w:cs="Arial"/>
          <w:bCs/>
          <w:iCs/>
          <w:sz w:val="26"/>
          <w:szCs w:val="26"/>
          <w:lang w:eastAsia="es-ES"/>
        </w:rPr>
        <w:lastRenderedPageBreak/>
        <w:t>Oaxaca,</w:t>
      </w:r>
      <w:r>
        <w:rPr>
          <w:rFonts w:ascii="Arial" w:hAnsi="Arial" w:cs="Arial"/>
          <w:bCs/>
          <w:iCs/>
          <w:sz w:val="26"/>
          <w:szCs w:val="26"/>
          <w:lang w:eastAsia="es-ES"/>
        </w:rPr>
        <w:t xml:space="preserve"> vigente hasta el veinte de octubre de dos mil diecisiete,</w:t>
      </w:r>
      <w:r w:rsidR="00930102" w:rsidRPr="00B17D70">
        <w:rPr>
          <w:rFonts w:ascii="Arial" w:hAnsi="Arial" w:cs="Arial"/>
          <w:bCs/>
          <w:iCs/>
          <w:sz w:val="26"/>
          <w:szCs w:val="26"/>
          <w:lang w:eastAsia="es-ES"/>
        </w:rPr>
        <w:t xml:space="preserve"> dado que se trata de un Recurso de Revisión interpuesto en contra de</w:t>
      </w:r>
      <w:r w:rsidR="002451B0" w:rsidRPr="00B17D70">
        <w:rPr>
          <w:rFonts w:ascii="Arial" w:hAnsi="Arial" w:cs="Arial"/>
          <w:bCs/>
          <w:iCs/>
          <w:sz w:val="26"/>
          <w:szCs w:val="26"/>
          <w:lang w:eastAsia="es-ES"/>
        </w:rPr>
        <w:t xml:space="preserve"> la</w:t>
      </w:r>
      <w:r w:rsidR="003D7D73" w:rsidRPr="00B17D70">
        <w:rPr>
          <w:rFonts w:ascii="Arial" w:hAnsi="Arial" w:cs="Arial"/>
          <w:bCs/>
          <w:iCs/>
          <w:sz w:val="26"/>
          <w:szCs w:val="26"/>
          <w:lang w:eastAsia="es-ES"/>
        </w:rPr>
        <w:t xml:space="preserve"> </w:t>
      </w:r>
      <w:r w:rsidR="00DD63D4" w:rsidRPr="00B17D70">
        <w:rPr>
          <w:rFonts w:ascii="Arial" w:hAnsi="Arial" w:cs="Arial"/>
          <w:bCs/>
          <w:iCs/>
          <w:sz w:val="26"/>
          <w:szCs w:val="26"/>
          <w:lang w:eastAsia="es-ES"/>
        </w:rPr>
        <w:t xml:space="preserve">sentencia de </w:t>
      </w:r>
      <w:r w:rsidR="00684E14" w:rsidRPr="00B17D70">
        <w:rPr>
          <w:rFonts w:ascii="Arial" w:hAnsi="Arial" w:cs="Arial"/>
          <w:bCs/>
          <w:iCs/>
          <w:sz w:val="26"/>
          <w:szCs w:val="26"/>
          <w:lang w:eastAsia="es-ES"/>
        </w:rPr>
        <w:t>diez de julio</w:t>
      </w:r>
      <w:r w:rsidR="00DD63D4" w:rsidRPr="00B17D70">
        <w:rPr>
          <w:rFonts w:ascii="Arial" w:hAnsi="Arial" w:cs="Arial"/>
          <w:bCs/>
          <w:iCs/>
          <w:sz w:val="26"/>
          <w:szCs w:val="26"/>
          <w:lang w:eastAsia="es-ES"/>
        </w:rPr>
        <w:t xml:space="preserve"> de dos mil diecisiete dictad</w:t>
      </w:r>
      <w:r>
        <w:rPr>
          <w:rFonts w:ascii="Arial" w:hAnsi="Arial" w:cs="Arial"/>
          <w:bCs/>
          <w:iCs/>
          <w:sz w:val="26"/>
          <w:szCs w:val="26"/>
          <w:lang w:eastAsia="es-ES"/>
        </w:rPr>
        <w:t>a</w:t>
      </w:r>
      <w:r w:rsidR="00DD63D4" w:rsidRPr="00B17D70">
        <w:rPr>
          <w:rFonts w:ascii="Arial" w:hAnsi="Arial" w:cs="Arial"/>
          <w:bCs/>
          <w:iCs/>
          <w:sz w:val="26"/>
          <w:szCs w:val="26"/>
          <w:lang w:eastAsia="es-ES"/>
        </w:rPr>
        <w:t xml:space="preserve"> por la </w:t>
      </w:r>
      <w:r w:rsidR="00684E14" w:rsidRPr="00B17D70">
        <w:rPr>
          <w:rFonts w:ascii="Arial" w:hAnsi="Arial" w:cs="Arial"/>
          <w:bCs/>
          <w:iCs/>
          <w:sz w:val="26"/>
          <w:szCs w:val="26"/>
          <w:lang w:eastAsia="es-ES"/>
        </w:rPr>
        <w:t>Sext</w:t>
      </w:r>
      <w:r w:rsidR="00055136" w:rsidRPr="00B17D70">
        <w:rPr>
          <w:rFonts w:ascii="Arial" w:hAnsi="Arial" w:cs="Arial"/>
          <w:bCs/>
          <w:iCs/>
          <w:sz w:val="26"/>
          <w:szCs w:val="26"/>
          <w:lang w:eastAsia="es-ES"/>
        </w:rPr>
        <w:t xml:space="preserve">a </w:t>
      </w:r>
      <w:r w:rsidR="003D7D73" w:rsidRPr="00B17D70">
        <w:rPr>
          <w:rFonts w:ascii="Arial" w:hAnsi="Arial" w:cs="Arial"/>
          <w:bCs/>
          <w:iCs/>
          <w:sz w:val="26"/>
          <w:szCs w:val="26"/>
          <w:lang w:eastAsia="es-ES"/>
        </w:rPr>
        <w:t xml:space="preserve">Sala Unitaria de Primera Instancia en el </w:t>
      </w:r>
      <w:r w:rsidR="00DD63D4" w:rsidRPr="00B17D70">
        <w:rPr>
          <w:rFonts w:ascii="Arial" w:hAnsi="Arial" w:cs="Arial"/>
          <w:bCs/>
          <w:iCs/>
          <w:sz w:val="26"/>
          <w:szCs w:val="26"/>
          <w:lang w:eastAsia="es-ES"/>
        </w:rPr>
        <w:t xml:space="preserve">expediente </w:t>
      </w:r>
      <w:r w:rsidR="003D7D73" w:rsidRPr="00B17D70">
        <w:rPr>
          <w:rFonts w:ascii="Arial" w:hAnsi="Arial" w:cs="Arial"/>
          <w:b/>
          <w:bCs/>
          <w:iCs/>
          <w:sz w:val="26"/>
          <w:szCs w:val="26"/>
          <w:lang w:eastAsia="es-ES"/>
        </w:rPr>
        <w:t>0</w:t>
      </w:r>
      <w:r w:rsidR="00055136" w:rsidRPr="00B17D70">
        <w:rPr>
          <w:rFonts w:ascii="Arial" w:hAnsi="Arial" w:cs="Arial"/>
          <w:b/>
          <w:bCs/>
          <w:iCs/>
          <w:sz w:val="26"/>
          <w:szCs w:val="26"/>
          <w:lang w:eastAsia="es-ES"/>
        </w:rPr>
        <w:t>3</w:t>
      </w:r>
      <w:r w:rsidR="00684E14" w:rsidRPr="00B17D70">
        <w:rPr>
          <w:rFonts w:ascii="Arial" w:hAnsi="Arial" w:cs="Arial"/>
          <w:b/>
          <w:bCs/>
          <w:iCs/>
          <w:sz w:val="26"/>
          <w:szCs w:val="26"/>
          <w:lang w:eastAsia="es-ES"/>
        </w:rPr>
        <w:t>09</w:t>
      </w:r>
      <w:r w:rsidR="00055136" w:rsidRPr="00B17D70">
        <w:rPr>
          <w:rFonts w:ascii="Arial" w:hAnsi="Arial" w:cs="Arial"/>
          <w:b/>
          <w:bCs/>
          <w:iCs/>
          <w:sz w:val="26"/>
          <w:szCs w:val="26"/>
          <w:lang w:eastAsia="es-ES"/>
        </w:rPr>
        <w:t>/2016</w:t>
      </w:r>
      <w:r w:rsidR="003D7D73" w:rsidRPr="00B17D70">
        <w:rPr>
          <w:rFonts w:ascii="Arial" w:hAnsi="Arial" w:cs="Arial"/>
          <w:b/>
          <w:bCs/>
          <w:iCs/>
          <w:sz w:val="26"/>
          <w:szCs w:val="26"/>
          <w:lang w:eastAsia="es-ES"/>
        </w:rPr>
        <w:t>.</w:t>
      </w:r>
    </w:p>
    <w:p w14:paraId="1203340C" w14:textId="77777777" w:rsidR="00930102" w:rsidRPr="00B17D70"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B17D70">
        <w:rPr>
          <w:rFonts w:ascii="Arial" w:hAnsi="Arial" w:cs="Arial"/>
          <w:b/>
          <w:bCs/>
          <w:sz w:val="26"/>
          <w:szCs w:val="26"/>
          <w:lang w:val="es-MX"/>
        </w:rPr>
        <w:t>SEGUNDO.</w:t>
      </w:r>
      <w:r w:rsidRPr="00B17D70">
        <w:rPr>
          <w:rFonts w:ascii="Arial" w:hAnsi="Arial" w:cs="Arial"/>
          <w:bCs/>
          <w:sz w:val="26"/>
          <w:szCs w:val="26"/>
          <w:lang w:val="es-MX"/>
        </w:rPr>
        <w:t xml:space="preserve"> </w:t>
      </w:r>
      <w:r w:rsidRPr="00B17D70">
        <w:rPr>
          <w:rFonts w:ascii="Arial" w:hAnsi="Arial" w:cs="Arial"/>
          <w:bCs/>
          <w:sz w:val="26"/>
          <w:szCs w:val="26"/>
        </w:rPr>
        <w:t>Los agravios hechos valer se encuentran expuesto</w:t>
      </w:r>
      <w:r w:rsidR="0072015D" w:rsidRPr="00B17D70">
        <w:rPr>
          <w:rFonts w:ascii="Arial" w:hAnsi="Arial" w:cs="Arial"/>
          <w:bCs/>
          <w:sz w:val="26"/>
          <w:szCs w:val="26"/>
        </w:rPr>
        <w:t>s en el escrito respectivo del</w:t>
      </w:r>
      <w:r w:rsidRPr="00B17D70">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B17D70">
        <w:rPr>
          <w:rFonts w:ascii="Arial" w:hAnsi="Arial" w:cs="Arial"/>
          <w:sz w:val="26"/>
          <w:szCs w:val="26"/>
        </w:rPr>
        <w:t>.</w:t>
      </w:r>
    </w:p>
    <w:p w14:paraId="76ABD1A2" w14:textId="0B2A2EFC" w:rsidR="007D295E" w:rsidRPr="00B17D70" w:rsidRDefault="00930102" w:rsidP="00684E14">
      <w:pPr>
        <w:spacing w:line="360" w:lineRule="auto"/>
        <w:ind w:firstLine="709"/>
        <w:jc w:val="both"/>
        <w:rPr>
          <w:rFonts w:ascii="Arial" w:hAnsi="Arial" w:cs="Arial"/>
          <w:bCs/>
          <w:sz w:val="26"/>
          <w:szCs w:val="26"/>
          <w:lang w:val="es-MX"/>
        </w:rPr>
      </w:pPr>
      <w:r w:rsidRPr="00B17D70">
        <w:rPr>
          <w:rFonts w:ascii="Arial" w:hAnsi="Arial" w:cs="Arial"/>
          <w:b/>
          <w:bCs/>
          <w:sz w:val="26"/>
          <w:szCs w:val="26"/>
          <w:lang w:val="es-MX"/>
        </w:rPr>
        <w:t xml:space="preserve">TERCERO. </w:t>
      </w:r>
      <w:r w:rsidR="00684E14" w:rsidRPr="00B17D70">
        <w:rPr>
          <w:rFonts w:ascii="Arial" w:hAnsi="Arial" w:cs="Arial"/>
          <w:bCs/>
          <w:sz w:val="26"/>
          <w:szCs w:val="26"/>
          <w:lang w:val="es-MX"/>
        </w:rPr>
        <w:t xml:space="preserve">Dice que le agravia la sentencia sujeta a revisión porque la resolución de </w:t>
      </w:r>
      <w:r w:rsidR="00341602">
        <w:rPr>
          <w:rFonts w:ascii="Arial" w:hAnsi="Arial" w:cs="Arial"/>
          <w:bCs/>
          <w:sz w:val="26"/>
          <w:szCs w:val="26"/>
          <w:lang w:val="es-MX"/>
        </w:rPr>
        <w:t>veintidós de octubre de</w:t>
      </w:r>
      <w:r w:rsidR="00684E14" w:rsidRPr="00B17D70">
        <w:rPr>
          <w:rFonts w:ascii="Arial" w:hAnsi="Arial" w:cs="Arial"/>
          <w:bCs/>
          <w:sz w:val="26"/>
          <w:szCs w:val="26"/>
          <w:lang w:val="es-MX"/>
        </w:rPr>
        <w:t xml:space="preserve"> dos mil catorce dictada en el expediente administrativo 593/R.A./2014 se encuentra debidamente fundada y motivada y que al declararse su nulidad se ocasionaría que una falta administrativa como la cometida por el servidor público quede sin ser sancionada y con ello se ocasiona la proliferación y reincidencia de la misma. </w:t>
      </w:r>
    </w:p>
    <w:p w14:paraId="3CFF2F0C" w14:textId="39DED3B2" w:rsidR="00684E14" w:rsidRPr="00B17D70" w:rsidRDefault="00684E14" w:rsidP="00684E14">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 xml:space="preserve">Que en atención al análisis de la juzgadora de primer grado en el que dijo que el acto impugnado incumplía con el requisito de validez previsto por la fracción V del artículo 7 de la Ley de Justicia Administrativa para el Estado de Oaxaca, es incoherente y le causa incertidumbre. Al efecto cita el criterio de rubro: “PRINCIPIO PRO HOMINE O PRO PERSONA. SI EN UN CASO CONCRETO NO SE ACTUALIZA LA ANTINOMIA DE DOS NORMAS QUE TUTELAN DERECHOS HUMANOS PARA QUE EL JUZGADOR INTERPRETE CUAL ES LA QUE RESULTA DE MAYOR BENEFICIO PARA LA PERSONA, AQUÉL NO ES EL IDÓNEO PARA RESOLVERLO”. </w:t>
      </w:r>
    </w:p>
    <w:p w14:paraId="346C30A7" w14:textId="203E1207" w:rsidR="00684E14" w:rsidRPr="00B17D70" w:rsidRDefault="00684E14" w:rsidP="00684E14">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Que conforme a este criterio, si bien debe aplicarse la norma más amplia en favor de las personas, tal principio (pro persona) no implica que necesariamente habrá de resolverse favorablemente</w:t>
      </w:r>
      <w:r w:rsidR="00502AA8">
        <w:rPr>
          <w:rFonts w:ascii="Arial" w:hAnsi="Arial" w:cs="Arial"/>
          <w:bCs/>
          <w:sz w:val="26"/>
          <w:szCs w:val="26"/>
          <w:lang w:val="es-MX"/>
        </w:rPr>
        <w:t xml:space="preserve"> la pretensión de las personas. </w:t>
      </w:r>
      <w:r w:rsidRPr="00B17D70">
        <w:rPr>
          <w:rFonts w:ascii="Arial" w:hAnsi="Arial" w:cs="Arial"/>
          <w:bCs/>
          <w:sz w:val="26"/>
          <w:szCs w:val="26"/>
          <w:lang w:val="es-MX"/>
        </w:rPr>
        <w:t xml:space="preserve">También dice que hay una mala interpretación de la ley que se debe aplicar, ya que de las pruebas que constan en el expediente se determinará que son suficientes para que la autoridad al emitir su resolución lo haga con el objeto de erradicar actos por el incumplimiento de la normatividad que rige el ejercicio de los Servidores públicos. </w:t>
      </w:r>
    </w:p>
    <w:p w14:paraId="76E3685B" w14:textId="0BFCE64F" w:rsidR="00F411C3" w:rsidRPr="00B17D70" w:rsidRDefault="00684E14" w:rsidP="00F411C3">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 xml:space="preserve">Que en términos del artículo 3 de la Ley de Justicia Administrativa para el Estado de Oaxaca, el hoy disconforme es la </w:t>
      </w:r>
      <w:r w:rsidRPr="00B17D70">
        <w:rPr>
          <w:rFonts w:ascii="Arial" w:hAnsi="Arial" w:cs="Arial"/>
          <w:bCs/>
          <w:sz w:val="26"/>
          <w:szCs w:val="26"/>
          <w:lang w:val="es-MX"/>
        </w:rPr>
        <w:lastRenderedPageBreak/>
        <w:t>autoridad idónea para sancionar mediante el procedimiento de responsabilidades administrativas</w:t>
      </w:r>
      <w:r w:rsidR="00F411C3" w:rsidRPr="00B17D70">
        <w:rPr>
          <w:rFonts w:ascii="Arial" w:hAnsi="Arial" w:cs="Arial"/>
          <w:bCs/>
          <w:sz w:val="26"/>
          <w:szCs w:val="26"/>
          <w:lang w:val="es-MX"/>
        </w:rPr>
        <w:t>, y que por ello el acto impugnado se</w:t>
      </w:r>
      <w:r w:rsidR="00502AA8">
        <w:rPr>
          <w:rFonts w:ascii="Arial" w:hAnsi="Arial" w:cs="Arial"/>
          <w:bCs/>
          <w:sz w:val="26"/>
          <w:szCs w:val="26"/>
          <w:lang w:val="es-MX"/>
        </w:rPr>
        <w:t xml:space="preserve"> encuentra fundado y motivado, </w:t>
      </w:r>
      <w:r w:rsidR="00F411C3" w:rsidRPr="00B17D70">
        <w:rPr>
          <w:rFonts w:ascii="Arial" w:hAnsi="Arial" w:cs="Arial"/>
          <w:bCs/>
          <w:sz w:val="26"/>
          <w:szCs w:val="26"/>
          <w:lang w:val="es-MX"/>
        </w:rPr>
        <w:t xml:space="preserve">que en todo momento se ha respetado el derecho de defensa del administrado y que el procedimiento administrativo sancionador está apegado a derecho. Que la falta administrativa imputada a </w:t>
      </w:r>
      <w:r w:rsidR="00A2140E">
        <w:rPr>
          <w:rFonts w:ascii="Arial" w:hAnsi="Arial" w:cs="Arial"/>
          <w:bCs/>
          <w:sz w:val="26"/>
          <w:szCs w:val="26"/>
          <w:lang w:val="es-MX"/>
        </w:rPr>
        <w:t>**********</w:t>
      </w:r>
      <w:r w:rsidR="00F411C3" w:rsidRPr="00B17D70">
        <w:rPr>
          <w:rFonts w:ascii="Arial" w:hAnsi="Arial" w:cs="Arial"/>
          <w:bCs/>
          <w:sz w:val="26"/>
          <w:szCs w:val="26"/>
          <w:lang w:val="es-MX"/>
        </w:rPr>
        <w:t xml:space="preserve">consistente en la presentación extemporánea de su declaración patrimonial inicial en su carácter de Coordinador regional Istmo dependiente de la Secretaría General de Gobierno, está acreditado en el recibo expedido por el sistema electrónico denominado E-OAXACA DECLARA que lleva el Departamento de Situación Patrimonial y Registro de Sanciones de la Secretaría de la Contraloría y Transparencia Gubernamental del Estado de Oaxaca, que se considera que el servidor púbico es reincidente en atención al memorándum SPRS/695/82014 de 4 cuatro de junio de 2014 dos mil catorce. De ahí que con el ánimo de erradicar el incumplimiento de la normatividad que rige el ejercicio del servicio público y con fundamento en lo dispuesto por los artículos 57 fracción V, 69 fracción II 74 y 75 fracción II de la Ley de Responsabilidades de los Servidores Públicos del Estado y Municipios de Oaxaca era procedente imponer la sanción de $11,214.00 (once mil doscientos catorce pesos 00/100 </w:t>
      </w:r>
      <w:proofErr w:type="spellStart"/>
      <w:r w:rsidR="00F411C3" w:rsidRPr="00B17D70">
        <w:rPr>
          <w:rFonts w:ascii="Arial" w:hAnsi="Arial" w:cs="Arial"/>
          <w:bCs/>
          <w:sz w:val="26"/>
          <w:szCs w:val="26"/>
          <w:lang w:val="es-MX"/>
        </w:rPr>
        <w:t>mn</w:t>
      </w:r>
      <w:proofErr w:type="spellEnd"/>
      <w:r w:rsidR="00F411C3" w:rsidRPr="00B17D70">
        <w:rPr>
          <w:rFonts w:ascii="Arial" w:hAnsi="Arial" w:cs="Arial"/>
          <w:bCs/>
          <w:sz w:val="26"/>
          <w:szCs w:val="26"/>
          <w:lang w:val="es-MX"/>
        </w:rPr>
        <w:t xml:space="preserve">.) a </w:t>
      </w:r>
      <w:r w:rsidR="00A2140E">
        <w:rPr>
          <w:rFonts w:ascii="Arial" w:hAnsi="Arial" w:cs="Arial"/>
          <w:bCs/>
          <w:sz w:val="26"/>
          <w:szCs w:val="26"/>
          <w:lang w:val="es-MX"/>
        </w:rPr>
        <w:t>**********</w:t>
      </w:r>
      <w:r w:rsidR="00F411C3" w:rsidRPr="00B17D70">
        <w:rPr>
          <w:rFonts w:ascii="Arial" w:hAnsi="Arial" w:cs="Arial"/>
          <w:bCs/>
          <w:sz w:val="26"/>
          <w:szCs w:val="26"/>
          <w:lang w:val="es-MX"/>
        </w:rPr>
        <w:t xml:space="preserve">. </w:t>
      </w:r>
    </w:p>
    <w:p w14:paraId="45292AE5" w14:textId="784063A8" w:rsidR="00F411C3" w:rsidRPr="00B17D70" w:rsidRDefault="000F6A45" w:rsidP="00F411C3">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3F39BB47" wp14:editId="1CA9ED09">
                <wp:simplePos x="0" y="0"/>
                <wp:positionH relativeFrom="column">
                  <wp:posOffset>5564037</wp:posOffset>
                </wp:positionH>
                <wp:positionV relativeFrom="paragraph">
                  <wp:posOffset>1889556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4D27626" w14:textId="77777777" w:rsidR="000F6A45" w:rsidRDefault="000F6A45" w:rsidP="000F6A4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BB47" id="Cuadro de texto 2" o:spid="_x0000_s1027" type="#_x0000_t202" style="position:absolute;left:0;text-align:left;margin-left:438.1pt;margin-top:148.8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">
                <v:textbox>
                  <w:txbxContent>
                    <w:p w14:paraId="24D27626" w14:textId="77777777" w:rsidR="000F6A45" w:rsidRDefault="000F6A45" w:rsidP="000F6A45">
                      <w:pPr>
                        <w:rPr>
                          <w:sz w:val="16"/>
                          <w:szCs w:val="16"/>
                        </w:rPr>
                      </w:pPr>
                      <w:r>
                        <w:rPr>
                          <w:sz w:val="16"/>
                          <w:szCs w:val="16"/>
                        </w:rPr>
                        <w:t>Datos personales protegidos por el Art. 116 de la LGTAIP y el Art. 56 de la LTAIPEO</w:t>
                      </w:r>
                    </w:p>
                  </w:txbxContent>
                </v:textbox>
              </v:shape>
            </w:pict>
          </mc:Fallback>
        </mc:AlternateContent>
      </w:r>
      <w:r w:rsidR="00F411C3" w:rsidRPr="00B17D70">
        <w:rPr>
          <w:rFonts w:ascii="Arial" w:hAnsi="Arial" w:cs="Arial"/>
          <w:bCs/>
          <w:sz w:val="26"/>
          <w:szCs w:val="26"/>
          <w:lang w:val="es-MX"/>
        </w:rPr>
        <w:t>Por lo que dice que no era procedente la declaración de nulidad lisa y llana del acto impugnado por no contar con el requisito de validez de estar fundado y motivado, ya que dice, ha quedado demostrado que sí está fundado y motivado. Además que debieron valorarse las pruebas para allegarse de la verdad e invoca el criterio de rubro: “INSTRUMENTAL DE ACTUACIONES EL PROCEDIMIENTO LABORAL AUN CAUNDO SE NO SE HAYA OFRECIDO COMO PRUEBA, LA JUNTA AL DICTAR EL LAUDO DEBE EXAMINAR TODAS LAS CONSTANCIAS QUE INTEGRAN EL EXPEDIENTE”.</w:t>
      </w:r>
    </w:p>
    <w:p w14:paraId="1EFC77FC" w14:textId="68350268" w:rsidR="00F411C3" w:rsidRPr="00B17D70" w:rsidRDefault="00F411C3" w:rsidP="00F411C3">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 xml:space="preserve">Continúa diciendo que la resolución impugnada está fundada y motivada porque se valoraron todas las pruebas ofrecidas en el procedimiento administrativo, contrario a lo que realizó el juzgador al decretar la nulidad lisa y llana del acto impugnado sin tomar en cuenta las circunstancias que se analizaron en la resolución administrativa. </w:t>
      </w:r>
    </w:p>
    <w:p w14:paraId="3B7DE7DE" w14:textId="33990529" w:rsidR="00F411C3" w:rsidRPr="00B17D70" w:rsidRDefault="00F411C3" w:rsidP="00F411C3">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También indica que le agravia la resolución sujeta a revisión porque existe la declaratoria de nulidad para efect</w:t>
      </w:r>
      <w:r w:rsidR="0082574A" w:rsidRPr="00B17D70">
        <w:rPr>
          <w:rFonts w:ascii="Arial" w:hAnsi="Arial" w:cs="Arial"/>
          <w:bCs/>
          <w:sz w:val="26"/>
          <w:szCs w:val="26"/>
          <w:lang w:val="es-MX"/>
        </w:rPr>
        <w:t xml:space="preserve">os, que es la que se </w:t>
      </w:r>
      <w:r w:rsidR="0082574A" w:rsidRPr="00B17D70">
        <w:rPr>
          <w:rFonts w:ascii="Arial" w:hAnsi="Arial" w:cs="Arial"/>
          <w:bCs/>
          <w:sz w:val="26"/>
          <w:szCs w:val="26"/>
          <w:lang w:val="es-MX"/>
        </w:rPr>
        <w:lastRenderedPageBreak/>
        <w:t xml:space="preserve">debió decretar y no la nulidad lisa y llana pronunciada por la primera instancia y cita al efecto los criterios: “FACULTAD DE COMPROBACIÓN FALTA DE FUNDAMENTACIÓN Y MOTIVACIÓN LLEVA A DECRETAR LA NULIDAD PARA EFRECTOS Y NO LISA Y LLANA”, “SENTENCIAS DE NULIDAD FISCAL PARA EFECTOS. EL ARTÍCULO 239 FRACCIÓN III, ÚLTIMO PÁRRAFO, DEL CÓDIGO FISCAL DE LA FEDERACIÓN, QUE ESTABLECE ESE SENTIDO ANTE LA ACTUALIZACIÓN DE LA AUSENCIA DE FUNDAMENTACIÓN Y MOTIVACIÓN DE LA RESOLUCIÓN IMPUGNADA, NO VIOLA LA GARANTÍA DE LEGALIDAD CONSAGRADA EN EL ARTÍCULO 14 CONSTITUCIONAL”. </w:t>
      </w:r>
    </w:p>
    <w:p w14:paraId="712DE90A" w14:textId="77777777" w:rsidR="00DA0278" w:rsidRPr="00B17D70" w:rsidRDefault="003E3369" w:rsidP="00DA0278">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 xml:space="preserve">Todas estas expresiones son </w:t>
      </w:r>
      <w:r w:rsidRPr="00B17D70">
        <w:rPr>
          <w:rFonts w:ascii="Arial" w:hAnsi="Arial" w:cs="Arial"/>
          <w:b/>
          <w:bCs/>
          <w:sz w:val="26"/>
          <w:szCs w:val="26"/>
          <w:lang w:val="es-MX"/>
        </w:rPr>
        <w:t>inoperantes</w:t>
      </w:r>
      <w:r w:rsidRPr="00B17D70">
        <w:rPr>
          <w:rFonts w:ascii="Arial" w:hAnsi="Arial" w:cs="Arial"/>
          <w:bCs/>
          <w:sz w:val="26"/>
          <w:szCs w:val="26"/>
          <w:lang w:val="es-MX"/>
        </w:rPr>
        <w:t xml:space="preserve">, virtud que no exponen la lesión que supuestamente indica existe en la resolución en análisis. Esto es así, debido a que no es suficiente que reitere que la sentencia es ilegal </w:t>
      </w:r>
      <w:r w:rsidR="00DA0278" w:rsidRPr="00B17D70">
        <w:rPr>
          <w:rFonts w:ascii="Arial" w:hAnsi="Arial" w:cs="Arial"/>
          <w:bCs/>
          <w:sz w:val="26"/>
          <w:szCs w:val="26"/>
          <w:lang w:val="es-MX"/>
        </w:rPr>
        <w:t>porque el acto impugnado está fundado y motivado, era necesario que expusiera de qué manera la determinación contenida en la sentencia le agravia, esto porque la técnica jurídico procesal exige que se expongan cuáles son los fundamentos legales que presuntamente se violaron pero además que se explique con razones lógico jurídicas la lesión sufrida, debido a que conforme al artículo 118 de la Ley de Justicia Administrativa para el Estado de Oaxaca impera el principio dispositivo, según el cual sólo opera la suplencia de la queja tratándose del administrado y en primera instancia. En este contexto, las expresiones vertidas no pueden considerarse un verdadero agravio que permita a esta Superioridad su análisis. Estas consideraciones encuentran apoyo en la jurisprudencia IV.3o. J/12 del Tercer Tribunal Colegiado del Cuarto Circuito de la octava época, la cual está publicada en la Gaceta del Semanario Judicial de la Federación número 57, de septiembre de 1992 y visible a página 57 con el rubro y texto del tenor literal siguientes:</w:t>
      </w:r>
    </w:p>
    <w:p w14:paraId="0952176D" w14:textId="77777777" w:rsidR="00DA0278" w:rsidRDefault="00DA0278" w:rsidP="00DA0278">
      <w:pPr>
        <w:spacing w:line="360" w:lineRule="auto"/>
        <w:ind w:firstLine="709"/>
        <w:jc w:val="both"/>
        <w:rPr>
          <w:rFonts w:ascii="Arial" w:hAnsi="Arial" w:cs="Arial"/>
          <w:bCs/>
          <w:sz w:val="26"/>
          <w:szCs w:val="26"/>
          <w:lang w:val="es-MX"/>
        </w:rPr>
      </w:pPr>
      <w:r w:rsidRPr="00507699">
        <w:rPr>
          <w:rFonts w:ascii="Arial" w:hAnsi="Arial" w:cs="Arial"/>
          <w:bCs/>
          <w:sz w:val="26"/>
          <w:szCs w:val="26"/>
          <w:lang w:val="es-MX"/>
        </w:rPr>
        <w:t xml:space="preserve"> </w:t>
      </w:r>
    </w:p>
    <w:p w14:paraId="2D596E91" w14:textId="77777777" w:rsidR="00DA0278" w:rsidRPr="00E00E02" w:rsidRDefault="00DA0278" w:rsidP="00DA0278">
      <w:pPr>
        <w:spacing w:line="360" w:lineRule="auto"/>
        <w:ind w:left="851" w:right="920"/>
        <w:jc w:val="both"/>
        <w:rPr>
          <w:rFonts w:ascii="Arial" w:hAnsi="Arial" w:cs="Arial"/>
          <w:bCs/>
          <w:i/>
          <w:sz w:val="26"/>
          <w:szCs w:val="26"/>
          <w:lang w:val="es-MX"/>
        </w:rPr>
      </w:pPr>
      <w:r>
        <w:rPr>
          <w:rFonts w:ascii="Arial" w:hAnsi="Arial" w:cs="Arial"/>
          <w:b/>
          <w:bCs/>
          <w:i/>
          <w:sz w:val="26"/>
          <w:szCs w:val="26"/>
          <w:lang w:val="es-MX"/>
        </w:rPr>
        <w:t>“</w:t>
      </w:r>
      <w:r w:rsidRPr="00E00E02">
        <w:rPr>
          <w:rFonts w:ascii="Arial" w:hAnsi="Arial" w:cs="Arial"/>
          <w:b/>
          <w:bCs/>
          <w:i/>
          <w:sz w:val="26"/>
          <w:szCs w:val="26"/>
          <w:lang w:val="es-MX"/>
        </w:rPr>
        <w:t>AGRAVIOS. DEBEN DE IMPUGNAR LA ILEGALIDAD DEL FALLO RECURRIDO</w:t>
      </w:r>
      <w:r w:rsidRPr="00E00E02">
        <w:rPr>
          <w:rFonts w:ascii="Arial" w:hAnsi="Arial" w:cs="Arial"/>
          <w:bCs/>
          <w:i/>
          <w:sz w:val="26"/>
          <w:szCs w:val="26"/>
          <w:lang w:val="es-MX"/>
        </w:rPr>
        <w:t xml:space="preserve">. Si el recurrente no formula ninguna objeción contra el considerando que rige el sentido del fallo y sólo hace el señalamiento de las disposiciones legales que estima se infringieron por la responsable, sus expresiones no </w:t>
      </w:r>
      <w:r w:rsidRPr="00E00E02">
        <w:rPr>
          <w:rFonts w:ascii="Arial" w:hAnsi="Arial" w:cs="Arial"/>
          <w:bCs/>
          <w:i/>
          <w:sz w:val="26"/>
          <w:szCs w:val="26"/>
          <w:lang w:val="es-MX"/>
        </w:rPr>
        <w:lastRenderedPageBreak/>
        <w:t>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sz w:val="26"/>
          <w:szCs w:val="26"/>
          <w:lang w:val="es-MX"/>
        </w:rPr>
        <w:t>”</w:t>
      </w:r>
    </w:p>
    <w:p w14:paraId="7C63535D" w14:textId="07E7273B" w:rsidR="00F411C3" w:rsidRPr="00B17D70" w:rsidRDefault="003E3369" w:rsidP="00F411C3">
      <w:pPr>
        <w:spacing w:line="360" w:lineRule="auto"/>
        <w:ind w:firstLine="709"/>
        <w:jc w:val="both"/>
        <w:rPr>
          <w:rFonts w:ascii="Arial" w:hAnsi="Arial" w:cs="Arial"/>
          <w:bCs/>
          <w:sz w:val="26"/>
          <w:szCs w:val="26"/>
          <w:lang w:val="es-MX"/>
        </w:rPr>
      </w:pPr>
      <w:proofErr w:type="gramStart"/>
      <w:r w:rsidRPr="00B17D70">
        <w:rPr>
          <w:rFonts w:ascii="Arial" w:hAnsi="Arial" w:cs="Arial"/>
          <w:bCs/>
          <w:sz w:val="26"/>
          <w:szCs w:val="26"/>
          <w:lang w:val="es-MX"/>
        </w:rPr>
        <w:t>Culmina</w:t>
      </w:r>
      <w:proofErr w:type="gramEnd"/>
      <w:r w:rsidRPr="00B17D70">
        <w:rPr>
          <w:rFonts w:ascii="Arial" w:hAnsi="Arial" w:cs="Arial"/>
          <w:bCs/>
          <w:sz w:val="26"/>
          <w:szCs w:val="26"/>
          <w:lang w:val="es-MX"/>
        </w:rPr>
        <w:t xml:space="preserve"> sus argumentos diciendo que la primera instancia debió decretar una nulidad para efectos de que se emitiera otra fundando debidamente su resolución, no así, decretar una nulidad lisa y llana como lo hizo. </w:t>
      </w:r>
    </w:p>
    <w:p w14:paraId="4C9E3EFB" w14:textId="499222DB" w:rsidR="00987E4B" w:rsidRPr="00B17D70" w:rsidRDefault="00DA0278" w:rsidP="00987E4B">
      <w:pPr>
        <w:spacing w:line="360" w:lineRule="auto"/>
        <w:ind w:firstLine="709"/>
        <w:jc w:val="both"/>
        <w:rPr>
          <w:rFonts w:ascii="Arial" w:hAnsi="Arial" w:cs="Arial"/>
          <w:bCs/>
          <w:sz w:val="26"/>
          <w:szCs w:val="26"/>
          <w:lang w:val="es-MX"/>
        </w:rPr>
      </w:pPr>
      <w:r w:rsidRPr="00B17D70">
        <w:rPr>
          <w:rFonts w:ascii="Arial" w:hAnsi="Arial" w:cs="Arial"/>
          <w:bCs/>
          <w:sz w:val="26"/>
          <w:szCs w:val="26"/>
          <w:lang w:val="es-MX"/>
        </w:rPr>
        <w:t xml:space="preserve">Esto es </w:t>
      </w:r>
      <w:r w:rsidRPr="00B17D70">
        <w:rPr>
          <w:rFonts w:ascii="Arial" w:hAnsi="Arial" w:cs="Arial"/>
          <w:b/>
          <w:bCs/>
          <w:sz w:val="26"/>
          <w:szCs w:val="26"/>
          <w:lang w:val="es-MX"/>
        </w:rPr>
        <w:t xml:space="preserve">infundado, </w:t>
      </w:r>
      <w:r w:rsidRPr="00B17D70">
        <w:rPr>
          <w:rFonts w:ascii="Arial" w:hAnsi="Arial" w:cs="Arial"/>
          <w:bCs/>
          <w:sz w:val="26"/>
          <w:szCs w:val="26"/>
          <w:lang w:val="es-MX"/>
        </w:rPr>
        <w:t xml:space="preserve">porque la nulidad lisa y llana que decretó la primera instancia obedeció a la indebida fundamentación y motivación del acto impugnado, luego no es viable la declaratoria de una nulidad para efecto, ya que la indebida fundamentación y motivación constituye un vicio de fondo que no puede ser subsanado como lo sería la ausencia de fundamentación y motivación, pues en ese caso el vicio sería de forma y por tanto podría ser subsanado. </w:t>
      </w:r>
      <w:r w:rsidR="00987E4B" w:rsidRPr="00B17D70">
        <w:rPr>
          <w:rFonts w:ascii="Arial" w:hAnsi="Arial" w:cs="Arial"/>
          <w:bCs/>
          <w:sz w:val="26"/>
          <w:szCs w:val="26"/>
          <w:lang w:val="es-MX"/>
        </w:rPr>
        <w:t>Sirve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14:paraId="19D88CBA" w14:textId="0C7DCDA5" w:rsidR="00F411C3" w:rsidRPr="00F411C3" w:rsidRDefault="000F6A45" w:rsidP="00502AA8">
      <w:pPr>
        <w:spacing w:after="0" w:line="360" w:lineRule="auto"/>
        <w:ind w:left="851" w:right="777"/>
        <w:jc w:val="both"/>
        <w:rPr>
          <w:rFonts w:ascii="Arial" w:hAnsi="Arial" w:cs="Arial"/>
          <w:bCs/>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6A8A992A" wp14:editId="2175BCE1">
                <wp:simplePos x="0" y="0"/>
                <wp:positionH relativeFrom="column">
                  <wp:posOffset>5598543</wp:posOffset>
                </wp:positionH>
                <wp:positionV relativeFrom="paragraph">
                  <wp:posOffset>944053</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222C0EA" w14:textId="77777777" w:rsidR="000F6A45" w:rsidRDefault="000F6A45" w:rsidP="000F6A4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992A" id="Cuadro de texto 3" o:spid="_x0000_s1028" type="#_x0000_t202" style="position:absolute;left:0;text-align:left;margin-left:440.85pt;margin-top:74.3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">
                <v:textbox>
                  <w:txbxContent>
                    <w:p w14:paraId="6222C0EA" w14:textId="77777777" w:rsidR="000F6A45" w:rsidRDefault="000F6A45" w:rsidP="000F6A45">
                      <w:pPr>
                        <w:rPr>
                          <w:sz w:val="16"/>
                          <w:szCs w:val="16"/>
                        </w:rPr>
                      </w:pPr>
                      <w:r>
                        <w:rPr>
                          <w:sz w:val="16"/>
                          <w:szCs w:val="16"/>
                        </w:rPr>
                        <w:t>Datos personales protegidos por el Art. 116 de la LGTAIP y el Art. 56 de la LTAIPEO</w:t>
                      </w:r>
                    </w:p>
                  </w:txbxContent>
                </v:textbox>
              </v:shape>
            </w:pict>
          </mc:Fallback>
        </mc:AlternateContent>
      </w:r>
      <w:r w:rsidR="00987E4B">
        <w:rPr>
          <w:rFonts w:ascii="Arial" w:hAnsi="Arial" w:cs="Arial"/>
          <w:b/>
          <w:bCs/>
          <w:i/>
          <w:lang w:val="es-MX"/>
        </w:rPr>
        <w:t>“</w:t>
      </w:r>
      <w:r w:rsidR="00987E4B" w:rsidRPr="00987E4B">
        <w:rPr>
          <w:rFonts w:ascii="Arial" w:hAnsi="Arial" w:cs="Arial"/>
          <w:b/>
          <w:bCs/>
          <w:i/>
          <w:lang w:val="es-MX"/>
        </w:rPr>
        <w:t>FUNDAMENTACIÓN Y MOTIVACIÓN. LA DIFERENCIA ENTRE LA FALTA Y LA INDEBIDA SATISFACCIÓN DE AMBOS REQUISITOS CONSTITUCIONALES TRASCIENDE AL ORDEN EN QUE DEBEN ESTUDIARSE LOS CONCEPTOS DE VIOLACIÓN Y A LOS EFECTOS DEL FALLO PROTECTOR.</w:t>
      </w:r>
      <w:r w:rsidR="00987E4B" w:rsidRPr="00987E4B">
        <w:rPr>
          <w:rFonts w:ascii="Arial" w:hAnsi="Arial" w:cs="Arial"/>
          <w:bCs/>
          <w:i/>
          <w:lang w:val="es-MX"/>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w:t>
      </w:r>
      <w:r w:rsidR="00987E4B" w:rsidRPr="00987E4B">
        <w:rPr>
          <w:rFonts w:ascii="Arial" w:hAnsi="Arial" w:cs="Arial"/>
          <w:bCs/>
          <w:i/>
          <w:lang w:val="es-MX"/>
        </w:rPr>
        <w:lastRenderedPageBreak/>
        <w:t xml:space="preserve">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w:t>
      </w:r>
      <w:r w:rsidR="00987E4B" w:rsidRPr="00987E4B">
        <w:rPr>
          <w:rFonts w:ascii="Arial" w:hAnsi="Arial" w:cs="Arial"/>
          <w:bCs/>
          <w:i/>
          <w:lang w:val="es-MX"/>
        </w:rPr>
        <w:lastRenderedPageBreak/>
        <w:t>estudio de la indebida fundamentación y motivación, esto es, de la violación material o de fondo.</w:t>
      </w:r>
      <w:r w:rsidR="00987E4B">
        <w:rPr>
          <w:rFonts w:ascii="Arial" w:hAnsi="Arial" w:cs="Arial"/>
          <w:bCs/>
          <w:i/>
          <w:lang w:val="es-MX"/>
        </w:rPr>
        <w:t>”</w:t>
      </w:r>
    </w:p>
    <w:p w14:paraId="1EAF0A98" w14:textId="2581BFB3" w:rsidR="000C16C8" w:rsidRPr="00B17D70" w:rsidRDefault="00E00E02" w:rsidP="001346F2">
      <w:pPr>
        <w:spacing w:line="360" w:lineRule="auto"/>
        <w:ind w:firstLine="709"/>
        <w:jc w:val="both"/>
        <w:rPr>
          <w:rFonts w:ascii="Arial" w:eastAsia="Calibri" w:hAnsi="Arial" w:cs="Arial"/>
          <w:sz w:val="26"/>
          <w:szCs w:val="26"/>
        </w:rPr>
      </w:pPr>
      <w:r w:rsidRPr="00B17D70">
        <w:rPr>
          <w:rFonts w:ascii="Arial" w:hAnsi="Arial" w:cs="Arial"/>
          <w:sz w:val="26"/>
          <w:szCs w:val="26"/>
        </w:rPr>
        <w:t xml:space="preserve">Por las narradas consideraciones procede </w:t>
      </w:r>
      <w:r w:rsidR="00987E4B" w:rsidRPr="00B17D70">
        <w:rPr>
          <w:rFonts w:ascii="Arial" w:hAnsi="Arial" w:cs="Arial"/>
          <w:b/>
          <w:sz w:val="26"/>
          <w:szCs w:val="26"/>
        </w:rPr>
        <w:t xml:space="preserve">confirmar </w:t>
      </w:r>
      <w:r w:rsidRPr="00B17D70">
        <w:rPr>
          <w:rFonts w:ascii="Arial" w:hAnsi="Arial" w:cs="Arial"/>
          <w:sz w:val="26"/>
          <w:szCs w:val="26"/>
        </w:rPr>
        <w:t xml:space="preserve">la sentencia </w:t>
      </w:r>
      <w:r w:rsidR="00987E4B" w:rsidRPr="00B17D70">
        <w:rPr>
          <w:rFonts w:ascii="Arial" w:hAnsi="Arial" w:cs="Arial"/>
          <w:sz w:val="26"/>
          <w:szCs w:val="26"/>
        </w:rPr>
        <w:t>de  diez de julio de dos mil diecisiete</w:t>
      </w:r>
      <w:r w:rsidRPr="00B17D70">
        <w:rPr>
          <w:rFonts w:ascii="Arial" w:hAnsi="Arial" w:cs="Arial"/>
          <w:sz w:val="26"/>
          <w:szCs w:val="26"/>
        </w:rPr>
        <w:t xml:space="preserve">, </w:t>
      </w:r>
      <w:r w:rsidR="001346F2" w:rsidRPr="00B17D70">
        <w:rPr>
          <w:rFonts w:ascii="Arial" w:eastAsia="Calibri" w:hAnsi="Arial" w:cs="Arial"/>
          <w:sz w:val="26"/>
          <w:szCs w:val="26"/>
        </w:rPr>
        <w:t>c</w:t>
      </w:r>
      <w:r w:rsidR="0049627F" w:rsidRPr="00B17D70">
        <w:rPr>
          <w:rFonts w:ascii="Arial" w:eastAsia="Calibri" w:hAnsi="Arial" w:cs="Arial"/>
          <w:sz w:val="26"/>
          <w:szCs w:val="26"/>
        </w:rPr>
        <w:t>on fundamento en los artículos 207 y 208 de la Ley de Justicia Administrativa para el Estado,</w:t>
      </w:r>
      <w:r w:rsidR="00502AA8">
        <w:rPr>
          <w:rFonts w:ascii="Arial" w:eastAsia="Calibri" w:hAnsi="Arial" w:cs="Arial"/>
          <w:sz w:val="26"/>
          <w:szCs w:val="26"/>
        </w:rPr>
        <w:t xml:space="preserve"> vigente hasta el veinte de octubre de dos mil diecisiete,</w:t>
      </w:r>
      <w:r w:rsidR="0049627F" w:rsidRPr="00B17D70">
        <w:rPr>
          <w:rFonts w:ascii="Arial" w:eastAsia="Calibri" w:hAnsi="Arial" w:cs="Arial"/>
          <w:sz w:val="26"/>
          <w:szCs w:val="26"/>
        </w:rPr>
        <w:t xml:space="preserve"> se:</w:t>
      </w:r>
    </w:p>
    <w:p w14:paraId="3C361FFE" w14:textId="77777777" w:rsidR="00930102" w:rsidRPr="00B17D70" w:rsidRDefault="00930102" w:rsidP="00930102">
      <w:pPr>
        <w:tabs>
          <w:tab w:val="left" w:pos="1134"/>
        </w:tabs>
        <w:spacing w:before="240" w:line="360" w:lineRule="auto"/>
        <w:jc w:val="center"/>
        <w:rPr>
          <w:rFonts w:ascii="Arial" w:eastAsia="Calibri" w:hAnsi="Arial" w:cs="Arial"/>
          <w:b/>
          <w:sz w:val="26"/>
          <w:szCs w:val="26"/>
        </w:rPr>
      </w:pPr>
      <w:r w:rsidRPr="00B17D70">
        <w:rPr>
          <w:rFonts w:ascii="Arial" w:eastAsia="Calibri" w:hAnsi="Arial" w:cs="Arial"/>
          <w:b/>
          <w:sz w:val="26"/>
          <w:szCs w:val="26"/>
        </w:rPr>
        <w:t>R E S U E L V E</w:t>
      </w:r>
    </w:p>
    <w:p w14:paraId="037624A6" w14:textId="196C100C" w:rsidR="00930102" w:rsidRPr="00B17D70" w:rsidRDefault="00930102" w:rsidP="00930102">
      <w:pPr>
        <w:spacing w:before="240" w:line="360" w:lineRule="auto"/>
        <w:ind w:firstLine="708"/>
        <w:jc w:val="both"/>
        <w:rPr>
          <w:rFonts w:ascii="Arial" w:eastAsia="Calibri" w:hAnsi="Arial" w:cs="Arial"/>
          <w:sz w:val="26"/>
          <w:szCs w:val="26"/>
        </w:rPr>
      </w:pPr>
      <w:r w:rsidRPr="00B17D70">
        <w:rPr>
          <w:rFonts w:ascii="Arial" w:eastAsia="Calibri" w:hAnsi="Arial" w:cs="Arial"/>
          <w:b/>
          <w:sz w:val="26"/>
          <w:szCs w:val="26"/>
        </w:rPr>
        <w:t>PRIMERO</w:t>
      </w:r>
      <w:r w:rsidRPr="00B17D70">
        <w:rPr>
          <w:rFonts w:ascii="Arial" w:eastAsia="Calibri" w:hAnsi="Arial" w:cs="Arial"/>
          <w:sz w:val="26"/>
          <w:szCs w:val="26"/>
        </w:rPr>
        <w:t>. Se</w:t>
      </w:r>
      <w:r w:rsidR="001E1D05" w:rsidRPr="00B17D70">
        <w:rPr>
          <w:rFonts w:ascii="Arial" w:eastAsia="Calibri" w:hAnsi="Arial" w:cs="Arial"/>
          <w:sz w:val="26"/>
          <w:szCs w:val="26"/>
        </w:rPr>
        <w:t xml:space="preserve"> </w:t>
      </w:r>
      <w:r w:rsidR="00987E4B" w:rsidRPr="00B17D70">
        <w:rPr>
          <w:rFonts w:ascii="Arial" w:eastAsia="Calibri" w:hAnsi="Arial" w:cs="Arial"/>
          <w:b/>
          <w:sz w:val="26"/>
          <w:szCs w:val="26"/>
        </w:rPr>
        <w:t>CONFIRMA</w:t>
      </w:r>
      <w:r w:rsidR="001346F2" w:rsidRPr="00B17D70">
        <w:rPr>
          <w:rFonts w:ascii="Arial" w:eastAsia="Calibri" w:hAnsi="Arial" w:cs="Arial"/>
          <w:b/>
          <w:sz w:val="26"/>
          <w:szCs w:val="26"/>
        </w:rPr>
        <w:t xml:space="preserve"> </w:t>
      </w:r>
      <w:r w:rsidR="001346F2" w:rsidRPr="00B17D70">
        <w:rPr>
          <w:rFonts w:ascii="Arial" w:eastAsia="Calibri" w:hAnsi="Arial" w:cs="Arial"/>
          <w:sz w:val="26"/>
          <w:szCs w:val="26"/>
        </w:rPr>
        <w:t xml:space="preserve">la sentencia de </w:t>
      </w:r>
      <w:r w:rsidR="00987E4B" w:rsidRPr="00B17D70">
        <w:rPr>
          <w:rFonts w:ascii="Arial" w:eastAsia="Calibri" w:hAnsi="Arial" w:cs="Arial"/>
          <w:sz w:val="26"/>
          <w:szCs w:val="26"/>
        </w:rPr>
        <w:t xml:space="preserve">diez de julio </w:t>
      </w:r>
      <w:r w:rsidR="001346F2" w:rsidRPr="00B17D70">
        <w:rPr>
          <w:rFonts w:ascii="Arial" w:eastAsia="Calibri" w:hAnsi="Arial" w:cs="Arial"/>
          <w:sz w:val="26"/>
          <w:szCs w:val="26"/>
        </w:rPr>
        <w:t>de dos mil diecisiete</w:t>
      </w:r>
      <w:r w:rsidRPr="00B17D70">
        <w:rPr>
          <w:rFonts w:ascii="Arial" w:eastAsia="Calibri" w:hAnsi="Arial" w:cs="Arial"/>
          <w:sz w:val="26"/>
          <w:szCs w:val="26"/>
        </w:rPr>
        <w:t xml:space="preserve">, </w:t>
      </w:r>
      <w:r w:rsidRPr="00B17D70">
        <w:rPr>
          <w:rFonts w:ascii="Arial" w:eastAsia="Calibri" w:hAnsi="Arial" w:cs="Arial"/>
          <w:sz w:val="26"/>
          <w:szCs w:val="26"/>
          <w:lang w:eastAsia="es-ES"/>
        </w:rPr>
        <w:t>por las razones expuestas en el considerando que antecede</w:t>
      </w:r>
      <w:r w:rsidRPr="00B17D70">
        <w:rPr>
          <w:rFonts w:ascii="Arial" w:eastAsia="Calibri" w:hAnsi="Arial" w:cs="Arial"/>
          <w:sz w:val="26"/>
          <w:szCs w:val="26"/>
        </w:rPr>
        <w:t xml:space="preserve">. </w:t>
      </w:r>
    </w:p>
    <w:p w14:paraId="7C47D772" w14:textId="221AC167" w:rsidR="00B17D70" w:rsidRDefault="00691BFA" w:rsidP="00691BFA">
      <w:pPr>
        <w:spacing w:before="240" w:line="360" w:lineRule="auto"/>
        <w:ind w:firstLine="708"/>
        <w:jc w:val="both"/>
        <w:rPr>
          <w:rFonts w:ascii="Arial" w:eastAsia="Calibri" w:hAnsi="Arial" w:cs="Arial"/>
          <w:sz w:val="26"/>
          <w:szCs w:val="26"/>
        </w:rPr>
      </w:pPr>
      <w:r w:rsidRPr="00B17D70">
        <w:rPr>
          <w:rFonts w:ascii="Arial" w:hAnsi="Arial" w:cs="Arial"/>
          <w:b/>
          <w:sz w:val="26"/>
          <w:szCs w:val="26"/>
        </w:rPr>
        <w:t>SEGUNDO.</w:t>
      </w:r>
      <w:r w:rsidR="00247748" w:rsidRPr="00B17D70">
        <w:rPr>
          <w:rFonts w:ascii="Arial" w:hAnsi="Arial" w:cs="Arial"/>
          <w:b/>
          <w:sz w:val="26"/>
          <w:szCs w:val="26"/>
        </w:rPr>
        <w:t xml:space="preserve"> </w:t>
      </w:r>
      <w:r w:rsidR="00B17D70">
        <w:rPr>
          <w:rFonts w:ascii="Arial" w:hAnsi="Arial" w:cs="Arial"/>
          <w:b/>
          <w:sz w:val="26"/>
          <w:szCs w:val="26"/>
        </w:rPr>
        <w:t>NOTIFÍQUESE Y CÚ</w:t>
      </w:r>
      <w:r w:rsidRPr="00B17D70">
        <w:rPr>
          <w:rFonts w:ascii="Arial" w:hAnsi="Arial" w:cs="Arial"/>
          <w:b/>
          <w:sz w:val="26"/>
          <w:szCs w:val="26"/>
        </w:rPr>
        <w:t>MPLASE,</w:t>
      </w:r>
      <w:r w:rsidRPr="00B17D70">
        <w:rPr>
          <w:rFonts w:ascii="Arial" w:hAnsi="Arial" w:cs="Arial"/>
          <w:sz w:val="26"/>
          <w:szCs w:val="26"/>
        </w:rPr>
        <w:t xml:space="preserve"> con copia certificada de la presente resolución, vuelvan las constancias remitidas a la </w:t>
      </w:r>
      <w:r w:rsidR="009578DB" w:rsidRPr="00B17D70">
        <w:rPr>
          <w:rFonts w:ascii="Arial" w:hAnsi="Arial" w:cs="Arial"/>
          <w:sz w:val="26"/>
          <w:szCs w:val="26"/>
        </w:rPr>
        <w:br/>
      </w:r>
      <w:r w:rsidR="00987E4B" w:rsidRPr="00B17D70">
        <w:rPr>
          <w:rFonts w:ascii="Arial" w:hAnsi="Arial" w:cs="Arial"/>
          <w:sz w:val="26"/>
          <w:szCs w:val="26"/>
        </w:rPr>
        <w:t xml:space="preserve">Sexta </w:t>
      </w:r>
      <w:r w:rsidRPr="00B17D70">
        <w:rPr>
          <w:rFonts w:ascii="Arial" w:hAnsi="Arial" w:cs="Arial"/>
          <w:sz w:val="26"/>
          <w:szCs w:val="26"/>
        </w:rPr>
        <w:t xml:space="preserve">Sala Unitaria de Primera Instancia, </w:t>
      </w:r>
      <w:r w:rsidRPr="00B17D70">
        <w:rPr>
          <w:rFonts w:ascii="Arial" w:eastAsia="Calibri" w:hAnsi="Arial" w:cs="Arial"/>
          <w:sz w:val="26"/>
          <w:szCs w:val="26"/>
        </w:rPr>
        <w:t>y en su oportunidad archívese el cuade</w:t>
      </w:r>
      <w:r w:rsidR="00B17D70">
        <w:rPr>
          <w:rFonts w:ascii="Arial" w:eastAsia="Calibri" w:hAnsi="Arial" w:cs="Arial"/>
          <w:sz w:val="26"/>
          <w:szCs w:val="26"/>
        </w:rPr>
        <w:t>rno de revisión como concluido.</w:t>
      </w:r>
    </w:p>
    <w:p w14:paraId="2AD63685" w14:textId="77777777" w:rsidR="00FA2351" w:rsidRDefault="00FA2351" w:rsidP="00FA2351">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76F64C74" w14:textId="77777777" w:rsidR="00FA2351" w:rsidRDefault="00FA2351" w:rsidP="00FA2351">
      <w:pPr>
        <w:jc w:val="both"/>
        <w:rPr>
          <w:rFonts w:ascii="Arial" w:hAnsi="Arial" w:cs="Arial"/>
          <w:sz w:val="26"/>
          <w:szCs w:val="26"/>
        </w:rPr>
      </w:pPr>
    </w:p>
    <w:p w14:paraId="61DFEA8F" w14:textId="77777777" w:rsidR="00FA2351" w:rsidRDefault="00FA2351" w:rsidP="00FA2351">
      <w:pPr>
        <w:jc w:val="both"/>
        <w:rPr>
          <w:rFonts w:ascii="Arial" w:hAnsi="Arial" w:cs="Arial"/>
          <w:sz w:val="26"/>
          <w:szCs w:val="26"/>
        </w:rPr>
      </w:pPr>
    </w:p>
    <w:p w14:paraId="61B06603" w14:textId="77777777" w:rsidR="00502AA8" w:rsidRDefault="00502AA8" w:rsidP="00FA2351">
      <w:pPr>
        <w:jc w:val="both"/>
        <w:rPr>
          <w:rFonts w:ascii="Arial" w:hAnsi="Arial" w:cs="Arial"/>
          <w:sz w:val="26"/>
          <w:szCs w:val="26"/>
        </w:rPr>
      </w:pPr>
    </w:p>
    <w:p w14:paraId="663669DB" w14:textId="77777777" w:rsidR="00FA2351" w:rsidRDefault="00FA2351" w:rsidP="00FA2351">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14:paraId="5087E4B4" w14:textId="77777777" w:rsidR="00FA2351" w:rsidRDefault="00FA2351" w:rsidP="00FA2351">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085DA7AF" w14:textId="77777777" w:rsidR="00FA2351" w:rsidRDefault="00FA2351" w:rsidP="00FA2351">
      <w:pPr>
        <w:spacing w:line="360" w:lineRule="auto"/>
        <w:rPr>
          <w:rFonts w:ascii="Arial" w:eastAsia="Calibri" w:hAnsi="Arial" w:cs="Arial"/>
          <w:sz w:val="26"/>
          <w:szCs w:val="26"/>
        </w:rPr>
      </w:pPr>
    </w:p>
    <w:p w14:paraId="0BF69355" w14:textId="77777777" w:rsidR="00FA2351" w:rsidRDefault="00FA2351" w:rsidP="00FA2351">
      <w:pPr>
        <w:spacing w:line="360" w:lineRule="auto"/>
        <w:rPr>
          <w:rFonts w:ascii="Arial" w:eastAsia="Calibri" w:hAnsi="Arial" w:cs="Arial"/>
          <w:sz w:val="26"/>
          <w:szCs w:val="26"/>
        </w:rPr>
      </w:pPr>
    </w:p>
    <w:p w14:paraId="0D7EE48C" w14:textId="05F2F45A" w:rsidR="00FA2351" w:rsidRDefault="000F6A45" w:rsidP="00FA2351">
      <w:pPr>
        <w:spacing w:line="360" w:lineRule="auto"/>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39F1F46F" wp14:editId="6EBA6153">
                <wp:simplePos x="0" y="0"/>
                <wp:positionH relativeFrom="column">
                  <wp:posOffset>5598544</wp:posOffset>
                </wp:positionH>
                <wp:positionV relativeFrom="paragraph">
                  <wp:posOffset>238952</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23B1C7F" w14:textId="77777777" w:rsidR="000F6A45" w:rsidRDefault="000F6A45" w:rsidP="000F6A4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F46F" id="Cuadro de texto 5" o:spid="_x0000_s1029" type="#_x0000_t202" style="position:absolute;margin-left:440.85pt;margin-top:18.8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">
                <v:textbox>
                  <w:txbxContent>
                    <w:p w14:paraId="123B1C7F" w14:textId="77777777" w:rsidR="000F6A45" w:rsidRDefault="000F6A45" w:rsidP="000F6A4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412F74F1" w14:textId="2B520E15" w:rsidR="00502AA8" w:rsidRDefault="00FA2351" w:rsidP="00502AA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020B6D4D" w14:textId="77777777" w:rsidR="00502AA8" w:rsidRDefault="00502AA8" w:rsidP="00502AA8">
      <w:pPr>
        <w:spacing w:line="360" w:lineRule="auto"/>
        <w:jc w:val="center"/>
        <w:rPr>
          <w:rFonts w:ascii="Arial" w:eastAsia="Calibri" w:hAnsi="Arial" w:cs="Arial"/>
          <w:sz w:val="26"/>
          <w:szCs w:val="26"/>
        </w:rPr>
      </w:pPr>
    </w:p>
    <w:p w14:paraId="0B6CC42B" w14:textId="77777777" w:rsidR="00502AA8" w:rsidRDefault="00502AA8" w:rsidP="00502AA8">
      <w:pPr>
        <w:spacing w:line="360" w:lineRule="auto"/>
        <w:jc w:val="center"/>
        <w:rPr>
          <w:rFonts w:ascii="Arial" w:eastAsia="Calibri" w:hAnsi="Arial" w:cs="Arial"/>
          <w:sz w:val="26"/>
          <w:szCs w:val="26"/>
        </w:rPr>
      </w:pPr>
    </w:p>
    <w:p w14:paraId="5CFBCDEF" w14:textId="54A611F3" w:rsidR="00FA2351" w:rsidRPr="00502AA8" w:rsidRDefault="00502AA8" w:rsidP="00502AA8">
      <w:pPr>
        <w:spacing w:line="360" w:lineRule="auto"/>
        <w:jc w:val="center"/>
        <w:rPr>
          <w:rFonts w:ascii="Arial" w:eastAsia="Calibri" w:hAnsi="Arial" w:cs="Arial"/>
          <w:sz w:val="26"/>
          <w:szCs w:val="26"/>
        </w:rPr>
      </w:pPr>
      <w:r w:rsidRPr="00502AA8">
        <w:rPr>
          <w:rFonts w:ascii="Arial" w:eastAsia="Calibri" w:hAnsi="Arial" w:cs="Arial"/>
          <w:b/>
          <w:sz w:val="16"/>
          <w:szCs w:val="26"/>
        </w:rPr>
        <w:t xml:space="preserve">LAS PRESENTES FIRMAS CORRESPONDEN AL RECURSO DE REVISIÓN 601/2017 </w:t>
      </w:r>
    </w:p>
    <w:p w14:paraId="7448A988" w14:textId="77777777" w:rsidR="00502AA8" w:rsidRDefault="00502AA8" w:rsidP="00FA2351">
      <w:pPr>
        <w:spacing w:line="360" w:lineRule="auto"/>
        <w:rPr>
          <w:rFonts w:ascii="Arial" w:eastAsia="Calibri" w:hAnsi="Arial" w:cs="Arial"/>
          <w:sz w:val="26"/>
          <w:szCs w:val="26"/>
        </w:rPr>
      </w:pPr>
    </w:p>
    <w:p w14:paraId="711D9BA1" w14:textId="77777777" w:rsidR="00502AA8" w:rsidRDefault="00502AA8" w:rsidP="00FA2351">
      <w:pPr>
        <w:spacing w:line="360" w:lineRule="auto"/>
        <w:rPr>
          <w:rFonts w:ascii="Arial" w:eastAsia="Calibri" w:hAnsi="Arial" w:cs="Arial"/>
          <w:sz w:val="26"/>
          <w:szCs w:val="26"/>
        </w:rPr>
      </w:pPr>
    </w:p>
    <w:p w14:paraId="17E8626E" w14:textId="77777777" w:rsidR="00502AA8" w:rsidRDefault="00502AA8" w:rsidP="00FA2351">
      <w:pPr>
        <w:spacing w:line="360" w:lineRule="auto"/>
        <w:rPr>
          <w:rFonts w:ascii="Arial" w:eastAsia="Calibri" w:hAnsi="Arial" w:cs="Arial"/>
          <w:sz w:val="26"/>
          <w:szCs w:val="26"/>
        </w:rPr>
      </w:pPr>
    </w:p>
    <w:p w14:paraId="431827C9" w14:textId="77777777" w:rsidR="00FA2351" w:rsidRDefault="00FA2351" w:rsidP="00FA2351">
      <w:pPr>
        <w:spacing w:line="360" w:lineRule="auto"/>
        <w:jc w:val="center"/>
        <w:rPr>
          <w:rFonts w:ascii="Arial" w:eastAsia="Calibri" w:hAnsi="Arial" w:cs="Arial"/>
          <w:sz w:val="26"/>
          <w:szCs w:val="26"/>
        </w:rPr>
      </w:pPr>
      <w:r>
        <w:rPr>
          <w:rFonts w:ascii="Arial" w:eastAsia="Calibri" w:hAnsi="Arial" w:cs="Arial"/>
          <w:sz w:val="26"/>
          <w:szCs w:val="26"/>
        </w:rPr>
        <w:lastRenderedPageBreak/>
        <w:t xml:space="preserve">MAGISTRADO ADRIÁN QUIROGA AVENDAÑO </w:t>
      </w:r>
    </w:p>
    <w:p w14:paraId="10BB1B52" w14:textId="77777777" w:rsidR="00FA2351" w:rsidRDefault="00FA2351" w:rsidP="00FA2351">
      <w:pPr>
        <w:spacing w:line="360" w:lineRule="auto"/>
        <w:jc w:val="center"/>
        <w:rPr>
          <w:rFonts w:ascii="Arial" w:eastAsia="Calibri" w:hAnsi="Arial" w:cs="Arial"/>
          <w:sz w:val="26"/>
          <w:szCs w:val="26"/>
        </w:rPr>
      </w:pPr>
    </w:p>
    <w:p w14:paraId="7513CF55" w14:textId="77777777" w:rsidR="00FA2351" w:rsidRDefault="00FA2351" w:rsidP="00FA2351">
      <w:pPr>
        <w:spacing w:line="360" w:lineRule="auto"/>
        <w:jc w:val="center"/>
        <w:rPr>
          <w:rFonts w:ascii="Arial" w:eastAsia="Calibri" w:hAnsi="Arial" w:cs="Arial"/>
          <w:sz w:val="26"/>
          <w:szCs w:val="26"/>
        </w:rPr>
      </w:pPr>
    </w:p>
    <w:p w14:paraId="1405F913" w14:textId="77777777" w:rsidR="00FA2351" w:rsidRDefault="00FA2351" w:rsidP="00FA2351">
      <w:pPr>
        <w:spacing w:line="360" w:lineRule="auto"/>
        <w:rPr>
          <w:rFonts w:ascii="Arial" w:eastAsia="Calibri" w:hAnsi="Arial" w:cs="Arial"/>
          <w:sz w:val="26"/>
          <w:szCs w:val="26"/>
        </w:rPr>
      </w:pPr>
    </w:p>
    <w:p w14:paraId="66AE6B01" w14:textId="77777777" w:rsidR="00502AA8" w:rsidRDefault="00502AA8" w:rsidP="00FA2351">
      <w:pPr>
        <w:spacing w:line="360" w:lineRule="auto"/>
        <w:rPr>
          <w:rFonts w:ascii="Arial" w:eastAsia="Calibri" w:hAnsi="Arial" w:cs="Arial"/>
          <w:sz w:val="26"/>
          <w:szCs w:val="26"/>
        </w:rPr>
      </w:pPr>
    </w:p>
    <w:p w14:paraId="443117DB" w14:textId="77777777" w:rsidR="00FA2351" w:rsidRDefault="00FA2351" w:rsidP="00FA235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2A6D111D" w14:textId="77777777" w:rsidR="00FA2351" w:rsidRDefault="00FA2351" w:rsidP="00FA2351">
      <w:pPr>
        <w:spacing w:line="360" w:lineRule="auto"/>
        <w:jc w:val="center"/>
        <w:rPr>
          <w:rFonts w:ascii="Arial" w:eastAsia="Calibri" w:hAnsi="Arial" w:cs="Arial"/>
          <w:sz w:val="26"/>
          <w:szCs w:val="26"/>
        </w:rPr>
      </w:pPr>
    </w:p>
    <w:p w14:paraId="3536563C" w14:textId="77777777" w:rsidR="00FA2351" w:rsidRDefault="00FA2351" w:rsidP="00FA2351">
      <w:pPr>
        <w:spacing w:line="360" w:lineRule="auto"/>
        <w:jc w:val="center"/>
        <w:rPr>
          <w:rFonts w:ascii="Arial" w:eastAsia="Calibri" w:hAnsi="Arial" w:cs="Arial"/>
          <w:sz w:val="26"/>
          <w:szCs w:val="26"/>
        </w:rPr>
      </w:pPr>
    </w:p>
    <w:p w14:paraId="00970754" w14:textId="77777777" w:rsidR="00FA2351" w:rsidRDefault="00FA2351" w:rsidP="00FA2351">
      <w:pPr>
        <w:spacing w:line="360" w:lineRule="auto"/>
        <w:jc w:val="center"/>
        <w:rPr>
          <w:rFonts w:ascii="Arial" w:eastAsia="Calibri" w:hAnsi="Arial" w:cs="Arial"/>
          <w:sz w:val="26"/>
          <w:szCs w:val="26"/>
        </w:rPr>
      </w:pPr>
    </w:p>
    <w:p w14:paraId="3D00D897" w14:textId="77777777" w:rsidR="00FA2351" w:rsidRDefault="00FA2351" w:rsidP="00FA2351">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6481DFBD" w14:textId="77777777" w:rsidR="00FA2351" w:rsidRPr="005E469D" w:rsidRDefault="00FA2351" w:rsidP="00FA2351">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14:paraId="65713484" w14:textId="77777777" w:rsidR="00FA2351" w:rsidRPr="006C7EC5" w:rsidRDefault="00FA2351" w:rsidP="00FA2351">
      <w:pPr>
        <w:spacing w:before="240" w:line="360" w:lineRule="auto"/>
        <w:ind w:firstLine="708"/>
        <w:jc w:val="both"/>
        <w:rPr>
          <w:rFonts w:ascii="Arial" w:hAnsi="Arial" w:cs="Arial"/>
          <w:sz w:val="26"/>
          <w:szCs w:val="26"/>
        </w:rPr>
      </w:pPr>
    </w:p>
    <w:p w14:paraId="42F8AA82" w14:textId="77777777" w:rsidR="00FA2351" w:rsidRPr="00782842" w:rsidRDefault="00FA2351" w:rsidP="00FA2351">
      <w:pPr>
        <w:spacing w:before="240" w:line="360" w:lineRule="auto"/>
        <w:ind w:left="142" w:firstLine="708"/>
        <w:jc w:val="both"/>
        <w:rPr>
          <w:rFonts w:ascii="Arial" w:eastAsia="Calibri" w:hAnsi="Arial" w:cs="Arial"/>
          <w:sz w:val="24"/>
          <w:szCs w:val="24"/>
        </w:rPr>
      </w:pPr>
    </w:p>
    <w:p w14:paraId="3F177ED5" w14:textId="77777777" w:rsidR="00691BFA" w:rsidRPr="00782842" w:rsidRDefault="00691BFA" w:rsidP="00FA2351">
      <w:pPr>
        <w:spacing w:before="240" w:line="360" w:lineRule="auto"/>
        <w:ind w:left="142" w:firstLine="708"/>
        <w:jc w:val="both"/>
        <w:rPr>
          <w:rFonts w:ascii="Arial" w:eastAsia="Calibri" w:hAnsi="Arial" w:cs="Arial"/>
          <w:sz w:val="24"/>
          <w:szCs w:val="24"/>
        </w:rPr>
      </w:pPr>
    </w:p>
    <w:sectPr w:rsidR="00691BFA" w:rsidRPr="00782842" w:rsidSect="00B17D70">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7356" w14:textId="77777777" w:rsidR="00C52CCC" w:rsidRDefault="00C52CCC">
      <w:pPr>
        <w:spacing w:after="0" w:line="240" w:lineRule="auto"/>
      </w:pPr>
      <w:r>
        <w:separator/>
      </w:r>
    </w:p>
  </w:endnote>
  <w:endnote w:type="continuationSeparator" w:id="0">
    <w:p w14:paraId="60522E9B" w14:textId="77777777" w:rsidR="00C52CCC" w:rsidRDefault="00C5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84DE" w14:textId="4DB206BF" w:rsidR="000F6A45" w:rsidRDefault="000F6A45">
    <w:pPr>
      <w:pStyle w:val="Piedepgina"/>
    </w:pPr>
    <w:r>
      <w:rPr>
        <w:noProof/>
        <w:lang w:val="es-MX" w:eastAsia="es-MX"/>
      </w:rPr>
      <mc:AlternateContent>
        <mc:Choice Requires="wps">
          <w:drawing>
            <wp:anchor distT="0" distB="0" distL="114300" distR="114300" simplePos="0" relativeHeight="251654656" behindDoc="0" locked="0" layoutInCell="1" allowOverlap="1" wp14:anchorId="2BD16FDA" wp14:editId="6EE03760">
              <wp:simplePos x="0" y="0"/>
              <wp:positionH relativeFrom="column">
                <wp:posOffset>-1690610</wp:posOffset>
              </wp:positionH>
              <wp:positionV relativeFrom="paragraph">
                <wp:posOffset>-2146479</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CBCC4B5" w14:textId="77777777" w:rsidR="000F6A45" w:rsidRDefault="000F6A45" w:rsidP="000F6A4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16FDA" id="_x0000_t202" coordsize="21600,21600" o:spt="202" path="m,l,21600r21600,l21600,xe">
              <v:stroke joinstyle="miter"/>
              <v:path gradientshapeok="t" o:connecttype="rect"/>
            </v:shapetype>
            <v:shape id="Cuadro de texto 4" o:spid="_x0000_s1030" type="#_x0000_t202" style="position:absolute;margin-left:-133.1pt;margin-top:-169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">
              <v:textbox>
                <w:txbxContent>
                  <w:p w14:paraId="1CBCC4B5" w14:textId="77777777" w:rsidR="000F6A45" w:rsidRDefault="000F6A45" w:rsidP="000F6A4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043E" w14:textId="77777777" w:rsidR="00C52CCC" w:rsidRDefault="00C52CCC">
      <w:pPr>
        <w:spacing w:after="0" w:line="240" w:lineRule="auto"/>
      </w:pPr>
      <w:r>
        <w:separator/>
      </w:r>
    </w:p>
  </w:footnote>
  <w:footnote w:type="continuationSeparator" w:id="0">
    <w:p w14:paraId="40D78146" w14:textId="77777777" w:rsidR="00C52CCC" w:rsidRDefault="00C5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0D58A1E8" w:rsidR="00E42971" w:rsidRDefault="00E42971" w:rsidP="00D2291D">
        <w:pPr>
          <w:pStyle w:val="Encabezado"/>
          <w:jc w:val="center"/>
          <w:rPr>
            <w:noProof/>
          </w:rPr>
        </w:pPr>
        <w:r>
          <w:fldChar w:fldCharType="begin"/>
        </w:r>
        <w:r>
          <w:instrText xml:space="preserve"> PAGE   \* MERGEFORMAT </w:instrText>
        </w:r>
        <w:r>
          <w:fldChar w:fldCharType="separate"/>
        </w:r>
        <w:r w:rsidR="000F6A45">
          <w:rPr>
            <w:noProof/>
          </w:rPr>
          <w:t>9</w:t>
        </w:r>
        <w:r>
          <w:rPr>
            <w:noProof/>
          </w:rPr>
          <w:fldChar w:fldCharType="end"/>
        </w:r>
      </w:p>
      <w:p w14:paraId="015197EB" w14:textId="5EE2AC7F" w:rsidR="00E42971" w:rsidRDefault="000F6A45" w:rsidP="00D2291D">
        <w:pPr>
          <w:pStyle w:val="Encabezado"/>
          <w:jc w:val="center"/>
        </w:pPr>
      </w:p>
    </w:sdtContent>
  </w:sdt>
  <w:p w14:paraId="323DD476" w14:textId="125E7B6F"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9">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3"/>
  </w:num>
  <w:num w:numId="3">
    <w:abstractNumId w:val="10"/>
  </w:num>
  <w:num w:numId="4">
    <w:abstractNumId w:val="8"/>
  </w:num>
  <w:num w:numId="5">
    <w:abstractNumId w:val="2"/>
  </w:num>
  <w:num w:numId="6">
    <w:abstractNumId w:val="11"/>
  </w:num>
  <w:num w:numId="7">
    <w:abstractNumId w:val="0"/>
  </w:num>
  <w:num w:numId="8">
    <w:abstractNumId w:val="9"/>
  </w:num>
  <w:num w:numId="9">
    <w:abstractNumId w:val="6"/>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2043"/>
    <w:rsid w:val="0005133C"/>
    <w:rsid w:val="00055136"/>
    <w:rsid w:val="0006676C"/>
    <w:rsid w:val="0007032E"/>
    <w:rsid w:val="000A3C35"/>
    <w:rsid w:val="000B0E36"/>
    <w:rsid w:val="000B3E39"/>
    <w:rsid w:val="000C16C8"/>
    <w:rsid w:val="000E3723"/>
    <w:rsid w:val="000E4F90"/>
    <w:rsid w:val="000F3866"/>
    <w:rsid w:val="000F6A45"/>
    <w:rsid w:val="0010116F"/>
    <w:rsid w:val="0012652F"/>
    <w:rsid w:val="00132D70"/>
    <w:rsid w:val="001346F2"/>
    <w:rsid w:val="00147F10"/>
    <w:rsid w:val="00163736"/>
    <w:rsid w:val="00164900"/>
    <w:rsid w:val="00186E02"/>
    <w:rsid w:val="00194DAA"/>
    <w:rsid w:val="001B49BA"/>
    <w:rsid w:val="001B4BF9"/>
    <w:rsid w:val="001C362A"/>
    <w:rsid w:val="001C49AF"/>
    <w:rsid w:val="001E1D05"/>
    <w:rsid w:val="001E5ED9"/>
    <w:rsid w:val="001F5246"/>
    <w:rsid w:val="002226C7"/>
    <w:rsid w:val="00240FFF"/>
    <w:rsid w:val="00243890"/>
    <w:rsid w:val="002451B0"/>
    <w:rsid w:val="002452C9"/>
    <w:rsid w:val="00247748"/>
    <w:rsid w:val="00263F98"/>
    <w:rsid w:val="0026442C"/>
    <w:rsid w:val="00270FA6"/>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747B"/>
    <w:rsid w:val="00320CE1"/>
    <w:rsid w:val="00341602"/>
    <w:rsid w:val="00353473"/>
    <w:rsid w:val="003C3698"/>
    <w:rsid w:val="003C4C76"/>
    <w:rsid w:val="003D7D73"/>
    <w:rsid w:val="003E3369"/>
    <w:rsid w:val="003F21BE"/>
    <w:rsid w:val="003F4DA0"/>
    <w:rsid w:val="00405AF3"/>
    <w:rsid w:val="00405E65"/>
    <w:rsid w:val="00436E56"/>
    <w:rsid w:val="00437131"/>
    <w:rsid w:val="00442F80"/>
    <w:rsid w:val="004447C8"/>
    <w:rsid w:val="004505CE"/>
    <w:rsid w:val="00452E9D"/>
    <w:rsid w:val="00453503"/>
    <w:rsid w:val="004816C1"/>
    <w:rsid w:val="00492852"/>
    <w:rsid w:val="0049627F"/>
    <w:rsid w:val="004A0D4D"/>
    <w:rsid w:val="004A5D49"/>
    <w:rsid w:val="004C4BEF"/>
    <w:rsid w:val="00500A28"/>
    <w:rsid w:val="00502A34"/>
    <w:rsid w:val="00502AA8"/>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60140C"/>
    <w:rsid w:val="00603935"/>
    <w:rsid w:val="00614FAE"/>
    <w:rsid w:val="00620F0A"/>
    <w:rsid w:val="00622DDE"/>
    <w:rsid w:val="00625196"/>
    <w:rsid w:val="00634147"/>
    <w:rsid w:val="00636D8D"/>
    <w:rsid w:val="0064024F"/>
    <w:rsid w:val="00655CCC"/>
    <w:rsid w:val="00656F1D"/>
    <w:rsid w:val="00657201"/>
    <w:rsid w:val="0066256D"/>
    <w:rsid w:val="00684E14"/>
    <w:rsid w:val="00685403"/>
    <w:rsid w:val="00691BFA"/>
    <w:rsid w:val="006C2BDB"/>
    <w:rsid w:val="006C530F"/>
    <w:rsid w:val="006C7FC4"/>
    <w:rsid w:val="006F0298"/>
    <w:rsid w:val="006F271C"/>
    <w:rsid w:val="00704BEF"/>
    <w:rsid w:val="007072C4"/>
    <w:rsid w:val="0071510F"/>
    <w:rsid w:val="0072015D"/>
    <w:rsid w:val="00720A67"/>
    <w:rsid w:val="0072208F"/>
    <w:rsid w:val="007317E2"/>
    <w:rsid w:val="00746018"/>
    <w:rsid w:val="007557B3"/>
    <w:rsid w:val="00760D05"/>
    <w:rsid w:val="007747E8"/>
    <w:rsid w:val="00775F1D"/>
    <w:rsid w:val="00782842"/>
    <w:rsid w:val="00797735"/>
    <w:rsid w:val="00797F51"/>
    <w:rsid w:val="007A00B6"/>
    <w:rsid w:val="007A48EF"/>
    <w:rsid w:val="007B1F9C"/>
    <w:rsid w:val="007C5DEF"/>
    <w:rsid w:val="007D295E"/>
    <w:rsid w:val="007D7E00"/>
    <w:rsid w:val="007E33B1"/>
    <w:rsid w:val="007E675E"/>
    <w:rsid w:val="007F2469"/>
    <w:rsid w:val="007F2E08"/>
    <w:rsid w:val="00800765"/>
    <w:rsid w:val="008020DD"/>
    <w:rsid w:val="00806D7E"/>
    <w:rsid w:val="0080735F"/>
    <w:rsid w:val="008132C5"/>
    <w:rsid w:val="0082574A"/>
    <w:rsid w:val="00825AD0"/>
    <w:rsid w:val="008445B8"/>
    <w:rsid w:val="00851821"/>
    <w:rsid w:val="00852024"/>
    <w:rsid w:val="00861F9D"/>
    <w:rsid w:val="00865C90"/>
    <w:rsid w:val="008874EC"/>
    <w:rsid w:val="00894A24"/>
    <w:rsid w:val="008B14E8"/>
    <w:rsid w:val="008B5197"/>
    <w:rsid w:val="008C0DD3"/>
    <w:rsid w:val="008C4258"/>
    <w:rsid w:val="008D6D00"/>
    <w:rsid w:val="008E7491"/>
    <w:rsid w:val="008F4C05"/>
    <w:rsid w:val="008F6DE1"/>
    <w:rsid w:val="0090160E"/>
    <w:rsid w:val="00930102"/>
    <w:rsid w:val="00935483"/>
    <w:rsid w:val="0094076A"/>
    <w:rsid w:val="009474F4"/>
    <w:rsid w:val="00950C0F"/>
    <w:rsid w:val="009578DB"/>
    <w:rsid w:val="00960AEA"/>
    <w:rsid w:val="009626AC"/>
    <w:rsid w:val="00970EDB"/>
    <w:rsid w:val="009715C0"/>
    <w:rsid w:val="00987E4B"/>
    <w:rsid w:val="00991F13"/>
    <w:rsid w:val="009A4275"/>
    <w:rsid w:val="009C47A0"/>
    <w:rsid w:val="009D310D"/>
    <w:rsid w:val="009E0382"/>
    <w:rsid w:val="009E43BE"/>
    <w:rsid w:val="009E4460"/>
    <w:rsid w:val="009E4AA5"/>
    <w:rsid w:val="009F4C00"/>
    <w:rsid w:val="00A0247D"/>
    <w:rsid w:val="00A06591"/>
    <w:rsid w:val="00A0712D"/>
    <w:rsid w:val="00A118D3"/>
    <w:rsid w:val="00A2140E"/>
    <w:rsid w:val="00A351BA"/>
    <w:rsid w:val="00A508BD"/>
    <w:rsid w:val="00A52EA5"/>
    <w:rsid w:val="00A554F5"/>
    <w:rsid w:val="00A57406"/>
    <w:rsid w:val="00A61271"/>
    <w:rsid w:val="00A66965"/>
    <w:rsid w:val="00AA7FEC"/>
    <w:rsid w:val="00AD4F1A"/>
    <w:rsid w:val="00AE3A0D"/>
    <w:rsid w:val="00AE6266"/>
    <w:rsid w:val="00AE6D5F"/>
    <w:rsid w:val="00AF2C6A"/>
    <w:rsid w:val="00AF3388"/>
    <w:rsid w:val="00AF4C18"/>
    <w:rsid w:val="00B06703"/>
    <w:rsid w:val="00B17D70"/>
    <w:rsid w:val="00B37EE5"/>
    <w:rsid w:val="00B45896"/>
    <w:rsid w:val="00B459B6"/>
    <w:rsid w:val="00B504F0"/>
    <w:rsid w:val="00B52EF2"/>
    <w:rsid w:val="00B5683B"/>
    <w:rsid w:val="00B739C1"/>
    <w:rsid w:val="00B7510A"/>
    <w:rsid w:val="00B902CA"/>
    <w:rsid w:val="00BA3247"/>
    <w:rsid w:val="00BA48B4"/>
    <w:rsid w:val="00BA554F"/>
    <w:rsid w:val="00BC3683"/>
    <w:rsid w:val="00C345FA"/>
    <w:rsid w:val="00C368FF"/>
    <w:rsid w:val="00C413FC"/>
    <w:rsid w:val="00C52CCC"/>
    <w:rsid w:val="00C64FB6"/>
    <w:rsid w:val="00C76277"/>
    <w:rsid w:val="00C77373"/>
    <w:rsid w:val="00C910A1"/>
    <w:rsid w:val="00C92F4B"/>
    <w:rsid w:val="00CA20EC"/>
    <w:rsid w:val="00CA5FC1"/>
    <w:rsid w:val="00CA64E0"/>
    <w:rsid w:val="00CC192F"/>
    <w:rsid w:val="00CE5DE0"/>
    <w:rsid w:val="00CF55A7"/>
    <w:rsid w:val="00D2291D"/>
    <w:rsid w:val="00D73FCC"/>
    <w:rsid w:val="00D755DB"/>
    <w:rsid w:val="00D80903"/>
    <w:rsid w:val="00D81032"/>
    <w:rsid w:val="00DA0278"/>
    <w:rsid w:val="00DA4508"/>
    <w:rsid w:val="00DB6617"/>
    <w:rsid w:val="00DB6921"/>
    <w:rsid w:val="00DD63D4"/>
    <w:rsid w:val="00DD6D8E"/>
    <w:rsid w:val="00DD7EA5"/>
    <w:rsid w:val="00DE2E63"/>
    <w:rsid w:val="00DE4F9D"/>
    <w:rsid w:val="00DF186E"/>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6CCD"/>
    <w:rsid w:val="00EA6F11"/>
    <w:rsid w:val="00EA7228"/>
    <w:rsid w:val="00ED2897"/>
    <w:rsid w:val="00ED5CE2"/>
    <w:rsid w:val="00ED7273"/>
    <w:rsid w:val="00EF13FF"/>
    <w:rsid w:val="00F213FF"/>
    <w:rsid w:val="00F23FAE"/>
    <w:rsid w:val="00F32F4F"/>
    <w:rsid w:val="00F411C3"/>
    <w:rsid w:val="00F56FED"/>
    <w:rsid w:val="00F64995"/>
    <w:rsid w:val="00F732BD"/>
    <w:rsid w:val="00F81383"/>
    <w:rsid w:val="00F84393"/>
    <w:rsid w:val="00F96657"/>
    <w:rsid w:val="00FA2351"/>
    <w:rsid w:val="00FA2D3D"/>
    <w:rsid w:val="00FA6D20"/>
    <w:rsid w:val="00FB5411"/>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3EE0C251-3CEE-4C5D-B4A6-BD62206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FA2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C459A263-4861-4637-B3DE-BC5C566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9</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28</cp:revision>
  <cp:lastPrinted>2017-10-06T15:36:00Z</cp:lastPrinted>
  <dcterms:created xsi:type="dcterms:W3CDTF">2017-10-06T15:06:00Z</dcterms:created>
  <dcterms:modified xsi:type="dcterms:W3CDTF">2018-12-09T21:02:00Z</dcterms:modified>
</cp:coreProperties>
</file>