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A411C5" w:rsidRPr="001F31C7" w:rsidTr="004615A5">
        <w:tc>
          <w:tcPr>
            <w:tcW w:w="2356" w:type="dxa"/>
          </w:tcPr>
          <w:p w:rsidR="00A411C5" w:rsidRPr="001F31C7" w:rsidRDefault="00A411C5" w:rsidP="00A411C5">
            <w:pPr>
              <w:keepNext/>
              <w:keepLines/>
              <w:spacing w:before="480" w:after="0"/>
              <w:outlineLvl w:val="0"/>
              <w:rPr>
                <w:rFonts w:ascii="Arial" w:eastAsia="Times New Roman" w:hAnsi="Arial" w:cs="Arial"/>
                <w:b/>
                <w:bCs/>
                <w:color w:val="2E74B5"/>
                <w:sz w:val="26"/>
                <w:szCs w:val="26"/>
              </w:rPr>
            </w:pPr>
          </w:p>
        </w:tc>
        <w:tc>
          <w:tcPr>
            <w:tcW w:w="6859" w:type="dxa"/>
          </w:tcPr>
          <w:p w:rsidR="00A411C5" w:rsidRPr="001F31C7" w:rsidRDefault="00A411C5" w:rsidP="00A411C5">
            <w:pPr>
              <w:tabs>
                <w:tab w:val="left" w:pos="3103"/>
              </w:tabs>
              <w:spacing w:after="0" w:line="240" w:lineRule="auto"/>
              <w:ind w:left="1119"/>
              <w:jc w:val="both"/>
              <w:rPr>
                <w:rFonts w:ascii="Arial" w:eastAsia="Calibri" w:hAnsi="Arial" w:cs="Arial"/>
                <w:b/>
                <w:iCs/>
                <w:caps/>
                <w:sz w:val="26"/>
                <w:szCs w:val="26"/>
                <w:lang w:val="es-MX"/>
              </w:rPr>
            </w:pPr>
            <w:r w:rsidRPr="001F31C7">
              <w:rPr>
                <w:rFonts w:ascii="Arial" w:eastAsia="Calibri" w:hAnsi="Arial" w:cs="Arial"/>
                <w:b/>
                <w:iCs/>
                <w:caps/>
                <w:sz w:val="26"/>
                <w:szCs w:val="26"/>
                <w:lang w:val="es-MX"/>
              </w:rPr>
              <w:t>SALA SUPERIOR DEL TRIBUNAL DE LO  CONTENCIOSO ADMINISTRATIVO Y DE CUENTAS DEL poder judicial del ESTADO DE OAXACA</w:t>
            </w:r>
          </w:p>
          <w:p w:rsidR="00A411C5" w:rsidRPr="001F31C7" w:rsidRDefault="00A411C5" w:rsidP="00A411C5">
            <w:pPr>
              <w:tabs>
                <w:tab w:val="right" w:pos="8504"/>
              </w:tabs>
              <w:spacing w:after="0" w:line="240" w:lineRule="auto"/>
              <w:ind w:left="1119" w:right="51"/>
              <w:jc w:val="both"/>
              <w:rPr>
                <w:rFonts w:ascii="Arial" w:eastAsia="PMingLiU" w:hAnsi="Arial" w:cs="Arial"/>
                <w:b/>
                <w:iCs/>
                <w:caps/>
                <w:sz w:val="26"/>
                <w:szCs w:val="26"/>
                <w:lang w:eastAsia="zh-TW"/>
              </w:rPr>
            </w:pPr>
            <w:r w:rsidRPr="001F31C7">
              <w:rPr>
                <w:rFonts w:ascii="Arial" w:eastAsia="PMingLiU" w:hAnsi="Arial" w:cs="Arial"/>
                <w:b/>
                <w:iCs/>
                <w:caps/>
                <w:sz w:val="26"/>
                <w:szCs w:val="26"/>
                <w:lang w:eastAsia="zh-TW"/>
              </w:rPr>
              <w:t xml:space="preserve">               </w:t>
            </w:r>
          </w:p>
          <w:p w:rsidR="00A411C5" w:rsidRPr="001F31C7" w:rsidRDefault="00A411C5" w:rsidP="00A411C5">
            <w:pPr>
              <w:tabs>
                <w:tab w:val="right" w:pos="8504"/>
              </w:tabs>
              <w:spacing w:after="0" w:line="240" w:lineRule="auto"/>
              <w:ind w:right="51"/>
              <w:jc w:val="both"/>
              <w:rPr>
                <w:rFonts w:ascii="Arial" w:eastAsia="PMingLiU" w:hAnsi="Arial" w:cs="Arial"/>
                <w:b/>
                <w:iCs/>
                <w:caps/>
                <w:sz w:val="26"/>
                <w:szCs w:val="26"/>
                <w:lang w:eastAsia="zh-TW"/>
              </w:rPr>
            </w:pPr>
            <w:r w:rsidRPr="001F31C7">
              <w:rPr>
                <w:rFonts w:ascii="Arial" w:eastAsia="PMingLiU" w:hAnsi="Arial" w:cs="Arial"/>
                <w:b/>
                <w:iCs/>
                <w:caps/>
                <w:sz w:val="26"/>
                <w:szCs w:val="26"/>
                <w:lang w:eastAsia="zh-TW"/>
              </w:rPr>
              <w:t xml:space="preserve">               RECURSO DE REVISIÓN: 0595/2017</w:t>
            </w:r>
          </w:p>
          <w:p w:rsidR="00A411C5" w:rsidRPr="001F31C7" w:rsidRDefault="00A411C5" w:rsidP="00A411C5">
            <w:pPr>
              <w:tabs>
                <w:tab w:val="right" w:pos="8504"/>
              </w:tabs>
              <w:spacing w:after="0" w:line="240" w:lineRule="auto"/>
              <w:ind w:right="51"/>
              <w:jc w:val="both"/>
              <w:rPr>
                <w:rFonts w:ascii="Arial" w:eastAsia="PMingLiU" w:hAnsi="Arial" w:cs="Arial"/>
                <w:b/>
                <w:iCs/>
                <w:caps/>
                <w:sz w:val="26"/>
                <w:szCs w:val="26"/>
                <w:lang w:eastAsia="zh-TW"/>
              </w:rPr>
            </w:pPr>
            <w:r w:rsidRPr="001F31C7">
              <w:rPr>
                <w:rFonts w:ascii="Arial" w:hAnsi="Arial" w:cs="Arial"/>
                <w:b/>
                <w:sz w:val="26"/>
                <w:szCs w:val="26"/>
              </w:rPr>
              <w:t xml:space="preserve">               CU</w:t>
            </w:r>
            <w:r w:rsidR="001F31C7">
              <w:rPr>
                <w:rFonts w:ascii="Arial" w:hAnsi="Arial" w:cs="Arial"/>
                <w:b/>
                <w:sz w:val="26"/>
                <w:szCs w:val="26"/>
              </w:rPr>
              <w:t xml:space="preserve">ADERNO DE SUSPENSIÓN RELATIVO </w:t>
            </w:r>
            <w:r w:rsidRPr="001F31C7">
              <w:rPr>
                <w:rFonts w:ascii="Arial" w:hAnsi="Arial" w:cs="Arial"/>
                <w:b/>
                <w:sz w:val="26"/>
                <w:szCs w:val="26"/>
              </w:rPr>
              <w:t xml:space="preserve">AL             </w:t>
            </w:r>
          </w:p>
          <w:p w:rsidR="00A411C5" w:rsidRPr="001F31C7" w:rsidRDefault="00A411C5" w:rsidP="00A411C5">
            <w:pPr>
              <w:tabs>
                <w:tab w:val="right" w:pos="8504"/>
              </w:tabs>
              <w:spacing w:after="0" w:line="240" w:lineRule="auto"/>
              <w:ind w:left="1119" w:right="51"/>
              <w:jc w:val="both"/>
              <w:rPr>
                <w:rFonts w:ascii="Arial" w:eastAsia="PMingLiU" w:hAnsi="Arial" w:cs="Arial"/>
                <w:b/>
                <w:iCs/>
                <w:caps/>
                <w:sz w:val="26"/>
                <w:szCs w:val="26"/>
                <w:lang w:eastAsia="zh-TW"/>
              </w:rPr>
            </w:pPr>
            <w:r w:rsidRPr="001F31C7">
              <w:rPr>
                <w:rFonts w:ascii="Arial" w:eastAsia="PMingLiU" w:hAnsi="Arial" w:cs="Arial"/>
                <w:b/>
                <w:iCs/>
                <w:caps/>
                <w:sz w:val="26"/>
                <w:szCs w:val="26"/>
                <w:lang w:eastAsia="zh-TW"/>
              </w:rPr>
              <w:t xml:space="preserve">EXPEDIENTE: 044/2017 DE LA SEXTA SALA UNITARIA DE PRIMERA INSTANCIA </w:t>
            </w:r>
          </w:p>
          <w:p w:rsidR="00A411C5" w:rsidRPr="001F31C7" w:rsidRDefault="00A411C5" w:rsidP="00A411C5">
            <w:pPr>
              <w:tabs>
                <w:tab w:val="right" w:pos="8504"/>
              </w:tabs>
              <w:spacing w:after="0" w:line="240" w:lineRule="auto"/>
              <w:ind w:left="1119" w:right="51"/>
              <w:jc w:val="both"/>
              <w:rPr>
                <w:rFonts w:ascii="Arial" w:eastAsia="PMingLiU" w:hAnsi="Arial" w:cs="Arial"/>
                <w:b/>
                <w:iCs/>
                <w:caps/>
                <w:sz w:val="26"/>
                <w:szCs w:val="26"/>
                <w:lang w:eastAsia="zh-TW"/>
              </w:rPr>
            </w:pPr>
          </w:p>
          <w:p w:rsidR="00A411C5" w:rsidRPr="001F31C7" w:rsidRDefault="00A411C5" w:rsidP="00A411C5">
            <w:pPr>
              <w:tabs>
                <w:tab w:val="right" w:pos="8504"/>
              </w:tabs>
              <w:spacing w:after="0" w:line="240" w:lineRule="auto"/>
              <w:ind w:left="1119" w:right="51"/>
              <w:jc w:val="both"/>
              <w:rPr>
                <w:rFonts w:ascii="Arial" w:eastAsia="PMingLiU" w:hAnsi="Arial" w:cs="Arial"/>
                <w:b/>
                <w:iCs/>
                <w:caps/>
                <w:sz w:val="26"/>
                <w:szCs w:val="26"/>
                <w:lang w:eastAsia="zh-TW"/>
              </w:rPr>
            </w:pPr>
            <w:r w:rsidRPr="001F31C7">
              <w:rPr>
                <w:rFonts w:ascii="Arial" w:eastAsia="PMingLiU" w:hAnsi="Arial" w:cs="Arial"/>
                <w:b/>
                <w:iCs/>
                <w:caps/>
                <w:sz w:val="26"/>
                <w:szCs w:val="26"/>
                <w:lang w:eastAsia="zh-TW"/>
              </w:rPr>
              <w:t xml:space="preserve">MAGISTRADA ponente: </w:t>
            </w:r>
            <w:r w:rsidRPr="001F31C7">
              <w:rPr>
                <w:rFonts w:ascii="Arial" w:eastAsia="PMingLiU" w:hAnsi="Arial" w:cs="Arial"/>
                <w:b/>
                <w:iCs/>
                <w:sz w:val="26"/>
                <w:szCs w:val="26"/>
                <w:lang w:eastAsia="zh-TW"/>
              </w:rPr>
              <w:t>MARÍA ELENA VILLA DE JARQUÍN.</w:t>
            </w:r>
          </w:p>
        </w:tc>
      </w:tr>
      <w:tr w:rsidR="00A411C5" w:rsidRPr="001F31C7" w:rsidTr="004615A5">
        <w:tc>
          <w:tcPr>
            <w:tcW w:w="2356" w:type="dxa"/>
          </w:tcPr>
          <w:p w:rsidR="00A411C5" w:rsidRPr="001F31C7" w:rsidRDefault="00A411C5" w:rsidP="00A411C5">
            <w:pPr>
              <w:spacing w:after="0" w:line="240" w:lineRule="auto"/>
              <w:rPr>
                <w:rFonts w:ascii="Arial" w:eastAsia="Calibri" w:hAnsi="Arial" w:cs="Arial"/>
                <w:b/>
                <w:sz w:val="26"/>
                <w:szCs w:val="26"/>
                <w:lang w:val="es-MX"/>
              </w:rPr>
            </w:pPr>
          </w:p>
        </w:tc>
        <w:tc>
          <w:tcPr>
            <w:tcW w:w="6859" w:type="dxa"/>
          </w:tcPr>
          <w:p w:rsidR="00A411C5" w:rsidRPr="001F31C7" w:rsidRDefault="00A411C5" w:rsidP="00A411C5">
            <w:pPr>
              <w:tabs>
                <w:tab w:val="left" w:pos="3103"/>
              </w:tabs>
              <w:spacing w:after="0" w:line="240" w:lineRule="auto"/>
              <w:ind w:left="2961" w:hanging="2961"/>
              <w:jc w:val="both"/>
              <w:rPr>
                <w:rFonts w:ascii="Arial" w:eastAsia="Calibri" w:hAnsi="Arial" w:cs="Arial"/>
                <w:b/>
                <w:iCs/>
                <w:caps/>
                <w:sz w:val="26"/>
                <w:szCs w:val="26"/>
                <w:lang w:val="es-MX"/>
              </w:rPr>
            </w:pPr>
            <w:r w:rsidRPr="001F31C7">
              <w:rPr>
                <w:rFonts w:ascii="Arial" w:eastAsia="Calibri" w:hAnsi="Arial" w:cs="Arial"/>
                <w:b/>
                <w:i/>
                <w:iCs/>
                <w:caps/>
                <w:sz w:val="26"/>
                <w:szCs w:val="26"/>
                <w:lang w:val="es-MX"/>
              </w:rPr>
              <w:t xml:space="preserve">                                   </w:t>
            </w:r>
          </w:p>
        </w:tc>
      </w:tr>
      <w:tr w:rsidR="00A411C5" w:rsidRPr="001F31C7" w:rsidTr="004615A5">
        <w:tc>
          <w:tcPr>
            <w:tcW w:w="2356" w:type="dxa"/>
          </w:tcPr>
          <w:p w:rsidR="00A411C5" w:rsidRPr="001F31C7" w:rsidRDefault="00A411C5" w:rsidP="00A411C5">
            <w:pPr>
              <w:spacing w:after="0" w:line="240" w:lineRule="auto"/>
              <w:rPr>
                <w:rFonts w:ascii="Arial" w:eastAsia="Calibri" w:hAnsi="Arial" w:cs="Arial"/>
                <w:b/>
                <w:sz w:val="26"/>
                <w:szCs w:val="26"/>
                <w:lang w:val="es-MX"/>
              </w:rPr>
            </w:pPr>
          </w:p>
        </w:tc>
        <w:tc>
          <w:tcPr>
            <w:tcW w:w="6859" w:type="dxa"/>
          </w:tcPr>
          <w:p w:rsidR="00A411C5" w:rsidRPr="001F31C7" w:rsidRDefault="00A411C5" w:rsidP="00A411C5">
            <w:pPr>
              <w:tabs>
                <w:tab w:val="left" w:pos="3103"/>
              </w:tabs>
              <w:spacing w:after="0" w:line="240" w:lineRule="auto"/>
              <w:ind w:left="2961" w:hanging="2961"/>
              <w:jc w:val="both"/>
              <w:rPr>
                <w:rFonts w:ascii="Arial" w:eastAsia="Calibri" w:hAnsi="Arial" w:cs="Arial"/>
                <w:b/>
                <w:i/>
                <w:iCs/>
                <w:caps/>
                <w:sz w:val="26"/>
                <w:szCs w:val="26"/>
                <w:lang w:val="es-MX"/>
              </w:rPr>
            </w:pPr>
          </w:p>
        </w:tc>
      </w:tr>
    </w:tbl>
    <w:p w:rsidR="00A411C5" w:rsidRPr="001F31C7" w:rsidRDefault="00A411C5" w:rsidP="00A411C5">
      <w:pPr>
        <w:spacing w:after="0" w:line="360" w:lineRule="auto"/>
        <w:jc w:val="both"/>
        <w:rPr>
          <w:rFonts w:ascii="Arial" w:eastAsia="Calibri" w:hAnsi="Arial" w:cs="Arial"/>
          <w:b/>
          <w:sz w:val="26"/>
          <w:szCs w:val="26"/>
          <w:lang w:val="es-MX"/>
        </w:rPr>
      </w:pPr>
      <w:r w:rsidRPr="001F31C7">
        <w:rPr>
          <w:rFonts w:ascii="Arial" w:eastAsia="Calibri" w:hAnsi="Arial" w:cs="Arial"/>
          <w:b/>
          <w:sz w:val="26"/>
          <w:szCs w:val="26"/>
          <w:lang w:val="es-MX"/>
        </w:rPr>
        <w:t>OAX</w:t>
      </w:r>
      <w:r w:rsidR="00920802" w:rsidRPr="001F31C7">
        <w:rPr>
          <w:rFonts w:ascii="Arial" w:eastAsia="Calibri" w:hAnsi="Arial" w:cs="Arial"/>
          <w:b/>
          <w:sz w:val="26"/>
          <w:szCs w:val="26"/>
          <w:lang w:val="es-MX"/>
        </w:rPr>
        <w:t xml:space="preserve">ACA DE JUÁREZ, OAXACA A 25 </w:t>
      </w:r>
      <w:r w:rsidRPr="001F31C7">
        <w:rPr>
          <w:rFonts w:ascii="Arial" w:eastAsia="Calibri" w:hAnsi="Arial" w:cs="Arial"/>
          <w:b/>
          <w:sz w:val="26"/>
          <w:szCs w:val="26"/>
          <w:lang w:val="es-MX"/>
        </w:rPr>
        <w:t xml:space="preserve">DE </w:t>
      </w:r>
      <w:r w:rsidR="00F96FB0" w:rsidRPr="001F31C7">
        <w:rPr>
          <w:rFonts w:ascii="Arial" w:eastAsia="Calibri" w:hAnsi="Arial" w:cs="Arial"/>
          <w:b/>
          <w:sz w:val="26"/>
          <w:szCs w:val="26"/>
          <w:lang w:val="es-MX"/>
        </w:rPr>
        <w:t>ENERO DE 2018</w:t>
      </w:r>
      <w:r w:rsidRPr="001F31C7">
        <w:rPr>
          <w:rFonts w:ascii="Arial" w:eastAsia="Calibri" w:hAnsi="Arial" w:cs="Arial"/>
          <w:b/>
          <w:sz w:val="26"/>
          <w:szCs w:val="26"/>
          <w:lang w:val="es-MX"/>
        </w:rPr>
        <w:t xml:space="preserve"> DOS MIL DIECI</w:t>
      </w:r>
      <w:r w:rsidR="00920802" w:rsidRPr="001F31C7">
        <w:rPr>
          <w:rFonts w:ascii="Arial" w:eastAsia="Calibri" w:hAnsi="Arial" w:cs="Arial"/>
          <w:b/>
          <w:sz w:val="26"/>
          <w:szCs w:val="26"/>
          <w:lang w:val="es-MX"/>
        </w:rPr>
        <w:t>OCHO.</w:t>
      </w:r>
    </w:p>
    <w:p w:rsidR="00410447" w:rsidRPr="001F31C7" w:rsidRDefault="00A411C5" w:rsidP="008D247C">
      <w:pPr>
        <w:spacing w:after="0" w:line="360" w:lineRule="auto"/>
        <w:ind w:firstLine="708"/>
        <w:jc w:val="both"/>
        <w:rPr>
          <w:rFonts w:ascii="Arial" w:eastAsia="Calibri" w:hAnsi="Arial" w:cs="Arial"/>
          <w:sz w:val="26"/>
          <w:szCs w:val="26"/>
          <w:lang w:val="es-MX"/>
        </w:rPr>
      </w:pPr>
      <w:r w:rsidRPr="001F31C7">
        <w:rPr>
          <w:rFonts w:ascii="Arial" w:eastAsia="Calibri" w:hAnsi="Arial" w:cs="Arial"/>
          <w:sz w:val="26"/>
          <w:szCs w:val="26"/>
          <w:lang w:val="es-MX"/>
        </w:rPr>
        <w:t xml:space="preserve">Por recibido el Cuaderno de Revisión </w:t>
      </w:r>
      <w:r w:rsidRPr="001F31C7">
        <w:rPr>
          <w:rFonts w:ascii="Arial" w:eastAsia="Calibri" w:hAnsi="Arial" w:cs="Arial"/>
          <w:b/>
          <w:sz w:val="26"/>
          <w:szCs w:val="26"/>
          <w:lang w:val="es-MX"/>
        </w:rPr>
        <w:t>0595/2017</w:t>
      </w:r>
      <w:r w:rsidRPr="001F31C7">
        <w:rPr>
          <w:rFonts w:ascii="Arial" w:eastAsia="Calibri" w:hAnsi="Arial" w:cs="Arial"/>
          <w:sz w:val="26"/>
          <w:szCs w:val="26"/>
          <w:lang w:val="es-MX"/>
        </w:rPr>
        <w:t xml:space="preserve">, que remite la Secretaría General de Acuerdos, con motivo del recurso de revisión interpuesto por </w:t>
      </w:r>
      <w:r w:rsidRPr="001F31C7">
        <w:rPr>
          <w:rFonts w:ascii="Arial" w:eastAsia="Calibri" w:hAnsi="Arial" w:cs="Arial"/>
          <w:b/>
          <w:sz w:val="26"/>
          <w:szCs w:val="26"/>
          <w:lang w:val="es-MX"/>
        </w:rPr>
        <w:t xml:space="preserve">EDUARDO HERNÁNDEZ MENDOZA, QUIEN SE OSTENTA COMO POLICÍA VIAL ESTATAL, </w:t>
      </w:r>
      <w:r w:rsidR="0092173B" w:rsidRPr="001F31C7">
        <w:rPr>
          <w:rFonts w:ascii="Arial" w:eastAsia="Calibri" w:hAnsi="Arial" w:cs="Arial"/>
          <w:sz w:val="26"/>
          <w:szCs w:val="26"/>
          <w:lang w:val="es-MX"/>
        </w:rPr>
        <w:t xml:space="preserve">en contra </w:t>
      </w:r>
      <w:r w:rsidRPr="001F31C7">
        <w:rPr>
          <w:rFonts w:ascii="Arial" w:eastAsia="Calibri" w:hAnsi="Arial" w:cs="Arial"/>
          <w:sz w:val="26"/>
          <w:szCs w:val="26"/>
          <w:lang w:val="es-MX"/>
        </w:rPr>
        <w:t>del acuer</w:t>
      </w:r>
      <w:r w:rsidR="0092173B" w:rsidRPr="001F31C7">
        <w:rPr>
          <w:rFonts w:ascii="Arial" w:eastAsia="Calibri" w:hAnsi="Arial" w:cs="Arial"/>
          <w:sz w:val="26"/>
          <w:szCs w:val="26"/>
          <w:lang w:val="es-MX"/>
        </w:rPr>
        <w:t xml:space="preserve">do de 23 </w:t>
      </w:r>
      <w:r w:rsidR="006D148F" w:rsidRPr="001F31C7">
        <w:rPr>
          <w:rFonts w:ascii="Arial" w:eastAsia="Calibri" w:hAnsi="Arial" w:cs="Arial"/>
          <w:sz w:val="26"/>
          <w:szCs w:val="26"/>
          <w:lang w:val="es-MX"/>
        </w:rPr>
        <w:t>veintitrés</w:t>
      </w:r>
      <w:r w:rsidR="0092173B" w:rsidRPr="001F31C7">
        <w:rPr>
          <w:rFonts w:ascii="Arial" w:eastAsia="Calibri" w:hAnsi="Arial" w:cs="Arial"/>
          <w:sz w:val="26"/>
          <w:szCs w:val="26"/>
          <w:lang w:val="es-MX"/>
        </w:rPr>
        <w:t xml:space="preserve">  de mayo</w:t>
      </w:r>
      <w:r w:rsidRPr="001F31C7">
        <w:rPr>
          <w:rFonts w:ascii="Arial" w:eastAsia="Calibri" w:hAnsi="Arial" w:cs="Arial"/>
          <w:sz w:val="26"/>
          <w:szCs w:val="26"/>
          <w:lang w:val="es-MX"/>
        </w:rPr>
        <w:t xml:space="preserve"> de 2017 </w:t>
      </w:r>
      <w:r w:rsidR="0092173B" w:rsidRPr="001F31C7">
        <w:rPr>
          <w:rFonts w:ascii="Arial" w:eastAsia="Calibri" w:hAnsi="Arial" w:cs="Arial"/>
          <w:sz w:val="26"/>
          <w:szCs w:val="26"/>
          <w:lang w:val="es-MX"/>
        </w:rPr>
        <w:t xml:space="preserve">dos mil diecisiete, dictado </w:t>
      </w:r>
      <w:r w:rsidRPr="001F31C7">
        <w:rPr>
          <w:rFonts w:ascii="Arial" w:eastAsia="Calibri" w:hAnsi="Arial" w:cs="Arial"/>
          <w:sz w:val="26"/>
          <w:szCs w:val="26"/>
          <w:lang w:val="es-MX"/>
        </w:rPr>
        <w:t xml:space="preserve">en el </w:t>
      </w:r>
      <w:r w:rsidR="0092173B" w:rsidRPr="001F31C7">
        <w:rPr>
          <w:rFonts w:ascii="Arial" w:eastAsia="Calibri" w:hAnsi="Arial" w:cs="Arial"/>
          <w:sz w:val="26"/>
          <w:szCs w:val="26"/>
          <w:lang w:val="es-MX"/>
        </w:rPr>
        <w:t xml:space="preserve">Cuaderno de </w:t>
      </w:r>
      <w:r w:rsidR="006D148F" w:rsidRPr="001F31C7">
        <w:rPr>
          <w:rFonts w:ascii="Arial" w:eastAsia="Calibri" w:hAnsi="Arial" w:cs="Arial"/>
          <w:sz w:val="26"/>
          <w:szCs w:val="26"/>
          <w:lang w:val="es-MX"/>
        </w:rPr>
        <w:t>Suspensión</w:t>
      </w:r>
      <w:r w:rsidR="0092173B" w:rsidRPr="001F31C7">
        <w:rPr>
          <w:rFonts w:ascii="Arial" w:eastAsia="Calibri" w:hAnsi="Arial" w:cs="Arial"/>
          <w:sz w:val="26"/>
          <w:szCs w:val="26"/>
          <w:lang w:val="es-MX"/>
        </w:rPr>
        <w:t xml:space="preserve">  relativo al </w:t>
      </w:r>
      <w:r w:rsidRPr="001F31C7">
        <w:rPr>
          <w:rFonts w:ascii="Arial" w:eastAsia="Calibri" w:hAnsi="Arial" w:cs="Arial"/>
          <w:sz w:val="26"/>
          <w:szCs w:val="26"/>
          <w:lang w:val="es-MX"/>
        </w:rPr>
        <w:t xml:space="preserve">expediente principal </w:t>
      </w:r>
      <w:r w:rsidRPr="001F31C7">
        <w:rPr>
          <w:rFonts w:ascii="Arial" w:eastAsia="Calibri" w:hAnsi="Arial" w:cs="Arial"/>
          <w:b/>
          <w:sz w:val="26"/>
          <w:szCs w:val="26"/>
          <w:lang w:val="es-MX"/>
        </w:rPr>
        <w:t xml:space="preserve">044/2017 </w:t>
      </w:r>
      <w:r w:rsidRPr="001F31C7">
        <w:rPr>
          <w:rFonts w:ascii="Arial" w:eastAsia="Calibri" w:hAnsi="Arial" w:cs="Arial"/>
          <w:sz w:val="26"/>
          <w:szCs w:val="26"/>
          <w:lang w:val="es-MX"/>
        </w:rPr>
        <w:t>del índice de la Sexta Sala Unitaria de Primera Instancia de este Tribunal, promovido por</w:t>
      </w:r>
      <w:r w:rsidRPr="001F31C7">
        <w:rPr>
          <w:rFonts w:ascii="Arial" w:eastAsia="Calibri" w:hAnsi="Arial" w:cs="Arial"/>
          <w:b/>
          <w:sz w:val="26"/>
          <w:szCs w:val="26"/>
          <w:lang w:val="es-MX"/>
        </w:rPr>
        <w:t xml:space="preserve"> </w:t>
      </w:r>
      <w:r w:rsidR="001C21D1">
        <w:rPr>
          <w:rFonts w:ascii="Arial" w:eastAsia="Calibri" w:hAnsi="Arial" w:cs="Arial"/>
          <w:b/>
          <w:sz w:val="26"/>
          <w:szCs w:val="26"/>
          <w:lang w:val="es-MX"/>
        </w:rPr>
        <w:t>**********</w:t>
      </w:r>
      <w:r w:rsidRPr="001F31C7">
        <w:rPr>
          <w:rFonts w:ascii="Arial" w:eastAsia="Calibri" w:hAnsi="Arial" w:cs="Arial"/>
          <w:b/>
          <w:sz w:val="26"/>
          <w:szCs w:val="26"/>
          <w:lang w:val="es-MX"/>
        </w:rPr>
        <w:t xml:space="preserve">, </w:t>
      </w:r>
      <w:r w:rsidRPr="001F31C7">
        <w:rPr>
          <w:rFonts w:ascii="Arial" w:eastAsia="Calibri" w:hAnsi="Arial" w:cs="Arial"/>
          <w:sz w:val="26"/>
          <w:szCs w:val="26"/>
          <w:lang w:val="es-MX"/>
        </w:rPr>
        <w:t xml:space="preserve">en contra del </w:t>
      </w:r>
      <w:r w:rsidRPr="001F31C7">
        <w:rPr>
          <w:rFonts w:ascii="Arial" w:eastAsia="Calibri" w:hAnsi="Arial" w:cs="Arial"/>
          <w:b/>
          <w:sz w:val="26"/>
          <w:szCs w:val="26"/>
          <w:lang w:val="es-MX"/>
        </w:rPr>
        <w:t xml:space="preserve">RECURRENTE,  </w:t>
      </w:r>
      <w:r w:rsidRPr="001F31C7">
        <w:rPr>
          <w:rFonts w:ascii="Arial" w:eastAsia="Calibri" w:hAnsi="Arial" w:cs="Arial"/>
          <w:sz w:val="26"/>
          <w:szCs w:val="26"/>
          <w:lang w:val="es-MX"/>
        </w:rPr>
        <w:t xml:space="preserve">por lo que con fundamento en los artículos 207 y 208, de la Ley de Justicia Administrativa para el Estado de Oaxaca, </w:t>
      </w:r>
      <w:r w:rsidR="00920802" w:rsidRPr="001F31C7">
        <w:rPr>
          <w:rFonts w:ascii="Arial" w:eastAsia="Calibri" w:hAnsi="Arial" w:cs="Arial"/>
          <w:sz w:val="26"/>
          <w:szCs w:val="26"/>
          <w:lang w:val="es-MX"/>
        </w:rPr>
        <w:t xml:space="preserve">vigente hasta el 20 veinte de octubre de 2017 dos mil diecisiete, </w:t>
      </w:r>
      <w:r w:rsidRPr="001F31C7">
        <w:rPr>
          <w:rFonts w:ascii="Arial" w:eastAsia="Calibri" w:hAnsi="Arial" w:cs="Arial"/>
          <w:sz w:val="26"/>
          <w:szCs w:val="26"/>
          <w:lang w:val="es-MX"/>
        </w:rPr>
        <w:t>se admite. En consecuencia, se procede a dictar resolución en los siguientes términos:</w:t>
      </w:r>
    </w:p>
    <w:p w:rsidR="00410447" w:rsidRPr="001F31C7" w:rsidRDefault="00410447" w:rsidP="00410447">
      <w:pPr>
        <w:spacing w:after="0" w:line="360" w:lineRule="auto"/>
        <w:ind w:firstLine="708"/>
        <w:jc w:val="center"/>
        <w:rPr>
          <w:rFonts w:ascii="Arial" w:eastAsia="Calibri" w:hAnsi="Arial" w:cs="Arial"/>
          <w:b/>
          <w:bCs/>
          <w:sz w:val="26"/>
          <w:szCs w:val="26"/>
        </w:rPr>
      </w:pPr>
      <w:r w:rsidRPr="001F31C7">
        <w:rPr>
          <w:rFonts w:ascii="Arial" w:eastAsia="Calibri" w:hAnsi="Arial" w:cs="Arial"/>
          <w:b/>
          <w:bCs/>
          <w:sz w:val="26"/>
          <w:szCs w:val="26"/>
        </w:rPr>
        <w:t>R E S U L T A N D O</w:t>
      </w:r>
    </w:p>
    <w:p w:rsidR="008D247C" w:rsidRPr="001F31C7" w:rsidRDefault="008D247C" w:rsidP="00410447">
      <w:pPr>
        <w:spacing w:after="0" w:line="360" w:lineRule="auto"/>
        <w:ind w:firstLine="708"/>
        <w:jc w:val="center"/>
        <w:rPr>
          <w:rFonts w:ascii="Arial" w:eastAsia="Calibri" w:hAnsi="Arial" w:cs="Arial"/>
          <w:b/>
          <w:bCs/>
          <w:sz w:val="26"/>
          <w:szCs w:val="26"/>
        </w:rPr>
      </w:pPr>
    </w:p>
    <w:p w:rsidR="00410447" w:rsidRPr="001F31C7" w:rsidRDefault="00410447" w:rsidP="00410447">
      <w:pPr>
        <w:spacing w:after="0" w:line="360" w:lineRule="auto"/>
        <w:ind w:firstLine="709"/>
        <w:jc w:val="both"/>
        <w:rPr>
          <w:rFonts w:ascii="Arial" w:eastAsia="Calibri" w:hAnsi="Arial" w:cs="Arial"/>
          <w:sz w:val="26"/>
          <w:szCs w:val="26"/>
        </w:rPr>
      </w:pPr>
      <w:r w:rsidRPr="001F31C7">
        <w:rPr>
          <w:rFonts w:ascii="Arial" w:eastAsia="Calibri" w:hAnsi="Arial" w:cs="Arial"/>
          <w:b/>
          <w:bCs/>
          <w:sz w:val="26"/>
          <w:szCs w:val="26"/>
        </w:rPr>
        <w:t xml:space="preserve">PRIMERO. </w:t>
      </w:r>
      <w:r w:rsidRPr="001F31C7">
        <w:rPr>
          <w:rFonts w:ascii="Arial" w:eastAsia="Calibri" w:hAnsi="Arial" w:cs="Arial"/>
          <w:sz w:val="26"/>
          <w:szCs w:val="26"/>
        </w:rPr>
        <w:t xml:space="preserve">Inconforme con </w:t>
      </w:r>
      <w:r w:rsidR="0092173B" w:rsidRPr="001F31C7">
        <w:rPr>
          <w:rFonts w:ascii="Arial" w:eastAsia="Calibri" w:hAnsi="Arial" w:cs="Arial"/>
          <w:sz w:val="26"/>
          <w:szCs w:val="26"/>
        </w:rPr>
        <w:t xml:space="preserve">el acuerdo de 23 </w:t>
      </w:r>
      <w:r w:rsidR="006D148F" w:rsidRPr="001F31C7">
        <w:rPr>
          <w:rFonts w:ascii="Arial" w:eastAsia="Calibri" w:hAnsi="Arial" w:cs="Arial"/>
          <w:sz w:val="26"/>
          <w:szCs w:val="26"/>
        </w:rPr>
        <w:t>veintitrés</w:t>
      </w:r>
      <w:r w:rsidR="0092173B" w:rsidRPr="001F31C7">
        <w:rPr>
          <w:rFonts w:ascii="Arial" w:eastAsia="Calibri" w:hAnsi="Arial" w:cs="Arial"/>
          <w:sz w:val="26"/>
          <w:szCs w:val="26"/>
        </w:rPr>
        <w:t xml:space="preserve"> de mayo de 2017 dos mil diecisiete</w:t>
      </w:r>
      <w:r w:rsidR="008D247C" w:rsidRPr="001F31C7">
        <w:rPr>
          <w:rFonts w:ascii="Arial" w:eastAsia="Calibri" w:hAnsi="Arial" w:cs="Arial"/>
          <w:sz w:val="26"/>
          <w:szCs w:val="26"/>
        </w:rPr>
        <w:t xml:space="preserve">, dictado por la Sexta Sala Unitaria de Primera Instancia, </w:t>
      </w:r>
      <w:r w:rsidR="008D247C" w:rsidRPr="001F31C7">
        <w:rPr>
          <w:rFonts w:ascii="Arial" w:eastAsia="Calibri" w:hAnsi="Arial" w:cs="Arial"/>
          <w:b/>
          <w:sz w:val="26"/>
          <w:szCs w:val="26"/>
        </w:rPr>
        <w:t>EDUARDO HERNÁNDEZ MENDOZA</w:t>
      </w:r>
      <w:r w:rsidR="008D247C" w:rsidRPr="001F31C7">
        <w:rPr>
          <w:rFonts w:ascii="Arial" w:eastAsia="Calibri" w:hAnsi="Arial" w:cs="Arial"/>
          <w:sz w:val="26"/>
          <w:szCs w:val="26"/>
        </w:rPr>
        <w:t xml:space="preserve">, </w:t>
      </w:r>
      <w:r w:rsidR="008D247C" w:rsidRPr="001F31C7">
        <w:rPr>
          <w:rFonts w:ascii="Arial" w:eastAsia="Calibri" w:hAnsi="Arial" w:cs="Arial"/>
          <w:b/>
          <w:sz w:val="26"/>
          <w:szCs w:val="26"/>
          <w:lang w:val="es-MX"/>
        </w:rPr>
        <w:t>QUIEN SE OSTENTA COMO POLICÍA VIAL ESTATAL</w:t>
      </w:r>
      <w:r w:rsidR="008D247C" w:rsidRPr="001F31C7">
        <w:rPr>
          <w:rFonts w:ascii="Arial" w:eastAsia="Calibri" w:hAnsi="Arial" w:cs="Arial"/>
          <w:sz w:val="26"/>
          <w:szCs w:val="26"/>
        </w:rPr>
        <w:t xml:space="preserve"> </w:t>
      </w:r>
      <w:r w:rsidR="0092173B" w:rsidRPr="001F31C7">
        <w:rPr>
          <w:rFonts w:ascii="Arial" w:eastAsia="Calibri" w:hAnsi="Arial" w:cs="Arial"/>
          <w:sz w:val="26"/>
          <w:szCs w:val="26"/>
        </w:rPr>
        <w:t xml:space="preserve">interpuso en su contra recurso de revisión. </w:t>
      </w:r>
    </w:p>
    <w:p w:rsidR="00410447" w:rsidRPr="001F31C7" w:rsidRDefault="00410447" w:rsidP="00410447">
      <w:pPr>
        <w:spacing w:after="0" w:line="360" w:lineRule="auto"/>
        <w:ind w:firstLine="709"/>
        <w:jc w:val="both"/>
        <w:rPr>
          <w:rFonts w:ascii="Arial" w:eastAsia="Calibri" w:hAnsi="Arial" w:cs="Arial"/>
          <w:sz w:val="26"/>
          <w:szCs w:val="26"/>
        </w:rPr>
      </w:pPr>
    </w:p>
    <w:p w:rsidR="0092173B" w:rsidRPr="001F31C7" w:rsidRDefault="00410447" w:rsidP="0092173B">
      <w:pPr>
        <w:spacing w:after="0" w:line="360" w:lineRule="auto"/>
        <w:ind w:firstLine="709"/>
        <w:jc w:val="both"/>
        <w:rPr>
          <w:rFonts w:ascii="Arial" w:eastAsia="Calibri" w:hAnsi="Arial" w:cs="Arial"/>
          <w:sz w:val="26"/>
          <w:szCs w:val="26"/>
        </w:rPr>
      </w:pPr>
      <w:r w:rsidRPr="001F31C7">
        <w:rPr>
          <w:rFonts w:ascii="Arial" w:eastAsia="Calibri" w:hAnsi="Arial" w:cs="Arial"/>
          <w:b/>
          <w:bCs/>
          <w:sz w:val="26"/>
          <w:szCs w:val="26"/>
        </w:rPr>
        <w:t xml:space="preserve">SEGUNDO. </w:t>
      </w:r>
      <w:r w:rsidR="0092173B" w:rsidRPr="001F31C7">
        <w:rPr>
          <w:rFonts w:ascii="Arial" w:eastAsia="Calibri" w:hAnsi="Arial" w:cs="Arial"/>
          <w:sz w:val="26"/>
          <w:szCs w:val="26"/>
        </w:rPr>
        <w:t xml:space="preserve">La parte relativa del acuerdo recurrido, es del tenor literal siguiente: </w:t>
      </w:r>
    </w:p>
    <w:p w:rsidR="00410447" w:rsidRDefault="00410447" w:rsidP="00410447">
      <w:pPr>
        <w:spacing w:after="0" w:line="360" w:lineRule="auto"/>
        <w:ind w:firstLine="709"/>
        <w:jc w:val="both"/>
        <w:rPr>
          <w:rFonts w:ascii="Arial" w:eastAsia="Calibri" w:hAnsi="Arial" w:cs="Arial"/>
          <w:i/>
          <w:sz w:val="24"/>
          <w:szCs w:val="24"/>
        </w:rPr>
      </w:pPr>
      <w:r>
        <w:rPr>
          <w:rFonts w:ascii="Arial" w:eastAsia="Calibri" w:hAnsi="Arial" w:cs="Arial"/>
          <w:i/>
          <w:sz w:val="24"/>
          <w:szCs w:val="24"/>
        </w:rPr>
        <w:t>“…</w:t>
      </w:r>
    </w:p>
    <w:p w:rsidR="000E2C3D" w:rsidRDefault="00F20D50" w:rsidP="00410447">
      <w:pPr>
        <w:spacing w:after="0" w:line="360" w:lineRule="auto"/>
        <w:ind w:left="851" w:right="616"/>
        <w:jc w:val="both"/>
        <w:rPr>
          <w:rFonts w:ascii="Arial" w:eastAsia="Calibri" w:hAnsi="Arial" w:cs="Arial"/>
          <w:sz w:val="24"/>
          <w:szCs w:val="24"/>
        </w:rPr>
      </w:pPr>
      <w:r w:rsidRPr="00F20D50">
        <w:rPr>
          <w:rFonts w:ascii="Arial" w:eastAsia="Calibri" w:hAnsi="Arial" w:cs="Arial"/>
          <w:sz w:val="24"/>
          <w:szCs w:val="24"/>
        </w:rPr>
        <w:t>En cumplimiento al acuerdo de la misma fecha, dictado en los autos del expediente</w:t>
      </w:r>
      <w:r>
        <w:rPr>
          <w:rFonts w:ascii="Arial" w:eastAsia="Calibri" w:hAnsi="Arial" w:cs="Arial"/>
          <w:b/>
          <w:sz w:val="24"/>
          <w:szCs w:val="24"/>
        </w:rPr>
        <w:t xml:space="preserve"> 0044/2017, </w:t>
      </w:r>
      <w:r w:rsidR="006D148F" w:rsidRPr="00F20D50">
        <w:rPr>
          <w:rFonts w:ascii="Arial" w:eastAsia="Calibri" w:hAnsi="Arial" w:cs="Arial"/>
          <w:sz w:val="24"/>
          <w:szCs w:val="24"/>
        </w:rPr>
        <w:t>fórmese</w:t>
      </w:r>
      <w:r w:rsidRPr="00F20D50">
        <w:rPr>
          <w:rFonts w:ascii="Arial" w:eastAsia="Calibri" w:hAnsi="Arial" w:cs="Arial"/>
          <w:sz w:val="24"/>
          <w:szCs w:val="24"/>
        </w:rPr>
        <w:t xml:space="preserve"> el presente cuaderno de </w:t>
      </w:r>
      <w:r w:rsidR="006D148F" w:rsidRPr="00F20D50">
        <w:rPr>
          <w:rFonts w:ascii="Arial" w:eastAsia="Calibri" w:hAnsi="Arial" w:cs="Arial"/>
          <w:sz w:val="24"/>
          <w:szCs w:val="24"/>
        </w:rPr>
        <w:t>suspensión</w:t>
      </w:r>
      <w:r w:rsidRPr="00F20D50">
        <w:rPr>
          <w:rFonts w:ascii="Arial" w:eastAsia="Calibri" w:hAnsi="Arial" w:cs="Arial"/>
          <w:sz w:val="24"/>
          <w:szCs w:val="24"/>
        </w:rPr>
        <w:t xml:space="preserve"> , con copia simple del escrito de demanda de</w:t>
      </w:r>
      <w:r>
        <w:rPr>
          <w:rFonts w:ascii="Arial" w:eastAsia="Calibri" w:hAnsi="Arial" w:cs="Arial"/>
          <w:b/>
          <w:sz w:val="24"/>
          <w:szCs w:val="24"/>
        </w:rPr>
        <w:t xml:space="preserve"> </w:t>
      </w:r>
      <w:r w:rsidR="001C21D1">
        <w:rPr>
          <w:rFonts w:ascii="Arial" w:eastAsia="Calibri" w:hAnsi="Arial" w:cs="Arial"/>
          <w:b/>
          <w:sz w:val="24"/>
          <w:szCs w:val="24"/>
        </w:rPr>
        <w:t>**********</w:t>
      </w:r>
      <w:r>
        <w:rPr>
          <w:rFonts w:ascii="Arial" w:eastAsia="Calibri" w:hAnsi="Arial" w:cs="Arial"/>
          <w:b/>
          <w:sz w:val="24"/>
          <w:szCs w:val="24"/>
        </w:rPr>
        <w:t xml:space="preserve">, </w:t>
      </w:r>
      <w:r>
        <w:rPr>
          <w:rFonts w:ascii="Arial" w:eastAsia="Calibri" w:hAnsi="Arial" w:cs="Arial"/>
          <w:sz w:val="24"/>
          <w:szCs w:val="24"/>
        </w:rPr>
        <w:t>por medio del cual solicita “…</w:t>
      </w:r>
      <w:r>
        <w:rPr>
          <w:rFonts w:ascii="Arial" w:eastAsia="Calibri" w:hAnsi="Arial" w:cs="Arial"/>
          <w:sz w:val="20"/>
          <w:szCs w:val="20"/>
        </w:rPr>
        <w:t xml:space="preserve">con fundamento en el </w:t>
      </w:r>
      <w:r w:rsidR="006D148F">
        <w:rPr>
          <w:rFonts w:ascii="Arial" w:eastAsia="Calibri" w:hAnsi="Arial" w:cs="Arial"/>
          <w:sz w:val="20"/>
          <w:szCs w:val="20"/>
        </w:rPr>
        <w:t>artículo</w:t>
      </w:r>
      <w:r>
        <w:rPr>
          <w:rFonts w:ascii="Arial" w:eastAsia="Calibri" w:hAnsi="Arial" w:cs="Arial"/>
          <w:sz w:val="20"/>
          <w:szCs w:val="20"/>
        </w:rPr>
        <w:t xml:space="preserve"> 185 de la </w:t>
      </w:r>
      <w:r w:rsidRPr="00015E93">
        <w:rPr>
          <w:rFonts w:ascii="Arial" w:eastAsia="Calibri" w:hAnsi="Arial" w:cs="Arial"/>
          <w:b/>
          <w:sz w:val="20"/>
          <w:szCs w:val="20"/>
        </w:rPr>
        <w:t xml:space="preserve">Ley de Justicia Administrativa </w:t>
      </w:r>
      <w:r w:rsidR="00015E93" w:rsidRPr="00015E93">
        <w:rPr>
          <w:rFonts w:ascii="Arial" w:eastAsia="Calibri" w:hAnsi="Arial" w:cs="Arial"/>
          <w:b/>
          <w:sz w:val="20"/>
          <w:szCs w:val="20"/>
        </w:rPr>
        <w:t xml:space="preserve">para el Estado de </w:t>
      </w:r>
      <w:r w:rsidR="00015E93" w:rsidRPr="00015E93">
        <w:rPr>
          <w:rFonts w:ascii="Arial" w:eastAsia="Calibri" w:hAnsi="Arial" w:cs="Arial"/>
          <w:b/>
          <w:sz w:val="20"/>
          <w:szCs w:val="20"/>
        </w:rPr>
        <w:lastRenderedPageBreak/>
        <w:t>Oaxaca</w:t>
      </w:r>
      <w:r w:rsidR="00015E93">
        <w:rPr>
          <w:rFonts w:ascii="Arial" w:eastAsia="Calibri" w:hAnsi="Arial" w:cs="Arial"/>
          <w:b/>
          <w:sz w:val="20"/>
          <w:szCs w:val="20"/>
        </w:rPr>
        <w:t xml:space="preserve"> </w:t>
      </w:r>
      <w:r w:rsidR="00015E93">
        <w:rPr>
          <w:rFonts w:ascii="Arial" w:eastAsia="Calibri" w:hAnsi="Arial" w:cs="Arial"/>
          <w:sz w:val="20"/>
          <w:szCs w:val="20"/>
        </w:rPr>
        <w:t xml:space="preserve">solicito la suspensión del acto impugnado, para el efecto de que la autoridad demandada, haga entrega de la tarjeta de circulación, lo anterior, toda vez que de acuerdo a la ley correspondiente todo </w:t>
      </w:r>
      <w:r w:rsidR="006D148F">
        <w:rPr>
          <w:rFonts w:ascii="Arial" w:eastAsia="Calibri" w:hAnsi="Arial" w:cs="Arial"/>
          <w:sz w:val="20"/>
          <w:szCs w:val="20"/>
        </w:rPr>
        <w:t>vehículo</w:t>
      </w:r>
      <w:r w:rsidR="00015E93">
        <w:rPr>
          <w:rFonts w:ascii="Arial" w:eastAsia="Calibri" w:hAnsi="Arial" w:cs="Arial"/>
          <w:sz w:val="20"/>
          <w:szCs w:val="20"/>
        </w:rPr>
        <w:t xml:space="preserve"> para poder circular debe estar previsto de tarjeta de circulación, de todos modos se conserva la materia del presente juicio, y no se afecta el interés social, ni se contravengan disposiciones de orden </w:t>
      </w:r>
      <w:r w:rsidR="006D148F">
        <w:rPr>
          <w:rFonts w:ascii="Arial" w:eastAsia="Calibri" w:hAnsi="Arial" w:cs="Arial"/>
          <w:sz w:val="20"/>
          <w:szCs w:val="20"/>
        </w:rPr>
        <w:t>público</w:t>
      </w:r>
      <w:r w:rsidR="00015E93">
        <w:rPr>
          <w:rFonts w:ascii="Arial" w:eastAsia="Calibri" w:hAnsi="Arial" w:cs="Arial"/>
          <w:sz w:val="20"/>
          <w:szCs w:val="20"/>
        </w:rPr>
        <w:t xml:space="preserve">, y de no concederse la </w:t>
      </w:r>
      <w:r w:rsidR="006D148F">
        <w:rPr>
          <w:rFonts w:ascii="Arial" w:eastAsia="Calibri" w:hAnsi="Arial" w:cs="Arial"/>
          <w:sz w:val="20"/>
          <w:szCs w:val="20"/>
        </w:rPr>
        <w:t>suspensión</w:t>
      </w:r>
      <w:r w:rsidR="00015E93">
        <w:rPr>
          <w:rFonts w:ascii="Arial" w:eastAsia="Calibri" w:hAnsi="Arial" w:cs="Arial"/>
          <w:sz w:val="20"/>
          <w:szCs w:val="20"/>
        </w:rPr>
        <w:t xml:space="preserve"> del acto impugnado se producen daños y perju</w:t>
      </w:r>
      <w:r w:rsidR="006D148F">
        <w:rPr>
          <w:rFonts w:ascii="Arial" w:eastAsia="Calibri" w:hAnsi="Arial" w:cs="Arial"/>
          <w:sz w:val="20"/>
          <w:szCs w:val="20"/>
        </w:rPr>
        <w:t>icios al suscrito, pues no podré</w:t>
      </w:r>
      <w:r w:rsidR="00015E93">
        <w:rPr>
          <w:rFonts w:ascii="Arial" w:eastAsia="Calibri" w:hAnsi="Arial" w:cs="Arial"/>
          <w:sz w:val="20"/>
          <w:szCs w:val="20"/>
        </w:rPr>
        <w:t xml:space="preserve"> utilizar y transitar libremente con mi </w:t>
      </w:r>
      <w:r w:rsidR="006D148F">
        <w:rPr>
          <w:rFonts w:ascii="Arial" w:eastAsia="Calibri" w:hAnsi="Arial" w:cs="Arial"/>
          <w:sz w:val="20"/>
          <w:szCs w:val="20"/>
        </w:rPr>
        <w:t>vehículo</w:t>
      </w:r>
      <w:r w:rsidR="00015E93">
        <w:rPr>
          <w:rFonts w:ascii="Arial" w:eastAsia="Calibri" w:hAnsi="Arial" w:cs="Arial"/>
          <w:sz w:val="20"/>
          <w:szCs w:val="20"/>
        </w:rPr>
        <w:t>, mismo que es de suma importancia para desempeñar mis actividades</w:t>
      </w:r>
      <w:r w:rsidR="004D7FD0">
        <w:rPr>
          <w:rFonts w:ascii="Arial" w:eastAsia="Calibri" w:hAnsi="Arial" w:cs="Arial"/>
          <w:sz w:val="20"/>
          <w:szCs w:val="20"/>
        </w:rPr>
        <w:t xml:space="preserve">, atentando contra mi derecho humano a la propiedad y al libre </w:t>
      </w:r>
      <w:r w:rsidR="006D148F">
        <w:rPr>
          <w:rFonts w:ascii="Arial" w:eastAsia="Calibri" w:hAnsi="Arial" w:cs="Arial"/>
          <w:sz w:val="20"/>
          <w:szCs w:val="20"/>
        </w:rPr>
        <w:t>tránsito</w:t>
      </w:r>
      <w:r w:rsidR="004D7FD0">
        <w:rPr>
          <w:rFonts w:ascii="Arial" w:eastAsia="Calibri" w:hAnsi="Arial" w:cs="Arial"/>
          <w:sz w:val="20"/>
          <w:szCs w:val="20"/>
        </w:rPr>
        <w:t>…”</w:t>
      </w:r>
      <w:r w:rsidR="004D7FD0">
        <w:rPr>
          <w:rFonts w:ascii="Arial" w:eastAsia="Calibri" w:hAnsi="Arial" w:cs="Arial"/>
          <w:sz w:val="24"/>
          <w:szCs w:val="24"/>
        </w:rPr>
        <w:t xml:space="preserve">. Con fundamento en los artículos 185 fracciones I,II, 188 fracciones III,IV, incisos a), b), c), d), de la Ley de Justicia </w:t>
      </w:r>
      <w:r w:rsidR="006D148F">
        <w:rPr>
          <w:rFonts w:ascii="Arial" w:eastAsia="Calibri" w:hAnsi="Arial" w:cs="Arial"/>
          <w:sz w:val="24"/>
          <w:szCs w:val="24"/>
        </w:rPr>
        <w:t>Administrativa</w:t>
      </w:r>
      <w:r w:rsidR="004D7FD0">
        <w:rPr>
          <w:rFonts w:ascii="Arial" w:eastAsia="Calibri" w:hAnsi="Arial" w:cs="Arial"/>
          <w:sz w:val="24"/>
          <w:szCs w:val="24"/>
        </w:rPr>
        <w:t xml:space="preserve"> para el Estado de Oaxaca, </w:t>
      </w:r>
      <w:r w:rsidR="004D7FD0">
        <w:rPr>
          <w:rFonts w:ascii="Arial" w:eastAsia="Calibri" w:hAnsi="Arial" w:cs="Arial"/>
          <w:b/>
          <w:sz w:val="24"/>
          <w:szCs w:val="24"/>
          <w:u w:val="single"/>
        </w:rPr>
        <w:t xml:space="preserve">se concede la suspensión provisional a </w:t>
      </w:r>
      <w:r w:rsidR="001C21D1">
        <w:rPr>
          <w:rFonts w:ascii="Arial" w:eastAsia="Calibri" w:hAnsi="Arial" w:cs="Arial"/>
          <w:b/>
          <w:sz w:val="24"/>
          <w:szCs w:val="24"/>
          <w:u w:val="single"/>
        </w:rPr>
        <w:t>**********</w:t>
      </w:r>
      <w:r w:rsidR="004D7FD0">
        <w:rPr>
          <w:rFonts w:ascii="Arial" w:eastAsia="Calibri" w:hAnsi="Arial" w:cs="Arial"/>
          <w:b/>
          <w:sz w:val="24"/>
          <w:szCs w:val="24"/>
          <w:u w:val="single"/>
        </w:rPr>
        <w:t xml:space="preserve">, </w:t>
      </w:r>
      <w:r w:rsidR="004D7FD0">
        <w:rPr>
          <w:rFonts w:ascii="Arial" w:eastAsia="Calibri" w:hAnsi="Arial" w:cs="Arial"/>
          <w:b/>
          <w:sz w:val="24"/>
          <w:szCs w:val="24"/>
        </w:rPr>
        <w:t xml:space="preserve">para el efecto de que la autoridad demandada devuelva la tarjeta de circulación del </w:t>
      </w:r>
      <w:r w:rsidR="006D148F">
        <w:rPr>
          <w:rFonts w:ascii="Arial" w:eastAsia="Calibri" w:hAnsi="Arial" w:cs="Arial"/>
          <w:b/>
          <w:sz w:val="24"/>
          <w:szCs w:val="24"/>
        </w:rPr>
        <w:t>Vehículo</w:t>
      </w:r>
      <w:r w:rsidR="004D7FD0">
        <w:rPr>
          <w:rFonts w:ascii="Arial" w:eastAsia="Calibri" w:hAnsi="Arial" w:cs="Arial"/>
          <w:b/>
          <w:sz w:val="24"/>
          <w:szCs w:val="24"/>
        </w:rPr>
        <w:t xml:space="preserve"> Marca FORD, </w:t>
      </w:r>
      <w:proofErr w:type="spellStart"/>
      <w:r w:rsidR="004D7FD0">
        <w:rPr>
          <w:rFonts w:ascii="Arial" w:eastAsia="Calibri" w:hAnsi="Arial" w:cs="Arial"/>
          <w:b/>
          <w:sz w:val="24"/>
          <w:szCs w:val="24"/>
        </w:rPr>
        <w:t>Submarca</w:t>
      </w:r>
      <w:proofErr w:type="spellEnd"/>
      <w:r w:rsidR="004D7FD0">
        <w:rPr>
          <w:rFonts w:ascii="Arial" w:eastAsia="Calibri" w:hAnsi="Arial" w:cs="Arial"/>
          <w:b/>
          <w:sz w:val="24"/>
          <w:szCs w:val="24"/>
        </w:rPr>
        <w:t xml:space="preserve"> FIESTA, Modelo 2010,</w:t>
      </w:r>
      <w:r w:rsidR="001C21D1">
        <w:rPr>
          <w:rFonts w:ascii="Arial" w:eastAsia="Calibri" w:hAnsi="Arial" w:cs="Arial"/>
          <w:b/>
          <w:sz w:val="24"/>
          <w:szCs w:val="24"/>
        </w:rPr>
        <w:t>**********</w:t>
      </w:r>
      <w:r w:rsidR="004D7FD0">
        <w:rPr>
          <w:rFonts w:ascii="Arial" w:eastAsia="Calibri" w:hAnsi="Arial" w:cs="Arial"/>
          <w:b/>
          <w:sz w:val="24"/>
          <w:szCs w:val="24"/>
        </w:rPr>
        <w:t xml:space="preserve">; </w:t>
      </w:r>
      <w:r w:rsidR="004D7FD0">
        <w:rPr>
          <w:rFonts w:ascii="Arial" w:eastAsia="Calibri" w:hAnsi="Arial" w:cs="Arial"/>
          <w:sz w:val="24"/>
          <w:szCs w:val="24"/>
        </w:rPr>
        <w:t xml:space="preserve">tomando en </w:t>
      </w:r>
      <w:r w:rsidR="006D148F">
        <w:rPr>
          <w:rFonts w:ascii="Arial" w:eastAsia="Calibri" w:hAnsi="Arial" w:cs="Arial"/>
          <w:sz w:val="24"/>
          <w:szCs w:val="24"/>
        </w:rPr>
        <w:t>consideración</w:t>
      </w:r>
      <w:r w:rsidR="004D7FD0">
        <w:rPr>
          <w:rFonts w:ascii="Arial" w:eastAsia="Calibri" w:hAnsi="Arial" w:cs="Arial"/>
          <w:sz w:val="24"/>
          <w:szCs w:val="24"/>
        </w:rPr>
        <w:t xml:space="preserve"> que el acto impugnado no es un acto consumado, en virtud de que su ejecución trasciende al futuro, trayendo como consecuencia que la parte actora </w:t>
      </w:r>
      <w:r w:rsidR="002C2DFD">
        <w:rPr>
          <w:rFonts w:ascii="Arial" w:eastAsia="Calibri" w:hAnsi="Arial" w:cs="Arial"/>
          <w:sz w:val="24"/>
          <w:szCs w:val="24"/>
        </w:rPr>
        <w:t>se vea afectada en su derecho de conducir y, al concederse la medida c</w:t>
      </w:r>
      <w:r w:rsidR="000E2C3D">
        <w:rPr>
          <w:rFonts w:ascii="Arial" w:eastAsia="Calibri" w:hAnsi="Arial" w:cs="Arial"/>
          <w:sz w:val="24"/>
          <w:szCs w:val="24"/>
        </w:rPr>
        <w:t>autelar solicitada, se deja la situación</w:t>
      </w:r>
      <w:r w:rsidR="002C2DFD">
        <w:rPr>
          <w:rFonts w:ascii="Arial" w:eastAsia="Calibri" w:hAnsi="Arial" w:cs="Arial"/>
          <w:sz w:val="24"/>
          <w:szCs w:val="24"/>
        </w:rPr>
        <w:t xml:space="preserve"> jurídica que existía antes de que tuviera lugar en el acto reclamado, pero sin </w:t>
      </w:r>
      <w:proofErr w:type="spellStart"/>
      <w:r w:rsidR="002C2DFD">
        <w:rPr>
          <w:rFonts w:ascii="Arial" w:eastAsia="Calibri" w:hAnsi="Arial" w:cs="Arial"/>
          <w:sz w:val="24"/>
          <w:szCs w:val="24"/>
        </w:rPr>
        <w:t>nulificarlo</w:t>
      </w:r>
      <w:proofErr w:type="spellEnd"/>
      <w:r w:rsidR="002C2DFD">
        <w:rPr>
          <w:rFonts w:ascii="Arial" w:eastAsia="Calibri" w:hAnsi="Arial" w:cs="Arial"/>
          <w:sz w:val="24"/>
          <w:szCs w:val="24"/>
        </w:rPr>
        <w:t xml:space="preserve"> por parte de esta Sala, si otorgarse en ellos efectos restitutorios a la suspensión, ya que dicha determinación es propia de la sentencia que se dicte en el expediente principal. Sirve de sustento la Jurisprudencia por Contradicción de Tesis, de la Segunda Sala de la Suprema Corte de J</w:t>
      </w:r>
      <w:r w:rsidR="000E2C3D">
        <w:rPr>
          <w:rFonts w:ascii="Arial" w:eastAsia="Calibri" w:hAnsi="Arial" w:cs="Arial"/>
          <w:sz w:val="24"/>
          <w:szCs w:val="24"/>
        </w:rPr>
        <w:t xml:space="preserve">usticia de la </w:t>
      </w:r>
      <w:r w:rsidR="006D148F">
        <w:rPr>
          <w:rFonts w:ascii="Arial" w:eastAsia="Calibri" w:hAnsi="Arial" w:cs="Arial"/>
          <w:sz w:val="24"/>
          <w:szCs w:val="24"/>
        </w:rPr>
        <w:t>Nación</w:t>
      </w:r>
      <w:r w:rsidR="000E2C3D">
        <w:rPr>
          <w:rFonts w:ascii="Arial" w:eastAsia="Calibri" w:hAnsi="Arial" w:cs="Arial"/>
          <w:sz w:val="24"/>
          <w:szCs w:val="24"/>
        </w:rPr>
        <w:t xml:space="preserve">, Publicada </w:t>
      </w:r>
      <w:r w:rsidR="002C2DFD">
        <w:rPr>
          <w:rFonts w:ascii="Arial" w:eastAsia="Calibri" w:hAnsi="Arial" w:cs="Arial"/>
          <w:sz w:val="24"/>
          <w:szCs w:val="24"/>
        </w:rPr>
        <w:t xml:space="preserve">en el Semanario Judicial de la </w:t>
      </w:r>
      <w:r w:rsidR="006D148F">
        <w:rPr>
          <w:rFonts w:ascii="Arial" w:eastAsia="Calibri" w:hAnsi="Arial" w:cs="Arial"/>
          <w:sz w:val="24"/>
          <w:szCs w:val="24"/>
        </w:rPr>
        <w:t>Federación</w:t>
      </w:r>
      <w:r w:rsidR="002C2DFD">
        <w:rPr>
          <w:rFonts w:ascii="Arial" w:eastAsia="Calibri" w:hAnsi="Arial" w:cs="Arial"/>
          <w:sz w:val="24"/>
          <w:szCs w:val="24"/>
        </w:rPr>
        <w:t xml:space="preserve"> y su Gaceta, Tomo XXX, Diciembre de 2009, visible a </w:t>
      </w:r>
      <w:r w:rsidR="000E2C3D">
        <w:rPr>
          <w:rFonts w:ascii="Arial" w:eastAsia="Calibri" w:hAnsi="Arial" w:cs="Arial"/>
          <w:sz w:val="24"/>
          <w:szCs w:val="24"/>
        </w:rPr>
        <w:t xml:space="preserve">pagina 315, Novena </w:t>
      </w:r>
      <w:r w:rsidR="006D148F">
        <w:rPr>
          <w:rFonts w:ascii="Arial" w:eastAsia="Calibri" w:hAnsi="Arial" w:cs="Arial"/>
          <w:sz w:val="24"/>
          <w:szCs w:val="24"/>
        </w:rPr>
        <w:t>Época</w:t>
      </w:r>
      <w:r w:rsidR="000E2C3D">
        <w:rPr>
          <w:rFonts w:ascii="Arial" w:eastAsia="Calibri" w:hAnsi="Arial" w:cs="Arial"/>
          <w:sz w:val="24"/>
          <w:szCs w:val="24"/>
        </w:rPr>
        <w:t>, de rubro y tenor siguientes:</w:t>
      </w:r>
    </w:p>
    <w:p w:rsidR="00410447" w:rsidRDefault="00083389" w:rsidP="00410447">
      <w:pPr>
        <w:spacing w:after="0" w:line="360" w:lineRule="auto"/>
        <w:ind w:left="851" w:right="616"/>
        <w:jc w:val="both"/>
        <w:rPr>
          <w:rFonts w:ascii="Arial" w:eastAsia="Calibri" w:hAnsi="Arial" w:cs="Arial"/>
          <w:b/>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3BC117D" wp14:editId="30F792F8">
                <wp:simplePos x="0" y="0"/>
                <wp:positionH relativeFrom="column">
                  <wp:posOffset>5430741</wp:posOffset>
                </wp:positionH>
                <wp:positionV relativeFrom="paragraph">
                  <wp:posOffset>572853</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3389" w:rsidRDefault="00083389" w:rsidP="0008338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C117D" id="_x0000_t202" coordsize="21600,21600" o:spt="202" path="m,l,21600r21600,l21600,xe">
                <v:stroke joinstyle="miter"/>
                <v:path gradientshapeok="t" o:connecttype="rect"/>
              </v:shapetype>
              <v:shape id="Cuadro de texto 1" o:spid="_x0000_s1026" type="#_x0000_t202" style="position:absolute;left:0;text-align:left;margin-left:427.6pt;margin-top:45.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">
                <v:textbox>
                  <w:txbxContent>
                    <w:p w:rsidR="00083389" w:rsidRDefault="00083389" w:rsidP="00083389">
                      <w:pPr>
                        <w:rPr>
                          <w:sz w:val="16"/>
                          <w:szCs w:val="16"/>
                        </w:rPr>
                      </w:pPr>
                      <w:r>
                        <w:rPr>
                          <w:sz w:val="16"/>
                          <w:szCs w:val="16"/>
                        </w:rPr>
                        <w:t>Datos personales protegidos por el Art. 116 de la LGTAIP y el Art. 56 de la LTAIPEO</w:t>
                      </w:r>
                    </w:p>
                  </w:txbxContent>
                </v:textbox>
              </v:shape>
            </w:pict>
          </mc:Fallback>
        </mc:AlternateContent>
      </w:r>
      <w:r w:rsidR="000E2C3D">
        <w:rPr>
          <w:rFonts w:ascii="Arial" w:eastAsia="Calibri" w:hAnsi="Arial" w:cs="Arial"/>
          <w:sz w:val="24"/>
          <w:szCs w:val="24"/>
        </w:rPr>
        <w:t>“</w:t>
      </w:r>
      <w:r w:rsidR="00ED5260">
        <w:rPr>
          <w:rFonts w:ascii="Arial" w:eastAsia="Calibri" w:hAnsi="Arial" w:cs="Arial"/>
          <w:b/>
          <w:sz w:val="24"/>
          <w:szCs w:val="24"/>
        </w:rPr>
        <w:t>SUSPENSIÓN. PARA DECIDIR SOBRE SU OTORGAMIENTO EL JUZGADOR DEBE PONDERAR SIMULTÁNEAMENTE LA APARIENCIA DEL BUEN DERECHO CON EL PERJUICIO AL INTERES SOCIAL O AL ORDEN PÚBLICO. …”</w:t>
      </w:r>
    </w:p>
    <w:p w:rsidR="00410447" w:rsidRPr="00D44A24" w:rsidRDefault="00ED5260" w:rsidP="00D44A24">
      <w:pPr>
        <w:spacing w:after="0" w:line="360" w:lineRule="auto"/>
        <w:ind w:right="616"/>
        <w:jc w:val="both"/>
        <w:rPr>
          <w:rFonts w:ascii="Arial" w:hAnsi="Arial" w:cs="Arial"/>
          <w:bCs/>
          <w:iCs/>
          <w:sz w:val="24"/>
          <w:szCs w:val="24"/>
          <w:u w:val="single"/>
        </w:rPr>
      </w:pPr>
      <w:r>
        <w:rPr>
          <w:rFonts w:ascii="Arial" w:eastAsia="Calibri" w:hAnsi="Arial" w:cs="Arial"/>
          <w:sz w:val="24"/>
          <w:szCs w:val="24"/>
        </w:rPr>
        <w:t xml:space="preserve">                  Por otra parte</w:t>
      </w:r>
      <w:r w:rsidR="003D7C0E">
        <w:rPr>
          <w:rFonts w:ascii="Arial" w:eastAsia="Calibri" w:hAnsi="Arial" w:cs="Arial"/>
          <w:sz w:val="24"/>
          <w:szCs w:val="24"/>
        </w:rPr>
        <w:t>,</w:t>
      </w:r>
      <w:r>
        <w:rPr>
          <w:rFonts w:ascii="Arial" w:eastAsia="Calibri" w:hAnsi="Arial" w:cs="Arial"/>
          <w:sz w:val="24"/>
          <w:szCs w:val="24"/>
        </w:rPr>
        <w:t xml:space="preserve"> </w:t>
      </w:r>
      <w:r w:rsidR="003D7C0E" w:rsidRPr="003D7C0E">
        <w:rPr>
          <w:rFonts w:ascii="Arial" w:eastAsia="Calibri" w:hAnsi="Arial" w:cs="Arial"/>
          <w:sz w:val="24"/>
          <w:szCs w:val="24"/>
          <w:u w:val="single"/>
        </w:rPr>
        <w:t>se requiere a la autoridad demandada, Eduardo HDZ. (</w:t>
      </w:r>
      <w:r w:rsidR="006D148F" w:rsidRPr="003D7C0E">
        <w:rPr>
          <w:rFonts w:ascii="Arial" w:eastAsia="Calibri" w:hAnsi="Arial" w:cs="Arial"/>
          <w:sz w:val="24"/>
          <w:szCs w:val="24"/>
          <w:u w:val="single"/>
        </w:rPr>
        <w:t>Sic</w:t>
      </w:r>
      <w:r w:rsidR="003D7C0E" w:rsidRPr="003D7C0E">
        <w:rPr>
          <w:rFonts w:ascii="Arial" w:eastAsia="Calibri" w:hAnsi="Arial" w:cs="Arial"/>
          <w:sz w:val="24"/>
          <w:szCs w:val="24"/>
          <w:u w:val="single"/>
        </w:rPr>
        <w:t xml:space="preserve">) Mendoza en su carácter de </w:t>
      </w:r>
      <w:r w:rsidR="006D148F" w:rsidRPr="003D7C0E">
        <w:rPr>
          <w:rFonts w:ascii="Arial" w:eastAsia="Calibri" w:hAnsi="Arial" w:cs="Arial"/>
          <w:sz w:val="24"/>
          <w:szCs w:val="24"/>
          <w:u w:val="single"/>
        </w:rPr>
        <w:t>Policía</w:t>
      </w:r>
      <w:r w:rsidR="003D7C0E" w:rsidRPr="003D7C0E">
        <w:rPr>
          <w:rFonts w:ascii="Arial" w:eastAsia="Calibri" w:hAnsi="Arial" w:cs="Arial"/>
          <w:sz w:val="24"/>
          <w:szCs w:val="24"/>
          <w:u w:val="single"/>
        </w:rPr>
        <w:t xml:space="preserve"> Vial Estatal, para que dentro del plazo de tres días hábiles contados a partir del </w:t>
      </w:r>
      <w:r w:rsidR="006D148F" w:rsidRPr="003D7C0E">
        <w:rPr>
          <w:rFonts w:ascii="Arial" w:eastAsia="Calibri" w:hAnsi="Arial" w:cs="Arial"/>
          <w:sz w:val="24"/>
          <w:szCs w:val="24"/>
          <w:u w:val="single"/>
        </w:rPr>
        <w:t>día</w:t>
      </w:r>
      <w:r w:rsidR="003D7C0E" w:rsidRPr="003D7C0E">
        <w:rPr>
          <w:rFonts w:ascii="Arial" w:eastAsia="Calibri" w:hAnsi="Arial" w:cs="Arial"/>
          <w:sz w:val="24"/>
          <w:szCs w:val="24"/>
          <w:u w:val="single"/>
        </w:rPr>
        <w:t xml:space="preserve"> hábil siguiente en que surta efectos la </w:t>
      </w:r>
      <w:r w:rsidR="006D148F" w:rsidRPr="003D7C0E">
        <w:rPr>
          <w:rFonts w:ascii="Arial" w:eastAsia="Calibri" w:hAnsi="Arial" w:cs="Arial"/>
          <w:sz w:val="24"/>
          <w:szCs w:val="24"/>
          <w:u w:val="single"/>
        </w:rPr>
        <w:t>notificación</w:t>
      </w:r>
      <w:r w:rsidR="003D7C0E" w:rsidRPr="003D7C0E">
        <w:rPr>
          <w:rFonts w:ascii="Arial" w:eastAsia="Calibri" w:hAnsi="Arial" w:cs="Arial"/>
          <w:sz w:val="24"/>
          <w:szCs w:val="24"/>
          <w:u w:val="single"/>
        </w:rPr>
        <w:t xml:space="preserve"> del presente acuerdo, rinda su informe sobre los hechos materia del acto administrativo que impugna el actor, apercibido que de no rendirlo , esta Sala resolverá sobre la suspensión definitiva con o sin informe,</w:t>
      </w:r>
      <w:r w:rsidR="003D7C0E">
        <w:rPr>
          <w:rFonts w:ascii="Arial" w:eastAsia="Calibri" w:hAnsi="Arial" w:cs="Arial"/>
          <w:sz w:val="24"/>
          <w:szCs w:val="24"/>
        </w:rPr>
        <w:t xml:space="preserve"> con fundamento en el </w:t>
      </w:r>
      <w:r w:rsidR="006D148F">
        <w:rPr>
          <w:rFonts w:ascii="Arial" w:eastAsia="Calibri" w:hAnsi="Arial" w:cs="Arial"/>
          <w:sz w:val="24"/>
          <w:szCs w:val="24"/>
        </w:rPr>
        <w:t>artículo</w:t>
      </w:r>
      <w:r w:rsidR="003D7C0E">
        <w:rPr>
          <w:rFonts w:ascii="Arial" w:eastAsia="Calibri" w:hAnsi="Arial" w:cs="Arial"/>
          <w:sz w:val="24"/>
          <w:szCs w:val="24"/>
        </w:rPr>
        <w:t xml:space="preserve"> 188 </w:t>
      </w:r>
      <w:r w:rsidR="006D148F">
        <w:rPr>
          <w:rFonts w:ascii="Arial" w:eastAsia="Calibri" w:hAnsi="Arial" w:cs="Arial"/>
          <w:sz w:val="24"/>
          <w:szCs w:val="24"/>
        </w:rPr>
        <w:t>fracción</w:t>
      </w:r>
      <w:r w:rsidR="003D7C0E">
        <w:rPr>
          <w:rFonts w:ascii="Arial" w:eastAsia="Calibri" w:hAnsi="Arial" w:cs="Arial"/>
          <w:sz w:val="24"/>
          <w:szCs w:val="24"/>
        </w:rPr>
        <w:t xml:space="preserve"> IV, inciso d) de la Ley que </w:t>
      </w:r>
      <w:r w:rsidR="003D7C0E">
        <w:rPr>
          <w:rFonts w:ascii="Arial" w:eastAsia="Calibri" w:hAnsi="Arial" w:cs="Arial"/>
          <w:sz w:val="24"/>
          <w:szCs w:val="24"/>
        </w:rPr>
        <w:lastRenderedPageBreak/>
        <w:t xml:space="preserve">rige </w:t>
      </w:r>
      <w:r w:rsidR="00004471">
        <w:rPr>
          <w:rFonts w:ascii="Arial" w:eastAsia="Calibri" w:hAnsi="Arial" w:cs="Arial"/>
          <w:sz w:val="24"/>
          <w:szCs w:val="24"/>
        </w:rPr>
        <w:t xml:space="preserve">a este Tribunal; </w:t>
      </w:r>
      <w:r w:rsidR="00004471" w:rsidRPr="00004471">
        <w:rPr>
          <w:rFonts w:ascii="Arial" w:eastAsia="Calibri" w:hAnsi="Arial" w:cs="Arial"/>
          <w:sz w:val="24"/>
          <w:szCs w:val="24"/>
          <w:u w:val="single"/>
        </w:rPr>
        <w:t xml:space="preserve">asimismo, al momento </w:t>
      </w:r>
      <w:r w:rsidR="00004471">
        <w:rPr>
          <w:rFonts w:ascii="Arial" w:eastAsia="Calibri" w:hAnsi="Arial" w:cs="Arial"/>
          <w:sz w:val="24"/>
          <w:szCs w:val="24"/>
          <w:u w:val="single"/>
        </w:rPr>
        <w:t>en</w:t>
      </w:r>
      <w:r w:rsidR="00004471" w:rsidRPr="00004471">
        <w:rPr>
          <w:rFonts w:ascii="Arial" w:eastAsia="Calibri" w:hAnsi="Arial" w:cs="Arial"/>
          <w:sz w:val="24"/>
          <w:szCs w:val="24"/>
          <w:u w:val="single"/>
        </w:rPr>
        <w:t xml:space="preserve"> que rinda </w:t>
      </w:r>
      <w:r w:rsidR="00004471">
        <w:rPr>
          <w:rFonts w:ascii="Arial" w:eastAsia="Calibri" w:hAnsi="Arial" w:cs="Arial"/>
          <w:sz w:val="24"/>
          <w:szCs w:val="24"/>
          <w:u w:val="single"/>
        </w:rPr>
        <w:t xml:space="preserve">su </w:t>
      </w:r>
      <w:r w:rsidR="00004471" w:rsidRPr="00004471">
        <w:rPr>
          <w:rFonts w:ascii="Arial" w:eastAsia="Calibri" w:hAnsi="Arial" w:cs="Arial"/>
          <w:sz w:val="24"/>
          <w:szCs w:val="24"/>
          <w:u w:val="single"/>
        </w:rPr>
        <w:t xml:space="preserve">informe </w:t>
      </w:r>
      <w:r w:rsidR="00004471">
        <w:rPr>
          <w:rFonts w:ascii="Arial" w:eastAsia="Calibri" w:hAnsi="Arial" w:cs="Arial"/>
          <w:sz w:val="24"/>
          <w:szCs w:val="24"/>
          <w:u w:val="single"/>
        </w:rPr>
        <w:t xml:space="preserve">, deberá exhibir copia certificada del documento donde conste su nombramiento y la toma de protesta al cargo que ostenta, con fundamento en los artículos 140 de la </w:t>
      </w:r>
      <w:r w:rsidR="006D148F">
        <w:rPr>
          <w:rFonts w:ascii="Arial" w:eastAsia="Calibri" w:hAnsi="Arial" w:cs="Arial"/>
          <w:sz w:val="24"/>
          <w:szCs w:val="24"/>
          <w:u w:val="single"/>
        </w:rPr>
        <w:t>Constitución</w:t>
      </w:r>
      <w:r w:rsidR="00004471">
        <w:rPr>
          <w:rFonts w:ascii="Arial" w:eastAsia="Calibri" w:hAnsi="Arial" w:cs="Arial"/>
          <w:sz w:val="24"/>
          <w:szCs w:val="24"/>
          <w:u w:val="single"/>
        </w:rPr>
        <w:t xml:space="preserve"> </w:t>
      </w:r>
      <w:r w:rsidR="006D148F">
        <w:rPr>
          <w:rFonts w:ascii="Arial" w:eastAsia="Calibri" w:hAnsi="Arial" w:cs="Arial"/>
          <w:sz w:val="24"/>
          <w:szCs w:val="24"/>
          <w:u w:val="single"/>
        </w:rPr>
        <w:t>Política</w:t>
      </w:r>
      <w:r w:rsidR="00004471">
        <w:rPr>
          <w:rFonts w:ascii="Arial" w:eastAsia="Calibri" w:hAnsi="Arial" w:cs="Arial"/>
          <w:sz w:val="24"/>
          <w:szCs w:val="24"/>
          <w:u w:val="single"/>
        </w:rPr>
        <w:t xml:space="preserve"> del Estado Libre y Soberano de Oaxaca y 120 de la Ley de Justicia Administrativa para el Estado de Oaxaca y 120 de la Ley de Justicia Administrativa para el Estado de Oaxaca, al formarse el presente cuaderno por cuerda separada y ser independiente su </w:t>
      </w:r>
      <w:r w:rsidR="006D148F">
        <w:rPr>
          <w:rFonts w:ascii="Arial" w:eastAsia="Calibri" w:hAnsi="Arial" w:cs="Arial"/>
          <w:sz w:val="24"/>
          <w:szCs w:val="24"/>
          <w:u w:val="single"/>
        </w:rPr>
        <w:t>trámite</w:t>
      </w:r>
      <w:r w:rsidR="00004471">
        <w:rPr>
          <w:rFonts w:ascii="Arial" w:eastAsia="Calibri" w:hAnsi="Arial" w:cs="Arial"/>
          <w:sz w:val="24"/>
          <w:szCs w:val="24"/>
          <w:u w:val="single"/>
        </w:rPr>
        <w:t xml:space="preserve"> al del juicio principal, apercibido que de no exhibirlo, no se tendrá por rendido su informe y por </w:t>
      </w:r>
      <w:proofErr w:type="spellStart"/>
      <w:r w:rsidR="00004471">
        <w:rPr>
          <w:rFonts w:ascii="Arial" w:eastAsia="Calibri" w:hAnsi="Arial" w:cs="Arial"/>
          <w:sz w:val="24"/>
          <w:szCs w:val="24"/>
          <w:u w:val="single"/>
        </w:rPr>
        <w:t>pre</w:t>
      </w:r>
      <w:r w:rsidR="006D148F">
        <w:rPr>
          <w:rFonts w:ascii="Arial" w:eastAsia="Calibri" w:hAnsi="Arial" w:cs="Arial"/>
          <w:sz w:val="24"/>
          <w:szCs w:val="24"/>
          <w:u w:val="single"/>
        </w:rPr>
        <w:t>cluído</w:t>
      </w:r>
      <w:proofErr w:type="spellEnd"/>
      <w:r w:rsidR="006D148F">
        <w:rPr>
          <w:rFonts w:ascii="Arial" w:eastAsia="Calibri" w:hAnsi="Arial" w:cs="Arial"/>
          <w:sz w:val="24"/>
          <w:szCs w:val="24"/>
          <w:u w:val="single"/>
        </w:rPr>
        <w:t xml:space="preserve"> su derecho para hacerlo…</w:t>
      </w:r>
      <w:r w:rsidR="00410447" w:rsidRPr="00004471">
        <w:rPr>
          <w:rFonts w:ascii="Arial" w:hAnsi="Arial" w:cs="Arial"/>
          <w:b/>
          <w:bCs/>
          <w:i/>
          <w:iCs/>
          <w:u w:val="single"/>
        </w:rPr>
        <w:t>”</w:t>
      </w:r>
    </w:p>
    <w:p w:rsidR="00410447" w:rsidRPr="00410447" w:rsidRDefault="00410447" w:rsidP="00410447">
      <w:pPr>
        <w:widowControl w:val="0"/>
        <w:tabs>
          <w:tab w:val="left" w:pos="2835"/>
          <w:tab w:val="left" w:pos="7938"/>
        </w:tabs>
        <w:spacing w:before="240" w:after="0" w:line="360" w:lineRule="auto"/>
        <w:ind w:right="17"/>
        <w:jc w:val="center"/>
        <w:rPr>
          <w:rFonts w:ascii="Arial" w:eastAsia="Times New Roman" w:hAnsi="Arial" w:cs="Arial"/>
          <w:bCs/>
          <w:iCs/>
          <w:sz w:val="26"/>
          <w:szCs w:val="26"/>
          <w:lang w:eastAsia="es-ES"/>
        </w:rPr>
      </w:pPr>
      <w:r w:rsidRPr="00410447">
        <w:rPr>
          <w:rFonts w:ascii="Arial" w:eastAsia="Times New Roman" w:hAnsi="Arial" w:cs="Arial"/>
          <w:b/>
          <w:bCs/>
          <w:sz w:val="26"/>
          <w:szCs w:val="26"/>
          <w:lang w:eastAsia="es-ES"/>
        </w:rPr>
        <w:t>C O N S I D E R A N D O</w:t>
      </w:r>
    </w:p>
    <w:p w:rsidR="00410447" w:rsidRPr="00410447" w:rsidRDefault="00D44A24" w:rsidP="00410447">
      <w:pPr>
        <w:widowControl w:val="0"/>
        <w:tabs>
          <w:tab w:val="left" w:pos="7938"/>
        </w:tabs>
        <w:spacing w:line="360" w:lineRule="auto"/>
        <w:ind w:right="18"/>
        <w:jc w:val="both"/>
        <w:rPr>
          <w:rFonts w:ascii="Arial" w:hAnsi="Arial" w:cs="Arial"/>
          <w:sz w:val="26"/>
          <w:szCs w:val="26"/>
          <w:lang w:eastAsia="es-ES"/>
        </w:rPr>
      </w:pPr>
      <w:r>
        <w:rPr>
          <w:rFonts w:ascii="Arial" w:hAnsi="Arial" w:cs="Arial"/>
          <w:b/>
          <w:bCs/>
          <w:iCs/>
          <w:sz w:val="26"/>
          <w:szCs w:val="26"/>
          <w:lang w:eastAsia="es-ES"/>
        </w:rPr>
        <w:t xml:space="preserve">         </w:t>
      </w:r>
      <w:r w:rsidR="00410447" w:rsidRPr="00410447">
        <w:rPr>
          <w:rFonts w:ascii="Arial" w:hAnsi="Arial" w:cs="Arial"/>
          <w:b/>
          <w:bCs/>
          <w:iCs/>
          <w:sz w:val="26"/>
          <w:szCs w:val="26"/>
          <w:lang w:eastAsia="es-ES"/>
        </w:rPr>
        <w:t xml:space="preserve">PRIMERO. </w:t>
      </w:r>
      <w:r w:rsidR="00410447" w:rsidRPr="00410447">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 </w:t>
      </w:r>
      <w:r w:rsidR="00DA2E08">
        <w:rPr>
          <w:rFonts w:ascii="Arial" w:hAnsi="Arial" w:cs="Arial"/>
          <w:bCs/>
          <w:iCs/>
          <w:sz w:val="26"/>
          <w:szCs w:val="26"/>
          <w:lang w:eastAsia="es-ES"/>
        </w:rPr>
        <w:t xml:space="preserve">vigente hasta el 20 veinte de octubre de 2017 dos mil diecisiete, </w:t>
      </w:r>
      <w:r w:rsidR="00410447" w:rsidRPr="00410447">
        <w:rPr>
          <w:rFonts w:ascii="Arial" w:hAnsi="Arial" w:cs="Arial"/>
          <w:bCs/>
          <w:iCs/>
          <w:sz w:val="26"/>
          <w:szCs w:val="26"/>
          <w:lang w:eastAsia="es-ES"/>
        </w:rPr>
        <w:t xml:space="preserve">dado que se trata de un Recurso de Revisión interpuesto en contra </w:t>
      </w:r>
      <w:r w:rsidR="006D148F">
        <w:rPr>
          <w:rFonts w:ascii="Arial" w:hAnsi="Arial" w:cs="Arial"/>
          <w:bCs/>
          <w:iCs/>
          <w:sz w:val="26"/>
          <w:szCs w:val="26"/>
          <w:lang w:eastAsia="es-ES"/>
        </w:rPr>
        <w:t>de la parte relativa del acuerdo de fecha 23 veintitrés de mayo de 2017 dos mil diecisiete</w:t>
      </w:r>
      <w:r w:rsidR="00C43DAB">
        <w:rPr>
          <w:rFonts w:ascii="Arial" w:hAnsi="Arial" w:cs="Arial"/>
          <w:bCs/>
          <w:iCs/>
          <w:sz w:val="26"/>
          <w:szCs w:val="26"/>
          <w:lang w:eastAsia="es-ES"/>
        </w:rPr>
        <w:t xml:space="preserve">, en el cuaderno de suspensión relativo al juicio </w:t>
      </w:r>
      <w:r w:rsidR="00C43DAB">
        <w:rPr>
          <w:rFonts w:ascii="Arial" w:hAnsi="Arial" w:cs="Arial"/>
          <w:b/>
          <w:bCs/>
          <w:iCs/>
          <w:sz w:val="26"/>
          <w:szCs w:val="26"/>
          <w:lang w:eastAsia="es-ES"/>
        </w:rPr>
        <w:t xml:space="preserve">044/2017, </w:t>
      </w:r>
      <w:r w:rsidR="00C43DAB" w:rsidRPr="00C43DAB">
        <w:rPr>
          <w:rFonts w:ascii="Arial" w:hAnsi="Arial" w:cs="Arial"/>
          <w:bCs/>
          <w:iCs/>
          <w:sz w:val="26"/>
          <w:szCs w:val="26"/>
          <w:lang w:eastAsia="es-ES"/>
        </w:rPr>
        <w:t>dictado por la Sexta Sala Unitaria de Primera Instancia</w:t>
      </w:r>
      <w:r w:rsidR="00C43DAB">
        <w:rPr>
          <w:rFonts w:ascii="Arial" w:hAnsi="Arial" w:cs="Arial"/>
          <w:b/>
          <w:bCs/>
          <w:iCs/>
          <w:sz w:val="26"/>
          <w:szCs w:val="26"/>
          <w:lang w:eastAsia="es-ES"/>
        </w:rPr>
        <w:t xml:space="preserve">. </w:t>
      </w:r>
      <w:r w:rsidR="00410447" w:rsidRPr="00410447">
        <w:rPr>
          <w:rFonts w:ascii="Arial" w:hAnsi="Arial" w:cs="Arial"/>
          <w:sz w:val="26"/>
          <w:szCs w:val="26"/>
          <w:lang w:eastAsia="es-ES"/>
        </w:rPr>
        <w:t xml:space="preserve"> </w:t>
      </w:r>
    </w:p>
    <w:p w:rsidR="00410447" w:rsidRDefault="00410447" w:rsidP="00410447">
      <w:pPr>
        <w:widowControl w:val="0"/>
        <w:spacing w:line="360" w:lineRule="auto"/>
        <w:ind w:right="18" w:firstLine="709"/>
        <w:jc w:val="both"/>
        <w:rPr>
          <w:rFonts w:ascii="Arial" w:hAnsi="Arial" w:cs="Arial"/>
          <w:sz w:val="26"/>
          <w:szCs w:val="26"/>
        </w:rPr>
      </w:pPr>
      <w:r w:rsidRPr="00410447">
        <w:rPr>
          <w:rFonts w:ascii="Arial" w:hAnsi="Arial" w:cs="Arial"/>
          <w:b/>
          <w:bCs/>
          <w:sz w:val="26"/>
          <w:szCs w:val="26"/>
        </w:rPr>
        <w:t>SEGUNDO.</w:t>
      </w:r>
      <w:r w:rsidRPr="00410447">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410447">
        <w:rPr>
          <w:rFonts w:ascii="Arial" w:hAnsi="Arial" w:cs="Arial"/>
          <w:sz w:val="26"/>
          <w:szCs w:val="26"/>
        </w:rPr>
        <w:t>.</w:t>
      </w:r>
    </w:p>
    <w:p w:rsidR="003450E4" w:rsidRPr="00322E7B" w:rsidRDefault="003450E4" w:rsidP="003450E4">
      <w:pPr>
        <w:spacing w:line="360" w:lineRule="auto"/>
        <w:jc w:val="both"/>
        <w:rPr>
          <w:rFonts w:ascii="Arial" w:hAnsi="Arial" w:cs="Arial"/>
          <w:sz w:val="26"/>
          <w:szCs w:val="26"/>
        </w:rPr>
      </w:pPr>
      <w:r>
        <w:rPr>
          <w:rFonts w:ascii="Arial" w:hAnsi="Arial" w:cs="Arial"/>
          <w:b/>
          <w:bCs/>
          <w:sz w:val="24"/>
          <w:szCs w:val="24"/>
        </w:rPr>
        <w:t xml:space="preserve">           </w:t>
      </w:r>
      <w:r w:rsidRPr="00322E7B">
        <w:rPr>
          <w:rFonts w:ascii="Arial" w:hAnsi="Arial" w:cs="Arial"/>
          <w:b/>
          <w:bCs/>
          <w:sz w:val="26"/>
          <w:szCs w:val="26"/>
        </w:rPr>
        <w:t xml:space="preserve">TERCERO. </w:t>
      </w:r>
      <w:r w:rsidRPr="00322E7B">
        <w:rPr>
          <w:rFonts w:ascii="Arial" w:hAnsi="Arial" w:cs="Arial"/>
          <w:sz w:val="26"/>
          <w:szCs w:val="26"/>
        </w:rPr>
        <w:t xml:space="preserve">De las constancias remitidas para la resolución del presente recurso, las cuales tienen valor probatorio pleno, en términos del artículo 173, fracción I, de la Ley de Justicia Administrativa para el Estado, por ser actuaciones judiciales se advierte que </w:t>
      </w:r>
      <w:r w:rsidRPr="00322E7B">
        <w:rPr>
          <w:rFonts w:ascii="Arial" w:eastAsia="Times New Roman" w:hAnsi="Arial" w:cs="Arial"/>
          <w:sz w:val="26"/>
          <w:szCs w:val="26"/>
          <w:lang w:eastAsia="es-PE"/>
        </w:rPr>
        <w:t xml:space="preserve">quien promueve recurso de revisión, es </w:t>
      </w:r>
      <w:r w:rsidR="001F158D">
        <w:rPr>
          <w:rFonts w:ascii="Arial" w:eastAsia="Times New Roman" w:hAnsi="Arial" w:cs="Arial"/>
          <w:b/>
          <w:sz w:val="26"/>
          <w:szCs w:val="26"/>
          <w:lang w:eastAsia="es-PE"/>
        </w:rPr>
        <w:t>Eduardo Hernández M</w:t>
      </w:r>
      <w:r>
        <w:rPr>
          <w:rFonts w:ascii="Arial" w:eastAsia="Times New Roman" w:hAnsi="Arial" w:cs="Arial"/>
          <w:b/>
          <w:sz w:val="26"/>
          <w:szCs w:val="26"/>
          <w:lang w:eastAsia="es-PE"/>
        </w:rPr>
        <w:t xml:space="preserve">endoza </w:t>
      </w:r>
      <w:r w:rsidRPr="00322E7B">
        <w:rPr>
          <w:rFonts w:ascii="Arial" w:eastAsia="Times New Roman" w:hAnsi="Arial" w:cs="Arial"/>
          <w:sz w:val="26"/>
          <w:szCs w:val="26"/>
          <w:lang w:eastAsia="es-PE"/>
        </w:rPr>
        <w:t xml:space="preserve">quien se ostenta como </w:t>
      </w:r>
      <w:r>
        <w:rPr>
          <w:rFonts w:ascii="Arial" w:eastAsia="Times New Roman" w:hAnsi="Arial" w:cs="Arial"/>
          <w:b/>
          <w:sz w:val="26"/>
          <w:szCs w:val="26"/>
          <w:lang w:eastAsia="es-PE"/>
        </w:rPr>
        <w:t>POLICÍA VIAL ESTATAL</w:t>
      </w:r>
      <w:r w:rsidRPr="00322E7B">
        <w:rPr>
          <w:rFonts w:ascii="Arial" w:eastAsia="Times New Roman" w:hAnsi="Arial" w:cs="Arial"/>
          <w:sz w:val="26"/>
          <w:szCs w:val="26"/>
          <w:lang w:eastAsia="es-PE"/>
        </w:rPr>
        <w:t xml:space="preserve">, autoridad demandada en el juicio principal, de esto cabe señalar que los artículos 133 y 206 de la Ley de Justicia Administrativa para el Estado de Oaxaca, establecen quienes son las partes y cuáles son los acuerdos y resoluciones que pueden ser impugnados, mediante recurso de revisión en el Juicio Contencioso Administrativo; </w:t>
      </w:r>
      <w:r w:rsidRPr="00322E7B">
        <w:rPr>
          <w:rFonts w:ascii="Arial" w:hAnsi="Arial" w:cs="Arial"/>
          <w:sz w:val="26"/>
          <w:szCs w:val="26"/>
        </w:rPr>
        <w:t xml:space="preserve">ahora bien, en su escrito inicial de </w:t>
      </w:r>
      <w:r w:rsidRPr="00322E7B">
        <w:rPr>
          <w:rFonts w:ascii="Arial" w:hAnsi="Arial" w:cs="Arial"/>
          <w:sz w:val="26"/>
          <w:szCs w:val="26"/>
        </w:rPr>
        <w:lastRenderedPageBreak/>
        <w:t>demanda, el actor señaló como autoridad demandada al ahora recurrente; sin embargo, el artículo 120, de la Ley de Justici</w:t>
      </w:r>
      <w:r>
        <w:rPr>
          <w:rFonts w:ascii="Arial" w:hAnsi="Arial" w:cs="Arial"/>
          <w:sz w:val="26"/>
          <w:szCs w:val="26"/>
        </w:rPr>
        <w:t>a Administrativa para el Estado</w:t>
      </w:r>
      <w:r w:rsidRPr="00322E7B">
        <w:rPr>
          <w:rFonts w:ascii="Arial" w:hAnsi="Arial" w:cs="Arial"/>
          <w:sz w:val="26"/>
          <w:szCs w:val="26"/>
        </w:rPr>
        <w:t xml:space="preserve"> para la acreditación de la personalidad de la autoridad demandada, se deberá exhibir copia debidamente certificada del nombramiento conferido y de su protesta de ley; lo que en el caso no aconteció</w:t>
      </w:r>
      <w:r>
        <w:rPr>
          <w:rFonts w:ascii="Arial" w:hAnsi="Arial" w:cs="Arial"/>
          <w:sz w:val="26"/>
          <w:szCs w:val="26"/>
        </w:rPr>
        <w:t xml:space="preserve">, ya que solo acompaña el título de enganche y así de su nombramiento y toma de protesta. </w:t>
      </w:r>
    </w:p>
    <w:p w:rsidR="003450E4" w:rsidRPr="003450E4" w:rsidRDefault="003450E4" w:rsidP="003450E4">
      <w:pPr>
        <w:spacing w:line="360" w:lineRule="auto"/>
        <w:jc w:val="both"/>
        <w:rPr>
          <w:rFonts w:ascii="Arial" w:hAnsi="Arial" w:cs="Arial"/>
          <w:sz w:val="26"/>
          <w:szCs w:val="26"/>
        </w:rPr>
      </w:pPr>
      <w:r w:rsidRPr="00322E7B">
        <w:rPr>
          <w:rFonts w:ascii="Arial" w:eastAsia="Times New Roman" w:hAnsi="Arial" w:cs="Arial"/>
          <w:sz w:val="26"/>
          <w:szCs w:val="26"/>
          <w:lang w:eastAsia="es-PE"/>
        </w:rPr>
        <w:t xml:space="preserve">               </w:t>
      </w:r>
      <w:r>
        <w:rPr>
          <w:rFonts w:ascii="Arial" w:eastAsia="Times New Roman" w:hAnsi="Arial" w:cs="Arial"/>
          <w:sz w:val="26"/>
          <w:szCs w:val="26"/>
          <w:lang w:eastAsia="es-PE"/>
        </w:rPr>
        <w:t>Por tanto</w:t>
      </w:r>
      <w:r w:rsidRPr="00322E7B">
        <w:rPr>
          <w:rFonts w:ascii="Arial" w:eastAsia="Times New Roman" w:hAnsi="Arial" w:cs="Arial"/>
          <w:sz w:val="26"/>
          <w:szCs w:val="26"/>
          <w:lang w:eastAsia="es-PE"/>
        </w:rPr>
        <w:t>, al no acreditar</w:t>
      </w:r>
      <w:r>
        <w:rPr>
          <w:rFonts w:ascii="Arial" w:eastAsia="Times New Roman" w:hAnsi="Arial" w:cs="Arial"/>
          <w:sz w:val="26"/>
          <w:szCs w:val="26"/>
          <w:lang w:eastAsia="es-PE"/>
        </w:rPr>
        <w:t xml:space="preserve"> Eduardo Hernández Mendoza el carácter de Policía Vial Estatal </w:t>
      </w:r>
      <w:r w:rsidRPr="00322E7B">
        <w:rPr>
          <w:rFonts w:ascii="Arial" w:eastAsia="Times New Roman" w:hAnsi="Arial" w:cs="Arial"/>
          <w:sz w:val="26"/>
          <w:szCs w:val="26"/>
          <w:lang w:eastAsia="es-PE"/>
        </w:rPr>
        <w:t xml:space="preserve"> en esta instancia; </w:t>
      </w:r>
      <w:r>
        <w:rPr>
          <w:rFonts w:ascii="Arial" w:eastAsia="Times New Roman" w:hAnsi="Arial" w:cs="Arial"/>
          <w:sz w:val="26"/>
          <w:szCs w:val="26"/>
          <w:lang w:eastAsia="es-PE"/>
        </w:rPr>
        <w:t>al exhibir solo el contrato de enganche, documento que no es idóneo para acreditar dicha personalidad que ostenta, ya que en el contrato de enganche  no consta  su nombramiento y toma de protesta de ley al cargo, por lo que</w:t>
      </w:r>
      <w:r w:rsidRPr="00322E7B">
        <w:rPr>
          <w:rFonts w:ascii="Arial" w:eastAsia="Times New Roman" w:hAnsi="Arial" w:cs="Arial"/>
          <w:sz w:val="26"/>
          <w:szCs w:val="26"/>
          <w:lang w:eastAsia="es-PE"/>
        </w:rPr>
        <w:t>, al no acreditar su dicho la persona quien ost</w:t>
      </w:r>
      <w:r>
        <w:rPr>
          <w:rFonts w:ascii="Arial" w:eastAsia="Times New Roman" w:hAnsi="Arial" w:cs="Arial"/>
          <w:sz w:val="26"/>
          <w:szCs w:val="26"/>
          <w:lang w:eastAsia="es-PE"/>
        </w:rPr>
        <w:t xml:space="preserve">enta ese carácter de autoridad, </w:t>
      </w:r>
      <w:r w:rsidRPr="00322E7B">
        <w:rPr>
          <w:rFonts w:ascii="Arial" w:eastAsia="Times New Roman" w:hAnsi="Arial" w:cs="Arial"/>
          <w:sz w:val="26"/>
          <w:szCs w:val="26"/>
          <w:lang w:eastAsia="es-PE"/>
        </w:rPr>
        <w:t xml:space="preserve"> en consecuencia, no reviste para los efectos del artículo 206 de la Ley de la materia, ser parte legitimada para interponer el recurso de revisión.</w:t>
      </w:r>
    </w:p>
    <w:p w:rsidR="003450E4" w:rsidRPr="00601948" w:rsidRDefault="003450E4" w:rsidP="003450E4">
      <w:pPr>
        <w:spacing w:line="360" w:lineRule="auto"/>
        <w:jc w:val="both"/>
        <w:rPr>
          <w:rFonts w:ascii="Arial" w:eastAsia="Times New Roman" w:hAnsi="Arial" w:cs="Arial"/>
          <w:sz w:val="26"/>
          <w:szCs w:val="26"/>
          <w:lang w:eastAsia="es-PE"/>
        </w:rPr>
      </w:pPr>
      <w:r w:rsidRPr="00601948">
        <w:rPr>
          <w:rFonts w:ascii="Arial" w:hAnsi="Arial" w:cs="Arial"/>
          <w:sz w:val="26"/>
          <w:szCs w:val="26"/>
        </w:rPr>
        <w:tab/>
        <w:t>En consecuencia, se desecha por</w:t>
      </w:r>
      <w:r w:rsidRPr="00601948">
        <w:rPr>
          <w:rFonts w:ascii="Arial" w:eastAsia="Times New Roman" w:hAnsi="Arial" w:cs="Arial"/>
          <w:sz w:val="26"/>
          <w:szCs w:val="26"/>
          <w:lang w:eastAsia="es-PE"/>
        </w:rPr>
        <w:t xml:space="preserve"> </w:t>
      </w:r>
      <w:r w:rsidRPr="00601948">
        <w:rPr>
          <w:rFonts w:ascii="Arial" w:eastAsia="Times New Roman" w:hAnsi="Arial" w:cs="Arial"/>
          <w:b/>
          <w:sz w:val="26"/>
          <w:szCs w:val="26"/>
          <w:lang w:eastAsia="es-PE"/>
        </w:rPr>
        <w:t xml:space="preserve">IMPROCEDENTE </w:t>
      </w:r>
      <w:r w:rsidRPr="00601948">
        <w:rPr>
          <w:rFonts w:ascii="Arial" w:eastAsia="Times New Roman" w:hAnsi="Arial" w:cs="Arial"/>
          <w:sz w:val="26"/>
          <w:szCs w:val="26"/>
          <w:lang w:eastAsia="es-PE"/>
        </w:rPr>
        <w:t>el recurso de revisión interpuesto por</w:t>
      </w:r>
      <w:r w:rsidRPr="00601948">
        <w:rPr>
          <w:rFonts w:ascii="Arial" w:eastAsia="Calibri" w:hAnsi="Arial" w:cs="Arial"/>
          <w:b/>
          <w:sz w:val="26"/>
          <w:szCs w:val="26"/>
        </w:rPr>
        <w:t>,</w:t>
      </w:r>
      <w:r w:rsidRPr="00601948">
        <w:rPr>
          <w:rFonts w:ascii="Arial" w:eastAsia="Times New Roman" w:hAnsi="Arial" w:cs="Arial"/>
          <w:sz w:val="26"/>
          <w:szCs w:val="26"/>
          <w:lang w:eastAsia="es-PE"/>
        </w:rPr>
        <w:t xml:space="preserve"> </w:t>
      </w:r>
      <w:r>
        <w:rPr>
          <w:rFonts w:ascii="Arial" w:eastAsia="Calibri" w:hAnsi="Arial" w:cs="Arial"/>
          <w:b/>
          <w:sz w:val="26"/>
          <w:szCs w:val="26"/>
        </w:rPr>
        <w:t>EDUARDO HERNÁNDEZ MENDOZA</w:t>
      </w:r>
      <w:r w:rsidRPr="00601948">
        <w:rPr>
          <w:rFonts w:ascii="Arial" w:eastAsia="Calibri" w:hAnsi="Arial" w:cs="Arial"/>
          <w:b/>
          <w:sz w:val="26"/>
          <w:szCs w:val="26"/>
        </w:rPr>
        <w:t xml:space="preserve">, </w:t>
      </w:r>
      <w:r w:rsidRPr="009E2BE5">
        <w:rPr>
          <w:rFonts w:ascii="Arial" w:hAnsi="Arial" w:cs="Arial"/>
          <w:b/>
          <w:sz w:val="26"/>
          <w:szCs w:val="26"/>
        </w:rPr>
        <w:t>QUIEN SE OSTENTA COMO POLICÍA VIAL ESTATAL DEL ESTADO DE OAXACA</w:t>
      </w:r>
      <w:r w:rsidRPr="009E2BE5">
        <w:t xml:space="preserve"> </w:t>
      </w:r>
      <w:r w:rsidRPr="00601948">
        <w:rPr>
          <w:rFonts w:ascii="Arial" w:eastAsia="Times New Roman" w:hAnsi="Arial" w:cs="Arial"/>
          <w:sz w:val="26"/>
          <w:szCs w:val="26"/>
          <w:lang w:eastAsia="es-PE"/>
        </w:rPr>
        <w:t xml:space="preserve">en contra de la parte relativa del acuerdo de fecha </w:t>
      </w:r>
      <w:r>
        <w:rPr>
          <w:rFonts w:ascii="Arial" w:eastAsia="Times New Roman" w:hAnsi="Arial" w:cs="Arial"/>
          <w:sz w:val="26"/>
          <w:szCs w:val="26"/>
          <w:lang w:eastAsia="es-PE"/>
        </w:rPr>
        <w:t xml:space="preserve">23 veintitrés de mayo de </w:t>
      </w:r>
      <w:r w:rsidRPr="00601948">
        <w:rPr>
          <w:rFonts w:ascii="Arial" w:eastAsia="Times New Roman" w:hAnsi="Arial" w:cs="Arial"/>
          <w:sz w:val="26"/>
          <w:szCs w:val="26"/>
          <w:lang w:eastAsia="es-PE"/>
        </w:rPr>
        <w:t>2017 dos mil diecisiete.</w:t>
      </w:r>
    </w:p>
    <w:p w:rsidR="003450E4" w:rsidRPr="00601948" w:rsidRDefault="003450E4" w:rsidP="003450E4">
      <w:pPr>
        <w:spacing w:line="360" w:lineRule="auto"/>
        <w:jc w:val="both"/>
        <w:rPr>
          <w:rFonts w:ascii="Arial" w:eastAsia="Calibri" w:hAnsi="Arial" w:cs="Arial"/>
          <w:sz w:val="26"/>
          <w:szCs w:val="26"/>
        </w:rPr>
      </w:pPr>
      <w:r w:rsidRPr="00601948">
        <w:rPr>
          <w:rFonts w:ascii="Arial" w:eastAsia="Times New Roman" w:hAnsi="Arial" w:cs="Arial"/>
          <w:sz w:val="26"/>
          <w:szCs w:val="26"/>
          <w:lang w:eastAsia="es-PE"/>
        </w:rPr>
        <w:tab/>
      </w:r>
      <w:r w:rsidRPr="00601948">
        <w:rPr>
          <w:rFonts w:ascii="Arial" w:eastAsia="Calibri" w:hAnsi="Arial" w:cs="Arial"/>
          <w:sz w:val="26"/>
          <w:szCs w:val="26"/>
        </w:rPr>
        <w:t>En mérito de lo anterior, con fundamento en los artículos 207 y 208 de la Ley de Justicia Administrativa para el Estado,</w:t>
      </w:r>
      <w:r w:rsidR="001F158D">
        <w:rPr>
          <w:rFonts w:ascii="Arial" w:eastAsia="Calibri" w:hAnsi="Arial" w:cs="Arial"/>
          <w:sz w:val="26"/>
          <w:szCs w:val="26"/>
        </w:rPr>
        <w:t xml:space="preserve"> vigente hasta el 20 veinte de octubre de 2017 dos mil diecisiete, </w:t>
      </w:r>
      <w:r w:rsidRPr="00601948">
        <w:rPr>
          <w:rFonts w:ascii="Arial" w:eastAsia="Calibri" w:hAnsi="Arial" w:cs="Arial"/>
          <w:sz w:val="26"/>
          <w:szCs w:val="26"/>
        </w:rPr>
        <w:t xml:space="preserve"> se:</w:t>
      </w:r>
    </w:p>
    <w:p w:rsidR="003450E4" w:rsidRPr="00601948" w:rsidRDefault="003450E4" w:rsidP="00966532">
      <w:pPr>
        <w:spacing w:line="360" w:lineRule="auto"/>
        <w:jc w:val="center"/>
        <w:rPr>
          <w:rFonts w:ascii="Arial" w:hAnsi="Arial" w:cs="Arial"/>
          <w:b/>
          <w:color w:val="000000"/>
          <w:sz w:val="26"/>
          <w:szCs w:val="26"/>
        </w:rPr>
      </w:pPr>
      <w:r w:rsidRPr="00601948">
        <w:rPr>
          <w:rFonts w:ascii="Arial" w:hAnsi="Arial" w:cs="Arial"/>
          <w:b/>
          <w:color w:val="000000"/>
          <w:sz w:val="26"/>
          <w:szCs w:val="26"/>
        </w:rPr>
        <w:t>R E S U E L V E</w:t>
      </w:r>
    </w:p>
    <w:p w:rsidR="003450E4" w:rsidRPr="00601948" w:rsidRDefault="00083389" w:rsidP="003450E4">
      <w:pPr>
        <w:spacing w:line="360" w:lineRule="auto"/>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274DDFE" wp14:editId="3875555B">
                <wp:simplePos x="0" y="0"/>
                <wp:positionH relativeFrom="column">
                  <wp:posOffset>5526157</wp:posOffset>
                </wp:positionH>
                <wp:positionV relativeFrom="paragraph">
                  <wp:posOffset>734171</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3389" w:rsidRDefault="00083389" w:rsidP="00083389">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4DDFE" id="Cuadro de texto 2" o:spid="_x0000_s1027" type="#_x0000_t202" style="position:absolute;left:0;text-align:left;margin-left:435.15pt;margin-top:57.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">
                <v:textbox>
                  <w:txbxContent>
                    <w:p w:rsidR="00083389" w:rsidRDefault="00083389" w:rsidP="00083389">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3450E4" w:rsidRPr="00601948">
        <w:rPr>
          <w:rFonts w:ascii="Arial" w:eastAsia="Calibri" w:hAnsi="Arial" w:cs="Arial"/>
          <w:b/>
          <w:bCs/>
          <w:sz w:val="26"/>
          <w:szCs w:val="26"/>
        </w:rPr>
        <w:tab/>
        <w:t xml:space="preserve">PRIMERO. </w:t>
      </w:r>
      <w:r w:rsidR="003450E4" w:rsidRPr="00601948">
        <w:rPr>
          <w:rFonts w:ascii="Arial" w:hAnsi="Arial" w:cs="Arial"/>
          <w:sz w:val="26"/>
          <w:szCs w:val="26"/>
        </w:rPr>
        <w:t>se desecha por</w:t>
      </w:r>
      <w:r w:rsidR="003450E4" w:rsidRPr="00601948">
        <w:rPr>
          <w:rFonts w:ascii="Arial" w:eastAsia="Times New Roman" w:hAnsi="Arial" w:cs="Arial"/>
          <w:sz w:val="26"/>
          <w:szCs w:val="26"/>
          <w:lang w:eastAsia="es-PE"/>
        </w:rPr>
        <w:t xml:space="preserve"> </w:t>
      </w:r>
      <w:r w:rsidR="003450E4" w:rsidRPr="00601948">
        <w:rPr>
          <w:rFonts w:ascii="Arial" w:eastAsia="Times New Roman" w:hAnsi="Arial" w:cs="Arial"/>
          <w:b/>
          <w:sz w:val="26"/>
          <w:szCs w:val="26"/>
          <w:lang w:eastAsia="es-PE"/>
        </w:rPr>
        <w:t xml:space="preserve">IMPROCEDENTE </w:t>
      </w:r>
      <w:r w:rsidR="003450E4" w:rsidRPr="00601948">
        <w:rPr>
          <w:rFonts w:ascii="Arial" w:eastAsia="Times New Roman" w:hAnsi="Arial" w:cs="Arial"/>
          <w:sz w:val="26"/>
          <w:szCs w:val="26"/>
          <w:lang w:eastAsia="es-PE"/>
        </w:rPr>
        <w:t>el recurso de revisión interpuesto por</w:t>
      </w:r>
      <w:r w:rsidR="003450E4" w:rsidRPr="00601948">
        <w:rPr>
          <w:rFonts w:ascii="Arial" w:eastAsia="Calibri" w:hAnsi="Arial" w:cs="Arial"/>
          <w:b/>
          <w:sz w:val="26"/>
          <w:szCs w:val="26"/>
        </w:rPr>
        <w:t>,</w:t>
      </w:r>
      <w:r w:rsidR="003450E4" w:rsidRPr="00601948">
        <w:rPr>
          <w:rFonts w:ascii="Arial" w:eastAsia="Times New Roman" w:hAnsi="Arial" w:cs="Arial"/>
          <w:sz w:val="26"/>
          <w:szCs w:val="26"/>
          <w:lang w:eastAsia="es-PE"/>
        </w:rPr>
        <w:t xml:space="preserve"> </w:t>
      </w:r>
      <w:r w:rsidR="003450E4">
        <w:rPr>
          <w:rFonts w:ascii="Arial" w:eastAsia="Calibri" w:hAnsi="Arial" w:cs="Arial"/>
          <w:b/>
          <w:sz w:val="26"/>
          <w:szCs w:val="26"/>
        </w:rPr>
        <w:t>EDUARDO HERNÁNDEZ MENDOZA</w:t>
      </w:r>
      <w:r w:rsidR="003450E4" w:rsidRPr="00601948">
        <w:rPr>
          <w:rFonts w:ascii="Arial" w:eastAsia="Calibri" w:hAnsi="Arial" w:cs="Arial"/>
          <w:b/>
          <w:sz w:val="26"/>
          <w:szCs w:val="26"/>
        </w:rPr>
        <w:t xml:space="preserve">, </w:t>
      </w:r>
      <w:r w:rsidR="003450E4" w:rsidRPr="009E2BE5">
        <w:rPr>
          <w:rFonts w:ascii="Arial" w:hAnsi="Arial" w:cs="Arial"/>
          <w:b/>
          <w:sz w:val="26"/>
          <w:szCs w:val="26"/>
        </w:rPr>
        <w:t>QUIEN SE OSTENTA COMO POLICÍA VIAL ESTATAL DEL ESTADO DE OAXACA</w:t>
      </w:r>
      <w:r w:rsidR="003450E4" w:rsidRPr="009E2BE5">
        <w:t xml:space="preserve"> </w:t>
      </w:r>
      <w:r w:rsidR="003450E4" w:rsidRPr="00601948">
        <w:rPr>
          <w:rFonts w:ascii="Arial" w:eastAsia="Times New Roman" w:hAnsi="Arial" w:cs="Arial"/>
          <w:sz w:val="26"/>
          <w:szCs w:val="26"/>
          <w:lang w:eastAsia="es-PE"/>
        </w:rPr>
        <w:t xml:space="preserve">en contra de la parte relativa del acuerdo de fecha </w:t>
      </w:r>
      <w:r w:rsidR="003450E4">
        <w:rPr>
          <w:rFonts w:ascii="Arial" w:eastAsia="Times New Roman" w:hAnsi="Arial" w:cs="Arial"/>
          <w:sz w:val="26"/>
          <w:szCs w:val="26"/>
          <w:lang w:eastAsia="es-PE"/>
        </w:rPr>
        <w:t xml:space="preserve">23 veintitrés de mayo de </w:t>
      </w:r>
      <w:r w:rsidR="003450E4" w:rsidRPr="00601948">
        <w:rPr>
          <w:rFonts w:ascii="Arial" w:eastAsia="Times New Roman" w:hAnsi="Arial" w:cs="Arial"/>
          <w:sz w:val="26"/>
          <w:szCs w:val="26"/>
          <w:lang w:eastAsia="es-PE"/>
        </w:rPr>
        <w:t>2017 dos mil diecisiete</w:t>
      </w:r>
    </w:p>
    <w:p w:rsidR="003450E4" w:rsidRPr="00601948" w:rsidRDefault="003450E4" w:rsidP="003450E4">
      <w:pPr>
        <w:spacing w:line="360" w:lineRule="auto"/>
        <w:jc w:val="both"/>
        <w:rPr>
          <w:rFonts w:ascii="Arial" w:eastAsia="Calibri" w:hAnsi="Arial" w:cs="Arial"/>
          <w:bCs/>
          <w:sz w:val="26"/>
          <w:szCs w:val="26"/>
        </w:rPr>
      </w:pPr>
      <w:r w:rsidRPr="00601948">
        <w:rPr>
          <w:rFonts w:ascii="Arial" w:eastAsia="Calibri" w:hAnsi="Arial" w:cs="Arial"/>
          <w:b/>
          <w:bCs/>
          <w:sz w:val="26"/>
          <w:szCs w:val="26"/>
        </w:rPr>
        <w:tab/>
        <w:t>SEGUNDO</w:t>
      </w:r>
      <w:r w:rsidRPr="00601948">
        <w:rPr>
          <w:rFonts w:ascii="Arial" w:eastAsia="Calibri" w:hAnsi="Arial" w:cs="Arial"/>
          <w:bCs/>
          <w:sz w:val="26"/>
          <w:szCs w:val="26"/>
        </w:rPr>
        <w:t xml:space="preserve">. </w:t>
      </w:r>
      <w:r w:rsidRPr="00601948">
        <w:rPr>
          <w:rFonts w:ascii="Arial" w:eastAsia="Calibri" w:hAnsi="Arial" w:cs="Arial"/>
          <w:b/>
          <w:bCs/>
          <w:sz w:val="26"/>
          <w:szCs w:val="26"/>
        </w:rPr>
        <w:t>NOTIFÍQUESE Y CÚMPLASE;</w:t>
      </w:r>
      <w:r w:rsidRPr="00601948">
        <w:rPr>
          <w:rFonts w:ascii="Arial" w:eastAsia="Calibri" w:hAnsi="Arial" w:cs="Arial"/>
          <w:bCs/>
          <w:sz w:val="26"/>
          <w:szCs w:val="26"/>
        </w:rPr>
        <w:t xml:space="preserve"> con copia certificada de la presente resolución, vuelvan</w:t>
      </w:r>
      <w:r w:rsidRPr="00601948">
        <w:rPr>
          <w:rFonts w:ascii="Arial" w:eastAsia="Calibri" w:hAnsi="Arial" w:cs="Arial"/>
          <w:b/>
          <w:bCs/>
          <w:sz w:val="26"/>
          <w:szCs w:val="26"/>
        </w:rPr>
        <w:t xml:space="preserve"> </w:t>
      </w:r>
      <w:r w:rsidRPr="00601948">
        <w:rPr>
          <w:rFonts w:ascii="Arial" w:eastAsia="Calibri" w:hAnsi="Arial" w:cs="Arial"/>
          <w:bCs/>
          <w:sz w:val="26"/>
          <w:szCs w:val="26"/>
        </w:rPr>
        <w:t xml:space="preserve">las constancias remitidas a la </w:t>
      </w:r>
      <w:r>
        <w:rPr>
          <w:rFonts w:ascii="Arial" w:eastAsia="Calibri" w:hAnsi="Arial" w:cs="Arial"/>
          <w:bCs/>
          <w:sz w:val="26"/>
          <w:szCs w:val="26"/>
        </w:rPr>
        <w:t xml:space="preserve">Sexta </w:t>
      </w:r>
      <w:r w:rsidRPr="00601948">
        <w:rPr>
          <w:rFonts w:ascii="Arial" w:eastAsia="Calibri" w:hAnsi="Arial" w:cs="Arial"/>
          <w:bCs/>
          <w:sz w:val="26"/>
          <w:szCs w:val="26"/>
        </w:rPr>
        <w:t>Sala Unitaria de este Tribunal, y en su oportunidad archívese el cuaderno de revisión como asunto concluido.</w:t>
      </w:r>
    </w:p>
    <w:p w:rsidR="003450E4" w:rsidRDefault="003450E4" w:rsidP="0017209E">
      <w:pPr>
        <w:spacing w:line="360" w:lineRule="auto"/>
        <w:ind w:firstLine="708"/>
        <w:jc w:val="both"/>
        <w:rPr>
          <w:rFonts w:ascii="Arial" w:eastAsia="Calibri" w:hAnsi="Arial" w:cs="Arial"/>
          <w:sz w:val="26"/>
          <w:szCs w:val="26"/>
        </w:rPr>
      </w:pPr>
      <w:r>
        <w:rPr>
          <w:rFonts w:ascii="Arial" w:eastAsia="Calibri" w:hAnsi="Arial" w:cs="Arial"/>
          <w:sz w:val="26"/>
          <w:szCs w:val="26"/>
        </w:rPr>
        <w:lastRenderedPageBreak/>
        <w:t xml:space="preserve">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 </w:t>
      </w:r>
    </w:p>
    <w:p w:rsidR="003450E4" w:rsidRDefault="003450E4" w:rsidP="0017209E">
      <w:pPr>
        <w:spacing w:after="0"/>
        <w:jc w:val="center"/>
        <w:rPr>
          <w:rFonts w:ascii="Arial" w:eastAsia="Calibri" w:hAnsi="Arial" w:cs="Arial"/>
          <w:sz w:val="26"/>
          <w:szCs w:val="26"/>
        </w:rPr>
      </w:pPr>
      <w:r>
        <w:rPr>
          <w:rFonts w:ascii="Arial" w:eastAsia="Calibri" w:hAnsi="Arial" w:cs="Arial"/>
          <w:sz w:val="26"/>
          <w:szCs w:val="26"/>
        </w:rPr>
        <w:t>MAGISTRADA MARÍA EUGENIA VILLANUEVA ABRAJÁN</w:t>
      </w:r>
    </w:p>
    <w:p w:rsidR="003450E4" w:rsidRDefault="003450E4" w:rsidP="0017209E">
      <w:pPr>
        <w:spacing w:after="0"/>
        <w:jc w:val="center"/>
        <w:rPr>
          <w:rFonts w:ascii="Arial" w:eastAsia="Calibri" w:hAnsi="Arial" w:cs="Arial"/>
          <w:sz w:val="26"/>
          <w:szCs w:val="26"/>
        </w:rPr>
      </w:pPr>
      <w:r>
        <w:rPr>
          <w:rFonts w:ascii="Arial" w:eastAsia="Calibri" w:hAnsi="Arial" w:cs="Arial"/>
          <w:sz w:val="26"/>
          <w:szCs w:val="26"/>
        </w:rPr>
        <w:t>PRESIDENTA</w:t>
      </w:r>
    </w:p>
    <w:p w:rsidR="003450E4" w:rsidRDefault="003450E4" w:rsidP="003450E4">
      <w:pPr>
        <w:rPr>
          <w:rFonts w:ascii="Arial" w:eastAsia="Calibri" w:hAnsi="Arial" w:cs="Arial"/>
          <w:b/>
          <w:sz w:val="26"/>
          <w:szCs w:val="26"/>
        </w:rPr>
      </w:pPr>
    </w:p>
    <w:p w:rsidR="003450E4" w:rsidRDefault="003450E4" w:rsidP="003450E4">
      <w:pPr>
        <w:rPr>
          <w:rFonts w:ascii="Arial" w:eastAsia="Calibri" w:hAnsi="Arial" w:cs="Arial"/>
          <w:b/>
          <w:sz w:val="26"/>
          <w:szCs w:val="26"/>
        </w:rPr>
      </w:pPr>
    </w:p>
    <w:p w:rsidR="0017209E" w:rsidRDefault="0017209E" w:rsidP="003450E4">
      <w:pPr>
        <w:rPr>
          <w:rFonts w:ascii="Arial" w:eastAsia="Calibri" w:hAnsi="Arial" w:cs="Arial"/>
          <w:b/>
          <w:sz w:val="26"/>
          <w:szCs w:val="26"/>
        </w:rPr>
      </w:pPr>
    </w:p>
    <w:p w:rsidR="003450E4" w:rsidRDefault="003450E4" w:rsidP="003450E4">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3450E4" w:rsidRDefault="003450E4" w:rsidP="003450E4">
      <w:pPr>
        <w:spacing w:line="360" w:lineRule="auto"/>
        <w:rPr>
          <w:rFonts w:ascii="Arial" w:eastAsia="Calibri" w:hAnsi="Arial" w:cs="Arial"/>
          <w:sz w:val="26"/>
          <w:szCs w:val="26"/>
        </w:rPr>
      </w:pPr>
    </w:p>
    <w:p w:rsidR="0017209E" w:rsidRDefault="0017209E" w:rsidP="003450E4">
      <w:pPr>
        <w:spacing w:line="360" w:lineRule="auto"/>
        <w:rPr>
          <w:rFonts w:ascii="Arial" w:eastAsia="Calibri" w:hAnsi="Arial" w:cs="Arial"/>
          <w:sz w:val="26"/>
          <w:szCs w:val="26"/>
        </w:rPr>
      </w:pPr>
    </w:p>
    <w:p w:rsidR="0017209E" w:rsidRDefault="0017209E" w:rsidP="003450E4">
      <w:pPr>
        <w:spacing w:line="360" w:lineRule="auto"/>
        <w:rPr>
          <w:rFonts w:ascii="Arial" w:eastAsia="Calibri" w:hAnsi="Arial" w:cs="Arial"/>
          <w:sz w:val="26"/>
          <w:szCs w:val="26"/>
        </w:rPr>
      </w:pPr>
    </w:p>
    <w:p w:rsidR="003450E4" w:rsidRDefault="003450E4" w:rsidP="003450E4">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3450E4" w:rsidRDefault="003450E4" w:rsidP="003450E4">
      <w:pPr>
        <w:jc w:val="center"/>
        <w:rPr>
          <w:rFonts w:ascii="Arial" w:eastAsia="Calibri" w:hAnsi="Arial" w:cs="Arial"/>
          <w:b/>
        </w:rPr>
      </w:pPr>
    </w:p>
    <w:p w:rsidR="0017209E" w:rsidRDefault="0017209E" w:rsidP="000736F3">
      <w:pPr>
        <w:rPr>
          <w:rFonts w:ascii="Arial" w:eastAsia="Calibri" w:hAnsi="Arial" w:cs="Arial"/>
          <w:b/>
        </w:rPr>
      </w:pPr>
    </w:p>
    <w:p w:rsidR="003450E4" w:rsidRDefault="003450E4" w:rsidP="003450E4">
      <w:pPr>
        <w:rPr>
          <w:rFonts w:ascii="Arial" w:eastAsia="Calibri" w:hAnsi="Arial" w:cs="Arial"/>
          <w:b/>
        </w:rPr>
      </w:pPr>
    </w:p>
    <w:p w:rsidR="003450E4" w:rsidRDefault="003450E4" w:rsidP="003450E4">
      <w:pPr>
        <w:spacing w:line="360" w:lineRule="auto"/>
        <w:jc w:val="center"/>
        <w:rPr>
          <w:rFonts w:ascii="Arial" w:eastAsia="Calibri" w:hAnsi="Arial" w:cs="Arial"/>
          <w:sz w:val="26"/>
          <w:szCs w:val="26"/>
        </w:rPr>
      </w:pPr>
      <w:r>
        <w:rPr>
          <w:rFonts w:ascii="Arial" w:eastAsia="Calibri" w:hAnsi="Arial" w:cs="Arial"/>
          <w:sz w:val="26"/>
          <w:szCs w:val="26"/>
        </w:rPr>
        <w:t>MAGISTRADO ADRIÁN QUIROGA AVENDAÑO</w:t>
      </w:r>
    </w:p>
    <w:p w:rsidR="003450E4" w:rsidRPr="00F61246" w:rsidRDefault="003450E4" w:rsidP="003450E4">
      <w:pPr>
        <w:spacing w:line="360" w:lineRule="auto"/>
        <w:jc w:val="center"/>
        <w:rPr>
          <w:rFonts w:ascii="Arial" w:eastAsia="Calibri" w:hAnsi="Arial" w:cs="Arial"/>
          <w:b/>
          <w:sz w:val="14"/>
          <w:szCs w:val="26"/>
        </w:rPr>
      </w:pPr>
    </w:p>
    <w:p w:rsidR="003450E4" w:rsidRDefault="003450E4" w:rsidP="003450E4">
      <w:pPr>
        <w:spacing w:line="360" w:lineRule="auto"/>
        <w:rPr>
          <w:rFonts w:ascii="Arial" w:eastAsia="Calibri" w:hAnsi="Arial" w:cs="Arial"/>
          <w:sz w:val="26"/>
          <w:szCs w:val="26"/>
        </w:rPr>
      </w:pPr>
    </w:p>
    <w:p w:rsidR="0017209E" w:rsidRDefault="0017209E" w:rsidP="003450E4">
      <w:pPr>
        <w:spacing w:line="360" w:lineRule="auto"/>
        <w:rPr>
          <w:rFonts w:ascii="Arial" w:eastAsia="Calibri" w:hAnsi="Arial" w:cs="Arial"/>
          <w:sz w:val="26"/>
          <w:szCs w:val="26"/>
        </w:rPr>
      </w:pPr>
    </w:p>
    <w:p w:rsidR="003450E4" w:rsidRDefault="003450E4" w:rsidP="003450E4">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3450E4" w:rsidRDefault="003450E4" w:rsidP="003450E4">
      <w:pPr>
        <w:spacing w:line="360" w:lineRule="auto"/>
        <w:jc w:val="center"/>
        <w:rPr>
          <w:rFonts w:ascii="Arial" w:eastAsia="Calibri" w:hAnsi="Arial" w:cs="Arial"/>
          <w:sz w:val="26"/>
          <w:szCs w:val="26"/>
        </w:rPr>
      </w:pPr>
    </w:p>
    <w:p w:rsidR="003450E4" w:rsidRDefault="003450E4" w:rsidP="003450E4">
      <w:pPr>
        <w:spacing w:line="360" w:lineRule="auto"/>
        <w:rPr>
          <w:rFonts w:ascii="Arial" w:eastAsia="Calibri" w:hAnsi="Arial" w:cs="Arial"/>
          <w:sz w:val="26"/>
          <w:szCs w:val="26"/>
        </w:rPr>
      </w:pPr>
    </w:p>
    <w:p w:rsidR="003450E4" w:rsidRDefault="003450E4" w:rsidP="0017209E">
      <w:pPr>
        <w:spacing w:after="0"/>
        <w:jc w:val="center"/>
        <w:rPr>
          <w:rFonts w:ascii="Arial" w:eastAsia="Calibri" w:hAnsi="Arial" w:cs="Arial"/>
          <w:sz w:val="26"/>
          <w:szCs w:val="26"/>
        </w:rPr>
      </w:pPr>
      <w:r>
        <w:rPr>
          <w:rFonts w:ascii="Arial" w:eastAsia="Calibri" w:hAnsi="Arial" w:cs="Arial"/>
          <w:sz w:val="26"/>
          <w:szCs w:val="26"/>
        </w:rPr>
        <w:t>LICENCIADA SANDRA PÉREZ CRUZ,</w:t>
      </w:r>
    </w:p>
    <w:p w:rsidR="004F4063" w:rsidRPr="000736F3" w:rsidRDefault="003450E4" w:rsidP="000736F3">
      <w:pPr>
        <w:spacing w:after="0"/>
        <w:jc w:val="center"/>
        <w:rPr>
          <w:rFonts w:ascii="Arial" w:eastAsia="Calibri" w:hAnsi="Arial" w:cs="Arial"/>
          <w:sz w:val="26"/>
          <w:szCs w:val="26"/>
        </w:rPr>
      </w:pPr>
      <w:r>
        <w:rPr>
          <w:rFonts w:ascii="Arial" w:eastAsia="Calibri" w:hAnsi="Arial" w:cs="Arial"/>
          <w:sz w:val="26"/>
          <w:szCs w:val="26"/>
        </w:rPr>
        <w:t>SECRETARIA GENERAL DE ACUERDOS</w:t>
      </w:r>
    </w:p>
    <w:sectPr w:rsidR="004F4063" w:rsidRPr="000736F3" w:rsidSect="00F8181F">
      <w:headerReference w:type="even" r:id="rId8"/>
      <w:head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90" w:rsidRDefault="00D96F90">
      <w:pPr>
        <w:spacing w:after="0" w:line="240" w:lineRule="auto"/>
      </w:pPr>
      <w:r>
        <w:separator/>
      </w:r>
    </w:p>
  </w:endnote>
  <w:endnote w:type="continuationSeparator" w:id="0">
    <w:p w:rsidR="00D96F90" w:rsidRDefault="00D9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90" w:rsidRDefault="00D96F90">
      <w:pPr>
        <w:spacing w:after="0" w:line="240" w:lineRule="auto"/>
      </w:pPr>
      <w:r>
        <w:separator/>
      </w:r>
    </w:p>
  </w:footnote>
  <w:footnote w:type="continuationSeparator" w:id="0">
    <w:p w:rsidR="00D96F90" w:rsidRDefault="00D96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2A6EF0" w:rsidRDefault="002A6EF0">
        <w:pPr>
          <w:pStyle w:val="Encabezado"/>
          <w:jc w:val="center"/>
        </w:pPr>
        <w:r>
          <w:fldChar w:fldCharType="begin"/>
        </w:r>
        <w:r>
          <w:instrText>PAGE   \* MERGEFORMAT</w:instrText>
        </w:r>
        <w:r>
          <w:fldChar w:fldCharType="separate"/>
        </w:r>
        <w:r w:rsidR="00083389">
          <w:rPr>
            <w:noProof/>
          </w:rPr>
          <w:t>4</w:t>
        </w:r>
        <w:r>
          <w:fldChar w:fldCharType="end"/>
        </w:r>
      </w:p>
    </w:sdtContent>
  </w:sdt>
  <w:p w:rsidR="002A6EF0" w:rsidRDefault="002A6E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655BA3" w:rsidRDefault="00083389" w:rsidP="00206B99">
        <w:pPr>
          <w:pStyle w:val="Encabezado"/>
          <w:jc w:val="cente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-1365250</wp:posOffset>
                  </wp:positionH>
                  <wp:positionV relativeFrom="paragraph">
                    <wp:posOffset>7400925</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83389" w:rsidRDefault="00083389" w:rsidP="00083389">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8"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">
                  <v:textbox>
                    <w:txbxContent>
                      <w:p w:rsidR="00083389" w:rsidRDefault="00083389" w:rsidP="00083389">
                        <w:pPr>
                          <w:rPr>
                            <w:sz w:val="16"/>
                            <w:szCs w:val="16"/>
                          </w:rPr>
                        </w:pPr>
                        <w:r>
                          <w:rPr>
                            <w:sz w:val="16"/>
                            <w:szCs w:val="16"/>
                          </w:rPr>
                          <w:t>Datos personales protegidos por el Art. 116 de la LGTAIP y el Art. 56 de la LTAIPEO</w:t>
                        </w:r>
                      </w:p>
                    </w:txbxContent>
                  </v:textbox>
                </v:shape>
              </w:pict>
            </mc:Fallback>
          </mc:AlternateContent>
        </w:r>
      </w:p>
    </w:sdtContent>
  </w:sdt>
  <w:p w:rsidR="00655BA3" w:rsidRDefault="00655BA3"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C0424F08"/>
    <w:lvl w:ilvl="0" w:tplc="0D04CD62">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6C7"/>
    <w:rsid w:val="00003E24"/>
    <w:rsid w:val="00004471"/>
    <w:rsid w:val="00014946"/>
    <w:rsid w:val="00015E93"/>
    <w:rsid w:val="00026C11"/>
    <w:rsid w:val="000330FB"/>
    <w:rsid w:val="00041E1D"/>
    <w:rsid w:val="000616B5"/>
    <w:rsid w:val="00070740"/>
    <w:rsid w:val="00070777"/>
    <w:rsid w:val="000715B6"/>
    <w:rsid w:val="000736F3"/>
    <w:rsid w:val="000737BF"/>
    <w:rsid w:val="00075D16"/>
    <w:rsid w:val="00076CEA"/>
    <w:rsid w:val="000771BD"/>
    <w:rsid w:val="00083389"/>
    <w:rsid w:val="00085132"/>
    <w:rsid w:val="000B1A06"/>
    <w:rsid w:val="000B2341"/>
    <w:rsid w:val="000B3B3B"/>
    <w:rsid w:val="000C4541"/>
    <w:rsid w:val="000C65A9"/>
    <w:rsid w:val="000D75B7"/>
    <w:rsid w:val="000E2C3D"/>
    <w:rsid w:val="000F05CA"/>
    <w:rsid w:val="000F54B0"/>
    <w:rsid w:val="000F62C3"/>
    <w:rsid w:val="0010644A"/>
    <w:rsid w:val="00111BFC"/>
    <w:rsid w:val="00114AC5"/>
    <w:rsid w:val="00116579"/>
    <w:rsid w:val="00122F5E"/>
    <w:rsid w:val="00124515"/>
    <w:rsid w:val="00126F80"/>
    <w:rsid w:val="00130500"/>
    <w:rsid w:val="0013099F"/>
    <w:rsid w:val="00131CDF"/>
    <w:rsid w:val="001332B4"/>
    <w:rsid w:val="00136897"/>
    <w:rsid w:val="00141F51"/>
    <w:rsid w:val="001441D3"/>
    <w:rsid w:val="0014588F"/>
    <w:rsid w:val="00146509"/>
    <w:rsid w:val="001466F2"/>
    <w:rsid w:val="0015351E"/>
    <w:rsid w:val="001541A9"/>
    <w:rsid w:val="00161A5E"/>
    <w:rsid w:val="00166D35"/>
    <w:rsid w:val="0017209E"/>
    <w:rsid w:val="00172205"/>
    <w:rsid w:val="001761CB"/>
    <w:rsid w:val="00192287"/>
    <w:rsid w:val="001A22FC"/>
    <w:rsid w:val="001A3755"/>
    <w:rsid w:val="001C21D1"/>
    <w:rsid w:val="001D3B81"/>
    <w:rsid w:val="001D694C"/>
    <w:rsid w:val="001E2B06"/>
    <w:rsid w:val="001E3B11"/>
    <w:rsid w:val="001F158D"/>
    <w:rsid w:val="001F31C7"/>
    <w:rsid w:val="001F72DF"/>
    <w:rsid w:val="0020247E"/>
    <w:rsid w:val="00203FD3"/>
    <w:rsid w:val="00204C19"/>
    <w:rsid w:val="00206222"/>
    <w:rsid w:val="00206B99"/>
    <w:rsid w:val="00214B96"/>
    <w:rsid w:val="00216595"/>
    <w:rsid w:val="00223F75"/>
    <w:rsid w:val="00231898"/>
    <w:rsid w:val="0023295B"/>
    <w:rsid w:val="0024497C"/>
    <w:rsid w:val="00246915"/>
    <w:rsid w:val="00247875"/>
    <w:rsid w:val="00247D11"/>
    <w:rsid w:val="00262666"/>
    <w:rsid w:val="00263720"/>
    <w:rsid w:val="00263BE9"/>
    <w:rsid w:val="0026656F"/>
    <w:rsid w:val="00273171"/>
    <w:rsid w:val="002805AC"/>
    <w:rsid w:val="00283B3F"/>
    <w:rsid w:val="002844AF"/>
    <w:rsid w:val="00291333"/>
    <w:rsid w:val="00296748"/>
    <w:rsid w:val="002A2985"/>
    <w:rsid w:val="002A4088"/>
    <w:rsid w:val="002A6EF0"/>
    <w:rsid w:val="002B0771"/>
    <w:rsid w:val="002B5C82"/>
    <w:rsid w:val="002B79C4"/>
    <w:rsid w:val="002C2DFD"/>
    <w:rsid w:val="002D11DC"/>
    <w:rsid w:val="002D1979"/>
    <w:rsid w:val="002E5366"/>
    <w:rsid w:val="002F19AF"/>
    <w:rsid w:val="002F4F72"/>
    <w:rsid w:val="002F7173"/>
    <w:rsid w:val="002F7484"/>
    <w:rsid w:val="002F7925"/>
    <w:rsid w:val="00300B3B"/>
    <w:rsid w:val="00304999"/>
    <w:rsid w:val="00307817"/>
    <w:rsid w:val="00307E06"/>
    <w:rsid w:val="00312470"/>
    <w:rsid w:val="003216DE"/>
    <w:rsid w:val="00321CC2"/>
    <w:rsid w:val="003253CA"/>
    <w:rsid w:val="00331836"/>
    <w:rsid w:val="003350EA"/>
    <w:rsid w:val="00337583"/>
    <w:rsid w:val="00340BBB"/>
    <w:rsid w:val="0034180B"/>
    <w:rsid w:val="00342CE5"/>
    <w:rsid w:val="003450E4"/>
    <w:rsid w:val="003510C2"/>
    <w:rsid w:val="00355E72"/>
    <w:rsid w:val="00360D34"/>
    <w:rsid w:val="003633B9"/>
    <w:rsid w:val="003646B9"/>
    <w:rsid w:val="003708D3"/>
    <w:rsid w:val="0037172E"/>
    <w:rsid w:val="00376CBF"/>
    <w:rsid w:val="00381DC3"/>
    <w:rsid w:val="00386D9A"/>
    <w:rsid w:val="003B373B"/>
    <w:rsid w:val="003B3D48"/>
    <w:rsid w:val="003B4BAF"/>
    <w:rsid w:val="003B6C7E"/>
    <w:rsid w:val="003B70F8"/>
    <w:rsid w:val="003D7C0E"/>
    <w:rsid w:val="003E0F2A"/>
    <w:rsid w:val="003E7801"/>
    <w:rsid w:val="00403EB8"/>
    <w:rsid w:val="004075FF"/>
    <w:rsid w:val="00410447"/>
    <w:rsid w:val="00411707"/>
    <w:rsid w:val="00421003"/>
    <w:rsid w:val="00435F97"/>
    <w:rsid w:val="0043753E"/>
    <w:rsid w:val="00457337"/>
    <w:rsid w:val="004713AE"/>
    <w:rsid w:val="00480436"/>
    <w:rsid w:val="00486A51"/>
    <w:rsid w:val="004961AD"/>
    <w:rsid w:val="004A16F8"/>
    <w:rsid w:val="004A2326"/>
    <w:rsid w:val="004A2FA8"/>
    <w:rsid w:val="004A319F"/>
    <w:rsid w:val="004B62DA"/>
    <w:rsid w:val="004B748E"/>
    <w:rsid w:val="004C015A"/>
    <w:rsid w:val="004C0A64"/>
    <w:rsid w:val="004D3ADD"/>
    <w:rsid w:val="004D5713"/>
    <w:rsid w:val="004D5934"/>
    <w:rsid w:val="004D7FD0"/>
    <w:rsid w:val="004F21E3"/>
    <w:rsid w:val="004F4063"/>
    <w:rsid w:val="004F5821"/>
    <w:rsid w:val="004F674E"/>
    <w:rsid w:val="00510956"/>
    <w:rsid w:val="005115C3"/>
    <w:rsid w:val="00514B2A"/>
    <w:rsid w:val="005179F3"/>
    <w:rsid w:val="00526DC4"/>
    <w:rsid w:val="005300DF"/>
    <w:rsid w:val="00531B2A"/>
    <w:rsid w:val="0053715D"/>
    <w:rsid w:val="00541B18"/>
    <w:rsid w:val="00544CC9"/>
    <w:rsid w:val="00553578"/>
    <w:rsid w:val="00557727"/>
    <w:rsid w:val="005609AA"/>
    <w:rsid w:val="00563B9C"/>
    <w:rsid w:val="005707BD"/>
    <w:rsid w:val="005720EB"/>
    <w:rsid w:val="005817AB"/>
    <w:rsid w:val="0058708A"/>
    <w:rsid w:val="00591091"/>
    <w:rsid w:val="00593333"/>
    <w:rsid w:val="005A118F"/>
    <w:rsid w:val="005A4480"/>
    <w:rsid w:val="005A493F"/>
    <w:rsid w:val="005B2365"/>
    <w:rsid w:val="005C4AFA"/>
    <w:rsid w:val="005D0907"/>
    <w:rsid w:val="005D1708"/>
    <w:rsid w:val="005D4FEA"/>
    <w:rsid w:val="005D65FC"/>
    <w:rsid w:val="005E40A8"/>
    <w:rsid w:val="005F2B81"/>
    <w:rsid w:val="00600609"/>
    <w:rsid w:val="006012BD"/>
    <w:rsid w:val="00602086"/>
    <w:rsid w:val="006031E8"/>
    <w:rsid w:val="00607309"/>
    <w:rsid w:val="00607F3D"/>
    <w:rsid w:val="00610C46"/>
    <w:rsid w:val="00621CC7"/>
    <w:rsid w:val="00630C62"/>
    <w:rsid w:val="00633FA0"/>
    <w:rsid w:val="00635849"/>
    <w:rsid w:val="006418C8"/>
    <w:rsid w:val="006427D9"/>
    <w:rsid w:val="00643498"/>
    <w:rsid w:val="00645E2A"/>
    <w:rsid w:val="00655BA3"/>
    <w:rsid w:val="00665723"/>
    <w:rsid w:val="0067297E"/>
    <w:rsid w:val="00676B6C"/>
    <w:rsid w:val="00676D68"/>
    <w:rsid w:val="0068325D"/>
    <w:rsid w:val="00692778"/>
    <w:rsid w:val="00695A2B"/>
    <w:rsid w:val="00696616"/>
    <w:rsid w:val="00696F11"/>
    <w:rsid w:val="006A7ADC"/>
    <w:rsid w:val="006B0B08"/>
    <w:rsid w:val="006B10A8"/>
    <w:rsid w:val="006B4FD6"/>
    <w:rsid w:val="006C2F23"/>
    <w:rsid w:val="006D148F"/>
    <w:rsid w:val="006E6E6B"/>
    <w:rsid w:val="006F2412"/>
    <w:rsid w:val="006F2FA7"/>
    <w:rsid w:val="00700013"/>
    <w:rsid w:val="00702862"/>
    <w:rsid w:val="00707245"/>
    <w:rsid w:val="0072215B"/>
    <w:rsid w:val="00723EDE"/>
    <w:rsid w:val="007273A5"/>
    <w:rsid w:val="00727A65"/>
    <w:rsid w:val="00727C09"/>
    <w:rsid w:val="00730DEA"/>
    <w:rsid w:val="007358F0"/>
    <w:rsid w:val="007561B2"/>
    <w:rsid w:val="00766389"/>
    <w:rsid w:val="00774F18"/>
    <w:rsid w:val="007758EE"/>
    <w:rsid w:val="007806D4"/>
    <w:rsid w:val="00782019"/>
    <w:rsid w:val="00792E46"/>
    <w:rsid w:val="007A0DD5"/>
    <w:rsid w:val="007B4DA5"/>
    <w:rsid w:val="007B57A7"/>
    <w:rsid w:val="007B6070"/>
    <w:rsid w:val="007C4D7C"/>
    <w:rsid w:val="007D2FC5"/>
    <w:rsid w:val="007D4645"/>
    <w:rsid w:val="007E2547"/>
    <w:rsid w:val="007E32FC"/>
    <w:rsid w:val="007E474F"/>
    <w:rsid w:val="007E716B"/>
    <w:rsid w:val="007F7F91"/>
    <w:rsid w:val="00801F35"/>
    <w:rsid w:val="008138FC"/>
    <w:rsid w:val="00831B55"/>
    <w:rsid w:val="0084114B"/>
    <w:rsid w:val="00846554"/>
    <w:rsid w:val="00864F72"/>
    <w:rsid w:val="00865CCC"/>
    <w:rsid w:val="00866BBE"/>
    <w:rsid w:val="00867705"/>
    <w:rsid w:val="00873D60"/>
    <w:rsid w:val="00873FD4"/>
    <w:rsid w:val="00875C51"/>
    <w:rsid w:val="008813B2"/>
    <w:rsid w:val="0088358F"/>
    <w:rsid w:val="008946EA"/>
    <w:rsid w:val="00894D4A"/>
    <w:rsid w:val="008A2AAE"/>
    <w:rsid w:val="008B1D4F"/>
    <w:rsid w:val="008B4EBC"/>
    <w:rsid w:val="008C508D"/>
    <w:rsid w:val="008C7B57"/>
    <w:rsid w:val="008D1236"/>
    <w:rsid w:val="008D247C"/>
    <w:rsid w:val="008D3F16"/>
    <w:rsid w:val="008F52F4"/>
    <w:rsid w:val="00903F1B"/>
    <w:rsid w:val="0091170B"/>
    <w:rsid w:val="009133A9"/>
    <w:rsid w:val="00920802"/>
    <w:rsid w:val="0092173B"/>
    <w:rsid w:val="00926FCD"/>
    <w:rsid w:val="00927607"/>
    <w:rsid w:val="009323EE"/>
    <w:rsid w:val="00944658"/>
    <w:rsid w:val="00946892"/>
    <w:rsid w:val="00947785"/>
    <w:rsid w:val="00956BA3"/>
    <w:rsid w:val="00964A87"/>
    <w:rsid w:val="00966532"/>
    <w:rsid w:val="00970C5E"/>
    <w:rsid w:val="00971C0C"/>
    <w:rsid w:val="00973D15"/>
    <w:rsid w:val="00974204"/>
    <w:rsid w:val="00976794"/>
    <w:rsid w:val="0097768E"/>
    <w:rsid w:val="009A33BE"/>
    <w:rsid w:val="009B1EAF"/>
    <w:rsid w:val="009B38C8"/>
    <w:rsid w:val="009C1C47"/>
    <w:rsid w:val="009D7058"/>
    <w:rsid w:val="009E0336"/>
    <w:rsid w:val="009E10EC"/>
    <w:rsid w:val="00A022D9"/>
    <w:rsid w:val="00A0357E"/>
    <w:rsid w:val="00A20AFA"/>
    <w:rsid w:val="00A20C4A"/>
    <w:rsid w:val="00A20F43"/>
    <w:rsid w:val="00A21B13"/>
    <w:rsid w:val="00A27138"/>
    <w:rsid w:val="00A3359F"/>
    <w:rsid w:val="00A36501"/>
    <w:rsid w:val="00A3690C"/>
    <w:rsid w:val="00A4105D"/>
    <w:rsid w:val="00A411C5"/>
    <w:rsid w:val="00A4628E"/>
    <w:rsid w:val="00A61673"/>
    <w:rsid w:val="00A64CF4"/>
    <w:rsid w:val="00A72E07"/>
    <w:rsid w:val="00A8007D"/>
    <w:rsid w:val="00A83D36"/>
    <w:rsid w:val="00A87174"/>
    <w:rsid w:val="00A90E6E"/>
    <w:rsid w:val="00A91148"/>
    <w:rsid w:val="00A94E2C"/>
    <w:rsid w:val="00AB00F1"/>
    <w:rsid w:val="00AB628D"/>
    <w:rsid w:val="00AD2DDF"/>
    <w:rsid w:val="00AD38ED"/>
    <w:rsid w:val="00AD4282"/>
    <w:rsid w:val="00AD77FD"/>
    <w:rsid w:val="00AD7F20"/>
    <w:rsid w:val="00AE3C7A"/>
    <w:rsid w:val="00AE50A1"/>
    <w:rsid w:val="00AE66AD"/>
    <w:rsid w:val="00AF7816"/>
    <w:rsid w:val="00B03248"/>
    <w:rsid w:val="00B049EC"/>
    <w:rsid w:val="00B04DD6"/>
    <w:rsid w:val="00B060EA"/>
    <w:rsid w:val="00B07A79"/>
    <w:rsid w:val="00B10264"/>
    <w:rsid w:val="00B1212B"/>
    <w:rsid w:val="00B20801"/>
    <w:rsid w:val="00B31114"/>
    <w:rsid w:val="00B314D2"/>
    <w:rsid w:val="00B32493"/>
    <w:rsid w:val="00B37C1A"/>
    <w:rsid w:val="00B460A6"/>
    <w:rsid w:val="00B55C20"/>
    <w:rsid w:val="00B7058E"/>
    <w:rsid w:val="00B70EC1"/>
    <w:rsid w:val="00B7103E"/>
    <w:rsid w:val="00B72FDD"/>
    <w:rsid w:val="00B76804"/>
    <w:rsid w:val="00B83947"/>
    <w:rsid w:val="00B87E94"/>
    <w:rsid w:val="00B90ED9"/>
    <w:rsid w:val="00B9364E"/>
    <w:rsid w:val="00B97003"/>
    <w:rsid w:val="00BA42E0"/>
    <w:rsid w:val="00BA7295"/>
    <w:rsid w:val="00BB0E1B"/>
    <w:rsid w:val="00BB2686"/>
    <w:rsid w:val="00BB3A20"/>
    <w:rsid w:val="00BC1172"/>
    <w:rsid w:val="00BD0C43"/>
    <w:rsid w:val="00BD0E39"/>
    <w:rsid w:val="00BD3656"/>
    <w:rsid w:val="00BE1BBE"/>
    <w:rsid w:val="00BE4FDC"/>
    <w:rsid w:val="00BF2AD9"/>
    <w:rsid w:val="00C06502"/>
    <w:rsid w:val="00C07ADF"/>
    <w:rsid w:val="00C14B07"/>
    <w:rsid w:val="00C22D64"/>
    <w:rsid w:val="00C32FBE"/>
    <w:rsid w:val="00C360C6"/>
    <w:rsid w:val="00C41357"/>
    <w:rsid w:val="00C43DAB"/>
    <w:rsid w:val="00C56885"/>
    <w:rsid w:val="00C57680"/>
    <w:rsid w:val="00C57997"/>
    <w:rsid w:val="00C6230B"/>
    <w:rsid w:val="00C642DB"/>
    <w:rsid w:val="00C6533E"/>
    <w:rsid w:val="00C76A7C"/>
    <w:rsid w:val="00C80261"/>
    <w:rsid w:val="00C92572"/>
    <w:rsid w:val="00C9510A"/>
    <w:rsid w:val="00C962CF"/>
    <w:rsid w:val="00CA3845"/>
    <w:rsid w:val="00CB0B6B"/>
    <w:rsid w:val="00CC610F"/>
    <w:rsid w:val="00CD1491"/>
    <w:rsid w:val="00CD64DE"/>
    <w:rsid w:val="00CE0E75"/>
    <w:rsid w:val="00CE5C32"/>
    <w:rsid w:val="00CF1602"/>
    <w:rsid w:val="00CF6971"/>
    <w:rsid w:val="00D00AC1"/>
    <w:rsid w:val="00D16547"/>
    <w:rsid w:val="00D20368"/>
    <w:rsid w:val="00D23422"/>
    <w:rsid w:val="00D24260"/>
    <w:rsid w:val="00D335FC"/>
    <w:rsid w:val="00D3635F"/>
    <w:rsid w:val="00D44A24"/>
    <w:rsid w:val="00D44BCB"/>
    <w:rsid w:val="00D52F8B"/>
    <w:rsid w:val="00D566F5"/>
    <w:rsid w:val="00D568C0"/>
    <w:rsid w:val="00D64959"/>
    <w:rsid w:val="00D718E2"/>
    <w:rsid w:val="00D71AD9"/>
    <w:rsid w:val="00D7305D"/>
    <w:rsid w:val="00D74FDC"/>
    <w:rsid w:val="00D80D42"/>
    <w:rsid w:val="00D9154A"/>
    <w:rsid w:val="00D93271"/>
    <w:rsid w:val="00D96319"/>
    <w:rsid w:val="00D96F90"/>
    <w:rsid w:val="00DA0CA2"/>
    <w:rsid w:val="00DA158D"/>
    <w:rsid w:val="00DA16B7"/>
    <w:rsid w:val="00DA2E08"/>
    <w:rsid w:val="00DA4B87"/>
    <w:rsid w:val="00DB0766"/>
    <w:rsid w:val="00DB4D86"/>
    <w:rsid w:val="00DC5269"/>
    <w:rsid w:val="00DD1BAF"/>
    <w:rsid w:val="00DD4E98"/>
    <w:rsid w:val="00DD58B8"/>
    <w:rsid w:val="00DE5048"/>
    <w:rsid w:val="00DF6B72"/>
    <w:rsid w:val="00E013E9"/>
    <w:rsid w:val="00E02932"/>
    <w:rsid w:val="00E12B19"/>
    <w:rsid w:val="00E152C2"/>
    <w:rsid w:val="00E16654"/>
    <w:rsid w:val="00E2021C"/>
    <w:rsid w:val="00E21CDD"/>
    <w:rsid w:val="00E33520"/>
    <w:rsid w:val="00E3623E"/>
    <w:rsid w:val="00E37775"/>
    <w:rsid w:val="00E43435"/>
    <w:rsid w:val="00E51B95"/>
    <w:rsid w:val="00E659F7"/>
    <w:rsid w:val="00E67D3C"/>
    <w:rsid w:val="00E75BB5"/>
    <w:rsid w:val="00E80A78"/>
    <w:rsid w:val="00E836C7"/>
    <w:rsid w:val="00E90E54"/>
    <w:rsid w:val="00E915AE"/>
    <w:rsid w:val="00E92F27"/>
    <w:rsid w:val="00E94929"/>
    <w:rsid w:val="00EA2C19"/>
    <w:rsid w:val="00EA31F3"/>
    <w:rsid w:val="00EA4F63"/>
    <w:rsid w:val="00EB0DD5"/>
    <w:rsid w:val="00EB34B7"/>
    <w:rsid w:val="00EC45FC"/>
    <w:rsid w:val="00EC4A4E"/>
    <w:rsid w:val="00EC6A8E"/>
    <w:rsid w:val="00EC6BCB"/>
    <w:rsid w:val="00ED0231"/>
    <w:rsid w:val="00ED073E"/>
    <w:rsid w:val="00ED12AC"/>
    <w:rsid w:val="00ED315C"/>
    <w:rsid w:val="00ED5260"/>
    <w:rsid w:val="00EE2A5B"/>
    <w:rsid w:val="00EE2FF3"/>
    <w:rsid w:val="00EE61AF"/>
    <w:rsid w:val="00EF7AFD"/>
    <w:rsid w:val="00F02DE0"/>
    <w:rsid w:val="00F053FC"/>
    <w:rsid w:val="00F079CC"/>
    <w:rsid w:val="00F20D50"/>
    <w:rsid w:val="00F26CE1"/>
    <w:rsid w:val="00F30F7B"/>
    <w:rsid w:val="00F313C9"/>
    <w:rsid w:val="00F35DBE"/>
    <w:rsid w:val="00F40ED5"/>
    <w:rsid w:val="00F4377C"/>
    <w:rsid w:val="00F52C3B"/>
    <w:rsid w:val="00F551B0"/>
    <w:rsid w:val="00F6398A"/>
    <w:rsid w:val="00F8181F"/>
    <w:rsid w:val="00F83C99"/>
    <w:rsid w:val="00F92334"/>
    <w:rsid w:val="00F92DF2"/>
    <w:rsid w:val="00F96FB0"/>
    <w:rsid w:val="00F97835"/>
    <w:rsid w:val="00FA0211"/>
    <w:rsid w:val="00FA12FB"/>
    <w:rsid w:val="00FA3C84"/>
    <w:rsid w:val="00FB0C37"/>
    <w:rsid w:val="00FC1289"/>
    <w:rsid w:val="00FC1EB5"/>
    <w:rsid w:val="00FC773B"/>
    <w:rsid w:val="00FC7940"/>
    <w:rsid w:val="00FD0CFA"/>
    <w:rsid w:val="00FD1446"/>
    <w:rsid w:val="00FD3D56"/>
    <w:rsid w:val="00FD46BA"/>
    <w:rsid w:val="00FD5D4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4DCA0D4-FCB7-446C-9057-5DDF36DE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CC5F-04A9-40B6-8D10-91008302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1479</Words>
  <Characters>8136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21</cp:revision>
  <cp:lastPrinted>2018-02-07T21:51:00Z</cp:lastPrinted>
  <dcterms:created xsi:type="dcterms:W3CDTF">2017-12-08T17:41:00Z</dcterms:created>
  <dcterms:modified xsi:type="dcterms:W3CDTF">2018-12-08T19:23:00Z</dcterms:modified>
</cp:coreProperties>
</file>