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DE" w:rsidRDefault="00896FDE" w:rsidP="00042A50"/>
    <w:tbl>
      <w:tblPr>
        <w:tblpPr w:leftFromText="141" w:rightFromText="141" w:vertAnchor="page" w:horzAnchor="margin" w:tblpXSpec="right" w:tblpY="1126"/>
        <w:tblW w:w="9407" w:type="dxa"/>
        <w:tblLayout w:type="fixed"/>
        <w:tblCellMar>
          <w:left w:w="70" w:type="dxa"/>
          <w:right w:w="70" w:type="dxa"/>
        </w:tblCellMar>
        <w:tblLook w:val="0000" w:firstRow="0" w:lastRow="0" w:firstColumn="0" w:lastColumn="0" w:noHBand="0" w:noVBand="0"/>
      </w:tblPr>
      <w:tblGrid>
        <w:gridCol w:w="2266"/>
        <w:gridCol w:w="7141"/>
      </w:tblGrid>
      <w:tr w:rsidR="00896FDE" w:rsidRPr="00372D3D" w:rsidTr="00C5204D">
        <w:trPr>
          <w:trHeight w:val="2659"/>
        </w:trPr>
        <w:tc>
          <w:tcPr>
            <w:tcW w:w="2266" w:type="dxa"/>
          </w:tcPr>
          <w:p w:rsidR="00896FDE" w:rsidRPr="00372D3D" w:rsidRDefault="00896FDE" w:rsidP="00C5204D">
            <w:pPr>
              <w:spacing w:after="0" w:line="240" w:lineRule="auto"/>
              <w:jc w:val="center"/>
              <w:rPr>
                <w:rFonts w:ascii="Arial" w:eastAsia="Calibri" w:hAnsi="Arial" w:cs="Arial"/>
                <w:b/>
                <w:sz w:val="26"/>
                <w:szCs w:val="26"/>
                <w:lang w:val="es-ES"/>
              </w:rPr>
            </w:pPr>
          </w:p>
        </w:tc>
        <w:tc>
          <w:tcPr>
            <w:tcW w:w="7141" w:type="dxa"/>
          </w:tcPr>
          <w:p w:rsidR="00896FDE" w:rsidRPr="001B33F7" w:rsidRDefault="00896FDE" w:rsidP="00F63EC0">
            <w:pPr>
              <w:tabs>
                <w:tab w:val="left" w:pos="693"/>
                <w:tab w:val="left" w:pos="3103"/>
              </w:tabs>
              <w:spacing w:after="0" w:line="240" w:lineRule="auto"/>
              <w:ind w:left="1987"/>
              <w:jc w:val="both"/>
              <w:rPr>
                <w:rFonts w:ascii="Arial" w:eastAsia="Calibri" w:hAnsi="Arial" w:cs="Arial"/>
                <w:b/>
                <w:iCs/>
                <w:caps/>
                <w:sz w:val="26"/>
                <w:szCs w:val="26"/>
                <w:lang w:val="es-ES"/>
              </w:rPr>
            </w:pPr>
            <w:r w:rsidRPr="001B33F7">
              <w:rPr>
                <w:rFonts w:ascii="Arial" w:eastAsia="Calibri" w:hAnsi="Arial" w:cs="Arial"/>
                <w:b/>
                <w:iCs/>
                <w:caps/>
                <w:sz w:val="26"/>
                <w:szCs w:val="26"/>
                <w:lang w:val="es-ES"/>
              </w:rPr>
              <w:t>SALA SUPERIOR DEL TRIBUNAL DE</w:t>
            </w:r>
            <w:r w:rsidR="00F63EC0">
              <w:rPr>
                <w:rFonts w:ascii="Arial" w:eastAsia="Calibri" w:hAnsi="Arial" w:cs="Arial"/>
                <w:b/>
                <w:iCs/>
                <w:caps/>
                <w:sz w:val="26"/>
                <w:szCs w:val="26"/>
                <w:lang w:val="es-ES"/>
              </w:rPr>
              <w:t xml:space="preserve"> JUSTICIA ADMINISTRATIVA DEL ESTADO DE OAXACA</w:t>
            </w:r>
            <w:r w:rsidRPr="001B33F7">
              <w:rPr>
                <w:rFonts w:ascii="Arial" w:eastAsia="Calibri" w:hAnsi="Arial" w:cs="Arial"/>
                <w:b/>
                <w:iCs/>
                <w:caps/>
                <w:sz w:val="26"/>
                <w:szCs w:val="26"/>
                <w:lang w:val="es-ES"/>
              </w:rPr>
              <w:t>.</w:t>
            </w:r>
          </w:p>
          <w:p w:rsidR="00896FDE" w:rsidRPr="001B33F7" w:rsidRDefault="00896FDE" w:rsidP="00C5204D">
            <w:pPr>
              <w:tabs>
                <w:tab w:val="left" w:pos="693"/>
                <w:tab w:val="right" w:pos="8504"/>
              </w:tabs>
              <w:spacing w:after="0" w:line="240" w:lineRule="auto"/>
              <w:ind w:left="1987" w:right="51"/>
              <w:jc w:val="both"/>
              <w:rPr>
                <w:rFonts w:ascii="Arial" w:eastAsia="PMingLiU" w:hAnsi="Arial" w:cs="Arial"/>
                <w:b/>
                <w:iCs/>
                <w:caps/>
                <w:sz w:val="26"/>
                <w:szCs w:val="26"/>
                <w:lang w:val="es-ES" w:eastAsia="zh-TW"/>
              </w:rPr>
            </w:pPr>
          </w:p>
          <w:p w:rsidR="00896FDE" w:rsidRPr="001B33F7" w:rsidRDefault="00896FDE" w:rsidP="00C5204D">
            <w:pPr>
              <w:tabs>
                <w:tab w:val="left" w:pos="693"/>
                <w:tab w:val="right" w:pos="8504"/>
              </w:tabs>
              <w:spacing w:after="0" w:line="240" w:lineRule="auto"/>
              <w:ind w:left="1987"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RECURSO DE REVISIÓN:   0585</w:t>
            </w:r>
            <w:r w:rsidRPr="001B33F7">
              <w:rPr>
                <w:rFonts w:ascii="Arial" w:eastAsia="PMingLiU" w:hAnsi="Arial" w:cs="Arial"/>
                <w:b/>
                <w:iCs/>
                <w:caps/>
                <w:sz w:val="26"/>
                <w:szCs w:val="26"/>
                <w:lang w:val="es-ES" w:eastAsia="zh-TW"/>
              </w:rPr>
              <w:t>/2017</w:t>
            </w:r>
          </w:p>
          <w:p w:rsidR="00896FDE" w:rsidRPr="001B33F7" w:rsidRDefault="00896FDE" w:rsidP="00C5204D">
            <w:pPr>
              <w:tabs>
                <w:tab w:val="left" w:pos="693"/>
                <w:tab w:val="right" w:pos="8504"/>
              </w:tabs>
              <w:spacing w:after="0" w:line="240" w:lineRule="auto"/>
              <w:ind w:left="1987" w:right="51"/>
              <w:jc w:val="both"/>
              <w:rPr>
                <w:rFonts w:ascii="Arial" w:eastAsia="PMingLiU" w:hAnsi="Arial" w:cs="Arial"/>
                <w:b/>
                <w:iCs/>
                <w:caps/>
                <w:sz w:val="26"/>
                <w:szCs w:val="26"/>
                <w:lang w:val="es-ES" w:eastAsia="zh-TW"/>
              </w:rPr>
            </w:pPr>
          </w:p>
          <w:p w:rsidR="00896FDE" w:rsidRPr="001B33F7" w:rsidRDefault="00896FDE" w:rsidP="00C5204D">
            <w:pPr>
              <w:tabs>
                <w:tab w:val="left" w:pos="693"/>
                <w:tab w:val="right" w:pos="8504"/>
              </w:tabs>
              <w:spacing w:after="0" w:line="240" w:lineRule="auto"/>
              <w:ind w:left="1987"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EXPEDIENTE: 0005/2017</w:t>
            </w:r>
            <w:r w:rsidRPr="001B33F7">
              <w:rPr>
                <w:rFonts w:ascii="Arial" w:eastAsia="PMingLiU" w:hAnsi="Arial" w:cs="Arial"/>
                <w:b/>
                <w:iCs/>
                <w:caps/>
                <w:sz w:val="26"/>
                <w:szCs w:val="26"/>
                <w:lang w:val="es-ES" w:eastAsia="zh-TW"/>
              </w:rPr>
              <w:t xml:space="preserve"> DE LA SE</w:t>
            </w:r>
            <w:r>
              <w:rPr>
                <w:rFonts w:ascii="Arial" w:eastAsia="PMingLiU" w:hAnsi="Arial" w:cs="Arial"/>
                <w:b/>
                <w:iCs/>
                <w:caps/>
                <w:sz w:val="26"/>
                <w:szCs w:val="26"/>
                <w:lang w:val="es-ES" w:eastAsia="zh-TW"/>
              </w:rPr>
              <w:t>XTA</w:t>
            </w:r>
            <w:r w:rsidRPr="001B33F7">
              <w:rPr>
                <w:rFonts w:ascii="Arial" w:eastAsia="PMingLiU" w:hAnsi="Arial" w:cs="Arial"/>
                <w:b/>
                <w:iCs/>
                <w:caps/>
                <w:sz w:val="26"/>
                <w:szCs w:val="26"/>
                <w:lang w:val="es-ES" w:eastAsia="zh-TW"/>
              </w:rPr>
              <w:t xml:space="preserve"> SALA UNITARIA DE PRIMERA INSTANCIA.</w:t>
            </w:r>
          </w:p>
          <w:p w:rsidR="00896FDE" w:rsidRPr="001B33F7" w:rsidRDefault="00896FDE" w:rsidP="00C5204D">
            <w:pPr>
              <w:tabs>
                <w:tab w:val="left" w:pos="693"/>
                <w:tab w:val="right" w:pos="8504"/>
              </w:tabs>
              <w:spacing w:after="0" w:line="240" w:lineRule="auto"/>
              <w:ind w:left="1987" w:right="51"/>
              <w:jc w:val="both"/>
              <w:rPr>
                <w:rFonts w:ascii="Arial" w:eastAsia="PMingLiU" w:hAnsi="Arial" w:cs="Arial"/>
                <w:b/>
                <w:iCs/>
                <w:caps/>
                <w:sz w:val="26"/>
                <w:szCs w:val="26"/>
                <w:lang w:val="es-ES" w:eastAsia="zh-TW"/>
              </w:rPr>
            </w:pPr>
          </w:p>
          <w:p w:rsidR="00896FDE" w:rsidRPr="001B33F7" w:rsidRDefault="00896FDE" w:rsidP="00C5204D">
            <w:pPr>
              <w:tabs>
                <w:tab w:val="left" w:pos="693"/>
                <w:tab w:val="right" w:pos="8504"/>
              </w:tabs>
              <w:spacing w:after="0" w:line="240" w:lineRule="auto"/>
              <w:ind w:left="1987" w:right="51"/>
              <w:jc w:val="both"/>
              <w:rPr>
                <w:rFonts w:ascii="Arial" w:eastAsia="PMingLiU" w:hAnsi="Arial" w:cs="Arial"/>
                <w:b/>
                <w:iCs/>
                <w:caps/>
                <w:sz w:val="26"/>
                <w:szCs w:val="26"/>
                <w:lang w:val="es-ES" w:eastAsia="zh-TW"/>
              </w:rPr>
            </w:pPr>
            <w:r w:rsidRPr="001B33F7">
              <w:rPr>
                <w:rFonts w:ascii="Arial" w:eastAsia="PMingLiU" w:hAnsi="Arial" w:cs="Arial"/>
                <w:b/>
                <w:iCs/>
                <w:caps/>
                <w:sz w:val="26"/>
                <w:szCs w:val="26"/>
                <w:lang w:val="es-ES" w:eastAsia="zh-TW"/>
              </w:rPr>
              <w:t>MAGISTRADO ponente: HUGO VILLEGAS AQUINO.</w:t>
            </w:r>
          </w:p>
          <w:p w:rsidR="00896FDE" w:rsidRPr="00372D3D" w:rsidRDefault="00896FDE" w:rsidP="00C5204D">
            <w:pPr>
              <w:tabs>
                <w:tab w:val="left" w:pos="693"/>
                <w:tab w:val="right" w:pos="8504"/>
              </w:tabs>
              <w:spacing w:after="0" w:line="240" w:lineRule="auto"/>
              <w:ind w:left="835" w:right="51" w:hanging="709"/>
              <w:jc w:val="center"/>
              <w:rPr>
                <w:rFonts w:ascii="Arial" w:eastAsia="PMingLiU" w:hAnsi="Arial" w:cs="Arial"/>
                <w:b/>
                <w:iCs/>
                <w:caps/>
                <w:sz w:val="26"/>
                <w:szCs w:val="26"/>
                <w:lang w:val="es-ES" w:eastAsia="zh-TW"/>
              </w:rPr>
            </w:pPr>
          </w:p>
        </w:tc>
      </w:tr>
      <w:tr w:rsidR="00896FDE" w:rsidRPr="00372D3D" w:rsidTr="00C5204D">
        <w:trPr>
          <w:trHeight w:val="207"/>
        </w:trPr>
        <w:tc>
          <w:tcPr>
            <w:tcW w:w="2266" w:type="dxa"/>
          </w:tcPr>
          <w:p w:rsidR="00896FDE" w:rsidRPr="00372D3D" w:rsidRDefault="00896FDE" w:rsidP="00C5204D">
            <w:pPr>
              <w:spacing w:after="0" w:line="240" w:lineRule="auto"/>
              <w:jc w:val="center"/>
              <w:rPr>
                <w:rFonts w:ascii="Arial" w:eastAsia="Calibri" w:hAnsi="Arial" w:cs="Arial"/>
                <w:b/>
                <w:sz w:val="26"/>
                <w:szCs w:val="26"/>
                <w:lang w:val="es-ES"/>
              </w:rPr>
            </w:pPr>
          </w:p>
        </w:tc>
        <w:tc>
          <w:tcPr>
            <w:tcW w:w="7141" w:type="dxa"/>
          </w:tcPr>
          <w:p w:rsidR="00896FDE" w:rsidRPr="00372D3D" w:rsidRDefault="00896FDE" w:rsidP="00C5204D">
            <w:pPr>
              <w:tabs>
                <w:tab w:val="left" w:pos="693"/>
                <w:tab w:val="left" w:pos="3103"/>
              </w:tabs>
              <w:spacing w:after="0" w:line="240" w:lineRule="auto"/>
              <w:ind w:left="835" w:hanging="709"/>
              <w:jc w:val="center"/>
              <w:rPr>
                <w:rFonts w:ascii="Arial" w:eastAsia="Calibri" w:hAnsi="Arial" w:cs="Arial"/>
                <w:b/>
                <w:iCs/>
                <w:caps/>
                <w:sz w:val="26"/>
                <w:szCs w:val="26"/>
                <w:lang w:val="es-ES"/>
              </w:rPr>
            </w:pPr>
          </w:p>
        </w:tc>
      </w:tr>
    </w:tbl>
    <w:p w:rsidR="007710FF" w:rsidRDefault="00392A36" w:rsidP="00896FDE">
      <w:pPr>
        <w:spacing w:after="0" w:line="360" w:lineRule="auto"/>
        <w:jc w:val="both"/>
        <w:rPr>
          <w:rFonts w:ascii="Arial" w:hAnsi="Arial" w:cs="Arial"/>
          <w:b/>
          <w:sz w:val="26"/>
          <w:szCs w:val="26"/>
        </w:rPr>
      </w:pPr>
      <w:r>
        <w:rPr>
          <w:rFonts w:ascii="Arial" w:hAnsi="Arial" w:cs="Arial"/>
          <w:b/>
          <w:sz w:val="26"/>
          <w:szCs w:val="26"/>
        </w:rPr>
        <w:t xml:space="preserve">OAXACA DE JUÁREZ, OAXACA, OCHO </w:t>
      </w:r>
      <w:r w:rsidR="00896FDE" w:rsidRPr="009041CC">
        <w:rPr>
          <w:rFonts w:ascii="Arial" w:hAnsi="Arial" w:cs="Arial"/>
          <w:b/>
          <w:sz w:val="26"/>
          <w:szCs w:val="26"/>
        </w:rPr>
        <w:t xml:space="preserve">DE </w:t>
      </w:r>
      <w:r w:rsidR="009E0C1F">
        <w:rPr>
          <w:rFonts w:ascii="Arial" w:hAnsi="Arial" w:cs="Arial"/>
          <w:b/>
          <w:sz w:val="26"/>
          <w:szCs w:val="26"/>
        </w:rPr>
        <w:t>MARZO</w:t>
      </w:r>
      <w:r w:rsidR="00896FDE" w:rsidRPr="009041CC">
        <w:rPr>
          <w:rFonts w:ascii="Arial" w:hAnsi="Arial" w:cs="Arial"/>
          <w:b/>
          <w:sz w:val="26"/>
          <w:szCs w:val="26"/>
        </w:rPr>
        <w:t xml:space="preserve"> DE DOS MIL </w:t>
      </w:r>
      <w:r w:rsidR="00BC28C6">
        <w:rPr>
          <w:rFonts w:ascii="Arial" w:hAnsi="Arial" w:cs="Arial"/>
          <w:b/>
          <w:sz w:val="26"/>
          <w:szCs w:val="26"/>
        </w:rPr>
        <w:t>DIECI</w:t>
      </w:r>
      <w:r w:rsidR="00896FDE">
        <w:rPr>
          <w:rFonts w:ascii="Arial" w:hAnsi="Arial" w:cs="Arial"/>
          <w:b/>
          <w:sz w:val="26"/>
          <w:szCs w:val="26"/>
        </w:rPr>
        <w:t>OCHO</w:t>
      </w:r>
      <w:r w:rsidR="00896FDE" w:rsidRPr="009041CC">
        <w:rPr>
          <w:rFonts w:ascii="Arial" w:hAnsi="Arial" w:cs="Arial"/>
          <w:b/>
          <w:sz w:val="26"/>
          <w:szCs w:val="26"/>
        </w:rPr>
        <w:t>.</w:t>
      </w:r>
    </w:p>
    <w:p w:rsidR="00896FDE" w:rsidRDefault="00896FDE" w:rsidP="00392A36">
      <w:pPr>
        <w:spacing w:after="0" w:line="360" w:lineRule="auto"/>
        <w:jc w:val="both"/>
        <w:rPr>
          <w:rFonts w:ascii="Arial" w:eastAsia="Calibri" w:hAnsi="Arial" w:cs="Arial"/>
          <w:sz w:val="26"/>
          <w:szCs w:val="26"/>
        </w:rPr>
      </w:pPr>
      <w:r>
        <w:rPr>
          <w:rFonts w:ascii="Arial" w:hAnsi="Arial" w:cs="Arial"/>
          <w:b/>
          <w:sz w:val="26"/>
          <w:szCs w:val="26"/>
        </w:rPr>
        <w:tab/>
      </w:r>
      <w:r w:rsidRPr="00950A6D">
        <w:rPr>
          <w:rFonts w:ascii="Arial" w:eastAsia="Calibri" w:hAnsi="Arial" w:cs="Arial"/>
          <w:sz w:val="26"/>
          <w:szCs w:val="26"/>
        </w:rPr>
        <w:t xml:space="preserve">Por recibido el Cuaderno de Revisión </w:t>
      </w:r>
      <w:r>
        <w:rPr>
          <w:rFonts w:ascii="Arial" w:eastAsia="Calibri" w:hAnsi="Arial" w:cs="Arial"/>
          <w:b/>
          <w:sz w:val="26"/>
          <w:szCs w:val="26"/>
        </w:rPr>
        <w:t>0585/2017</w:t>
      </w:r>
      <w:r w:rsidRPr="00950A6D">
        <w:rPr>
          <w:rFonts w:ascii="Arial" w:eastAsia="Calibri" w:hAnsi="Arial" w:cs="Arial"/>
          <w:sz w:val="26"/>
          <w:szCs w:val="26"/>
        </w:rPr>
        <w:t xml:space="preserve">, que remite la Secretaría General de Acuerdos, con motivo del recurso de revisión interpuesto por el </w:t>
      </w:r>
      <w:r w:rsidRPr="00950A6D">
        <w:rPr>
          <w:rFonts w:ascii="Arial" w:eastAsia="Calibri" w:hAnsi="Arial" w:cs="Arial"/>
          <w:b/>
          <w:sz w:val="26"/>
          <w:szCs w:val="26"/>
        </w:rPr>
        <w:t xml:space="preserve">DIRECTOR GENERAL DE LA OFICINA DE PENSIONES DEL GOBIERNO DEL ESTADO DE OAXACA, </w:t>
      </w:r>
      <w:r>
        <w:rPr>
          <w:rFonts w:ascii="Arial" w:eastAsia="Calibri" w:hAnsi="Arial" w:cs="Arial"/>
          <w:sz w:val="26"/>
          <w:szCs w:val="26"/>
        </w:rPr>
        <w:t>en contra de la sentencia de quince</w:t>
      </w:r>
      <w:r w:rsidRPr="00950A6D">
        <w:rPr>
          <w:rFonts w:ascii="Arial" w:eastAsia="Calibri" w:hAnsi="Arial" w:cs="Arial"/>
          <w:sz w:val="26"/>
          <w:szCs w:val="26"/>
        </w:rPr>
        <w:t xml:space="preserve"> de </w:t>
      </w:r>
      <w:r>
        <w:rPr>
          <w:rFonts w:ascii="Arial" w:eastAsia="Calibri" w:hAnsi="Arial" w:cs="Arial"/>
          <w:sz w:val="26"/>
          <w:szCs w:val="26"/>
        </w:rPr>
        <w:t xml:space="preserve">agosto de </w:t>
      </w:r>
      <w:r w:rsidRPr="00950A6D">
        <w:rPr>
          <w:rFonts w:ascii="Arial" w:eastAsia="Calibri" w:hAnsi="Arial" w:cs="Arial"/>
          <w:sz w:val="26"/>
          <w:szCs w:val="26"/>
        </w:rPr>
        <w:t xml:space="preserve">dos mil </w:t>
      </w:r>
      <w:r>
        <w:rPr>
          <w:rFonts w:ascii="Arial" w:eastAsia="Calibri" w:hAnsi="Arial" w:cs="Arial"/>
          <w:sz w:val="26"/>
          <w:szCs w:val="26"/>
        </w:rPr>
        <w:t>diecisiete</w:t>
      </w:r>
      <w:r w:rsidRPr="00950A6D">
        <w:rPr>
          <w:rFonts w:ascii="Arial" w:eastAsia="Calibri" w:hAnsi="Arial" w:cs="Arial"/>
          <w:sz w:val="26"/>
          <w:szCs w:val="26"/>
        </w:rPr>
        <w:t xml:space="preserve">, dictada en el expediente </w:t>
      </w:r>
      <w:r>
        <w:rPr>
          <w:rFonts w:ascii="Arial" w:eastAsia="Calibri" w:hAnsi="Arial" w:cs="Arial"/>
          <w:b/>
          <w:sz w:val="26"/>
          <w:szCs w:val="26"/>
        </w:rPr>
        <w:t>0005</w:t>
      </w:r>
      <w:r w:rsidRPr="00950A6D">
        <w:rPr>
          <w:rFonts w:ascii="Arial" w:eastAsia="Calibri" w:hAnsi="Arial" w:cs="Arial"/>
          <w:b/>
          <w:sz w:val="26"/>
          <w:szCs w:val="26"/>
        </w:rPr>
        <w:t>/201</w:t>
      </w:r>
      <w:r>
        <w:rPr>
          <w:rFonts w:ascii="Arial" w:eastAsia="Calibri" w:hAnsi="Arial" w:cs="Arial"/>
          <w:b/>
          <w:sz w:val="26"/>
          <w:szCs w:val="26"/>
        </w:rPr>
        <w:t>7</w:t>
      </w:r>
      <w:r w:rsidRPr="00950A6D">
        <w:rPr>
          <w:rFonts w:ascii="Arial" w:eastAsia="Calibri" w:hAnsi="Arial" w:cs="Arial"/>
          <w:b/>
          <w:sz w:val="26"/>
          <w:szCs w:val="26"/>
        </w:rPr>
        <w:t>,</w:t>
      </w:r>
      <w:r w:rsidRPr="00950A6D">
        <w:rPr>
          <w:rFonts w:ascii="Arial" w:eastAsia="Calibri" w:hAnsi="Arial" w:cs="Arial"/>
          <w:sz w:val="26"/>
          <w:szCs w:val="26"/>
        </w:rPr>
        <w:t xml:space="preserve"> del índice </w:t>
      </w:r>
      <w:r w:rsidRPr="00950A6D">
        <w:rPr>
          <w:rFonts w:ascii="Arial" w:hAnsi="Arial" w:cs="Arial"/>
          <w:sz w:val="26"/>
          <w:szCs w:val="26"/>
        </w:rPr>
        <w:t xml:space="preserve">de la </w:t>
      </w:r>
      <w:r>
        <w:rPr>
          <w:rFonts w:ascii="Arial" w:hAnsi="Arial" w:cs="Arial"/>
          <w:sz w:val="26"/>
          <w:szCs w:val="26"/>
        </w:rPr>
        <w:t>Sexta</w:t>
      </w:r>
      <w:r w:rsidRPr="00950A6D">
        <w:rPr>
          <w:rFonts w:ascii="Arial" w:hAnsi="Arial" w:cs="Arial"/>
          <w:sz w:val="26"/>
          <w:szCs w:val="26"/>
        </w:rPr>
        <w:t xml:space="preserve"> Sala Unitaria de Primera Instancia de</w:t>
      </w:r>
      <w:r w:rsidR="004066BF">
        <w:rPr>
          <w:rFonts w:ascii="Arial" w:hAnsi="Arial" w:cs="Arial"/>
          <w:sz w:val="26"/>
          <w:szCs w:val="26"/>
        </w:rPr>
        <w:t xml:space="preserve"> este </w:t>
      </w:r>
      <w:r w:rsidRPr="00950A6D">
        <w:rPr>
          <w:rFonts w:ascii="Arial" w:hAnsi="Arial" w:cs="Arial"/>
          <w:sz w:val="26"/>
          <w:szCs w:val="26"/>
        </w:rPr>
        <w:t xml:space="preserve">Tribunal, relativo al juicio de nulidad promovido por </w:t>
      </w:r>
      <w:r w:rsidR="00D96D98">
        <w:rPr>
          <w:rFonts w:ascii="Arial" w:eastAsia="Calibri" w:hAnsi="Arial" w:cs="Arial"/>
          <w:b/>
          <w:sz w:val="26"/>
          <w:szCs w:val="26"/>
        </w:rPr>
        <w:t>**********</w:t>
      </w:r>
      <w:r w:rsidRPr="00950A6D">
        <w:rPr>
          <w:rFonts w:ascii="Arial" w:eastAsia="Calibri" w:hAnsi="Arial" w:cs="Arial"/>
          <w:sz w:val="26"/>
          <w:szCs w:val="26"/>
        </w:rPr>
        <w:t xml:space="preserve">en contra del </w:t>
      </w:r>
      <w:r w:rsidRPr="00950A6D">
        <w:rPr>
          <w:rFonts w:ascii="Arial" w:eastAsia="Calibri" w:hAnsi="Arial" w:cs="Arial"/>
          <w:b/>
          <w:sz w:val="26"/>
          <w:szCs w:val="26"/>
        </w:rPr>
        <w:t>RECURRENTE</w:t>
      </w:r>
      <w:r w:rsidRPr="00950A6D">
        <w:rPr>
          <w:rFonts w:ascii="Arial" w:eastAsia="Calibri" w:hAnsi="Arial" w:cs="Arial"/>
          <w:sz w:val="26"/>
          <w:szCs w:val="26"/>
        </w:rPr>
        <w:t>;</w:t>
      </w:r>
      <w:r w:rsidRPr="00950A6D">
        <w:rPr>
          <w:rFonts w:ascii="Arial" w:eastAsia="Calibri" w:hAnsi="Arial" w:cs="Arial"/>
          <w:b/>
          <w:sz w:val="26"/>
          <w:szCs w:val="26"/>
        </w:rPr>
        <w:t xml:space="preserve"> </w:t>
      </w:r>
      <w:r w:rsidRPr="00950A6D">
        <w:rPr>
          <w:rFonts w:ascii="Arial" w:eastAsia="Calibri" w:hAnsi="Arial" w:cs="Arial"/>
          <w:sz w:val="26"/>
          <w:szCs w:val="26"/>
        </w:rPr>
        <w:t>por lo que con fundamento en los artículos 207 y 208 de la Ley de Justicia Administrativa para el Estado de Oaxaca,</w:t>
      </w:r>
      <w:r w:rsidR="004066BF">
        <w:rPr>
          <w:rFonts w:ascii="Arial" w:eastAsia="Calibri" w:hAnsi="Arial" w:cs="Arial"/>
          <w:sz w:val="26"/>
          <w:szCs w:val="26"/>
        </w:rPr>
        <w:t xml:space="preserve"> vigente hasta el veinte de octubre de dos mil diecisiete,</w:t>
      </w:r>
      <w:r w:rsidRPr="00950A6D">
        <w:rPr>
          <w:rFonts w:ascii="Arial" w:eastAsia="Calibri" w:hAnsi="Arial" w:cs="Arial"/>
          <w:sz w:val="26"/>
          <w:szCs w:val="26"/>
        </w:rPr>
        <w:t xml:space="preserve"> se admite. En consecuencia, se procede a dictar resolución en los siguientes términos:</w:t>
      </w:r>
    </w:p>
    <w:p w:rsidR="00A37329" w:rsidRPr="00392A36" w:rsidRDefault="00A37329" w:rsidP="00392A36">
      <w:pPr>
        <w:spacing w:after="0" w:line="360" w:lineRule="auto"/>
        <w:jc w:val="both"/>
        <w:rPr>
          <w:rFonts w:ascii="Arial" w:hAnsi="Arial" w:cs="Arial"/>
          <w:b/>
          <w:sz w:val="26"/>
          <w:szCs w:val="26"/>
        </w:rPr>
      </w:pPr>
    </w:p>
    <w:p w:rsidR="00896FDE" w:rsidRDefault="00896FDE" w:rsidP="00392A36">
      <w:pPr>
        <w:spacing w:after="0" w:line="360" w:lineRule="auto"/>
        <w:ind w:firstLine="708"/>
        <w:jc w:val="center"/>
        <w:rPr>
          <w:rFonts w:ascii="Arial" w:eastAsia="Calibri" w:hAnsi="Arial" w:cs="Arial"/>
          <w:b/>
          <w:bCs/>
          <w:sz w:val="26"/>
          <w:szCs w:val="26"/>
        </w:rPr>
      </w:pPr>
      <w:r w:rsidRPr="00950A6D">
        <w:rPr>
          <w:rFonts w:ascii="Arial" w:eastAsia="Calibri" w:hAnsi="Arial" w:cs="Arial"/>
          <w:b/>
          <w:bCs/>
          <w:sz w:val="26"/>
          <w:szCs w:val="26"/>
        </w:rPr>
        <w:t>R E S U L T A N D O</w:t>
      </w:r>
    </w:p>
    <w:p w:rsidR="00392A36" w:rsidRPr="00950A6D" w:rsidRDefault="00392A36" w:rsidP="00392A36">
      <w:pPr>
        <w:spacing w:after="0" w:line="360" w:lineRule="auto"/>
        <w:ind w:firstLine="708"/>
        <w:jc w:val="center"/>
        <w:rPr>
          <w:rFonts w:ascii="Arial" w:eastAsia="Calibri" w:hAnsi="Arial" w:cs="Arial"/>
          <w:b/>
          <w:bCs/>
          <w:sz w:val="26"/>
          <w:szCs w:val="26"/>
        </w:rPr>
      </w:pPr>
    </w:p>
    <w:p w:rsidR="00896FDE" w:rsidRPr="00950A6D" w:rsidRDefault="00896FDE" w:rsidP="00896FDE">
      <w:pPr>
        <w:spacing w:after="0" w:line="360" w:lineRule="auto"/>
        <w:ind w:firstLine="709"/>
        <w:jc w:val="both"/>
        <w:rPr>
          <w:rFonts w:ascii="Arial" w:eastAsia="Calibri" w:hAnsi="Arial" w:cs="Arial"/>
          <w:sz w:val="26"/>
          <w:szCs w:val="26"/>
        </w:rPr>
      </w:pPr>
      <w:r w:rsidRPr="00950A6D">
        <w:rPr>
          <w:rFonts w:ascii="Arial" w:eastAsia="Calibri" w:hAnsi="Arial" w:cs="Arial"/>
          <w:b/>
          <w:bCs/>
          <w:sz w:val="26"/>
          <w:szCs w:val="26"/>
        </w:rPr>
        <w:t xml:space="preserve">PRIMERO. </w:t>
      </w:r>
      <w:r w:rsidRPr="00950A6D">
        <w:rPr>
          <w:rFonts w:ascii="Arial" w:eastAsia="Calibri" w:hAnsi="Arial" w:cs="Arial"/>
          <w:sz w:val="26"/>
          <w:szCs w:val="26"/>
        </w:rPr>
        <w:t>I</w:t>
      </w:r>
      <w:r>
        <w:rPr>
          <w:rFonts w:ascii="Arial" w:eastAsia="Calibri" w:hAnsi="Arial" w:cs="Arial"/>
          <w:sz w:val="26"/>
          <w:szCs w:val="26"/>
        </w:rPr>
        <w:t>nconforme con la sentencia de quince</w:t>
      </w:r>
      <w:r w:rsidRPr="00950A6D">
        <w:rPr>
          <w:rFonts w:ascii="Arial" w:eastAsia="Calibri" w:hAnsi="Arial" w:cs="Arial"/>
          <w:sz w:val="26"/>
          <w:szCs w:val="26"/>
        </w:rPr>
        <w:t xml:space="preserve"> de </w:t>
      </w:r>
      <w:r>
        <w:rPr>
          <w:rFonts w:ascii="Arial" w:eastAsia="Calibri" w:hAnsi="Arial" w:cs="Arial"/>
          <w:sz w:val="26"/>
          <w:szCs w:val="26"/>
        </w:rPr>
        <w:t xml:space="preserve">agosto de </w:t>
      </w:r>
      <w:r w:rsidRPr="00950A6D">
        <w:rPr>
          <w:rFonts w:ascii="Arial" w:eastAsia="Calibri" w:hAnsi="Arial" w:cs="Arial"/>
          <w:sz w:val="26"/>
          <w:szCs w:val="26"/>
        </w:rPr>
        <w:t>dos mil diecis</w:t>
      </w:r>
      <w:r>
        <w:rPr>
          <w:rFonts w:ascii="Arial" w:eastAsia="Calibri" w:hAnsi="Arial" w:cs="Arial"/>
          <w:sz w:val="26"/>
          <w:szCs w:val="26"/>
        </w:rPr>
        <w:t>iete</w:t>
      </w:r>
      <w:r w:rsidRPr="00950A6D">
        <w:rPr>
          <w:rFonts w:ascii="Arial" w:eastAsia="Calibri" w:hAnsi="Arial" w:cs="Arial"/>
          <w:sz w:val="26"/>
          <w:szCs w:val="26"/>
        </w:rPr>
        <w:t xml:space="preserve"> dictada por la </w:t>
      </w:r>
      <w:r>
        <w:rPr>
          <w:rFonts w:ascii="Arial" w:eastAsia="Calibri" w:hAnsi="Arial" w:cs="Arial"/>
          <w:sz w:val="26"/>
          <w:szCs w:val="26"/>
        </w:rPr>
        <w:t>Sexta</w:t>
      </w:r>
      <w:r w:rsidRPr="00950A6D">
        <w:rPr>
          <w:rFonts w:ascii="Arial" w:eastAsia="Calibri" w:hAnsi="Arial" w:cs="Arial"/>
          <w:sz w:val="26"/>
          <w:szCs w:val="26"/>
        </w:rPr>
        <w:t xml:space="preserve"> Sala Unitaria de Primera Instancia de este Tribunal el</w:t>
      </w:r>
      <w:r w:rsidRPr="00950A6D">
        <w:rPr>
          <w:rFonts w:ascii="Arial" w:eastAsia="Calibri" w:hAnsi="Arial" w:cs="Arial"/>
          <w:b/>
          <w:sz w:val="26"/>
          <w:szCs w:val="26"/>
        </w:rPr>
        <w:t xml:space="preserve"> DIRECTOR GENERAL DE LA OFICINA DE PENSIONES DEL GOBIERNO DEL ESTADO DE OAXACA</w:t>
      </w:r>
      <w:r w:rsidRPr="00950A6D">
        <w:rPr>
          <w:rFonts w:ascii="Arial" w:eastAsia="Calibri" w:hAnsi="Arial" w:cs="Arial"/>
          <w:sz w:val="26"/>
          <w:szCs w:val="26"/>
        </w:rPr>
        <w:t>,</w:t>
      </w:r>
      <w:r w:rsidRPr="00950A6D">
        <w:rPr>
          <w:rFonts w:ascii="Arial" w:eastAsia="Calibri" w:hAnsi="Arial" w:cs="Arial"/>
          <w:b/>
          <w:sz w:val="26"/>
          <w:szCs w:val="26"/>
        </w:rPr>
        <w:t xml:space="preserve"> </w:t>
      </w:r>
      <w:r w:rsidRPr="00950A6D">
        <w:rPr>
          <w:rFonts w:ascii="Arial" w:eastAsia="Calibri" w:hAnsi="Arial" w:cs="Arial"/>
          <w:sz w:val="26"/>
          <w:szCs w:val="26"/>
        </w:rPr>
        <w:t>interpone en su contra recurso de revisión.</w:t>
      </w:r>
    </w:p>
    <w:p w:rsidR="00896FDE" w:rsidRPr="00950A6D" w:rsidRDefault="00896FDE" w:rsidP="00896FDE">
      <w:pPr>
        <w:spacing w:after="0" w:line="360" w:lineRule="auto"/>
        <w:ind w:firstLine="709"/>
        <w:jc w:val="both"/>
        <w:rPr>
          <w:rFonts w:ascii="Arial" w:eastAsia="Calibri" w:hAnsi="Arial" w:cs="Arial"/>
          <w:sz w:val="26"/>
          <w:szCs w:val="26"/>
        </w:rPr>
      </w:pPr>
    </w:p>
    <w:p w:rsidR="00896FDE" w:rsidRPr="00950A6D" w:rsidRDefault="00896FDE" w:rsidP="00896FDE">
      <w:pPr>
        <w:spacing w:after="0" w:line="360" w:lineRule="auto"/>
        <w:ind w:firstLine="709"/>
        <w:jc w:val="both"/>
        <w:rPr>
          <w:rFonts w:ascii="Arial" w:eastAsia="Calibri" w:hAnsi="Arial" w:cs="Arial"/>
          <w:sz w:val="26"/>
          <w:szCs w:val="26"/>
        </w:rPr>
      </w:pPr>
      <w:r w:rsidRPr="00950A6D">
        <w:rPr>
          <w:rFonts w:ascii="Arial" w:eastAsia="Calibri" w:hAnsi="Arial" w:cs="Arial"/>
          <w:b/>
          <w:bCs/>
          <w:sz w:val="26"/>
          <w:szCs w:val="26"/>
        </w:rPr>
        <w:t xml:space="preserve">SEGUNDO. </w:t>
      </w:r>
      <w:r w:rsidRPr="00950A6D">
        <w:rPr>
          <w:rFonts w:ascii="Arial" w:eastAsia="Calibri" w:hAnsi="Arial" w:cs="Arial"/>
          <w:sz w:val="26"/>
          <w:szCs w:val="26"/>
        </w:rPr>
        <w:t>Los puntos resolutivos de la sentencia recurrida son los siguientes:</w:t>
      </w:r>
    </w:p>
    <w:p w:rsidR="00896FDE" w:rsidRDefault="00896FDE" w:rsidP="00896FDE">
      <w:pPr>
        <w:spacing w:after="0" w:line="360" w:lineRule="auto"/>
        <w:ind w:firstLine="709"/>
        <w:jc w:val="both"/>
        <w:rPr>
          <w:rFonts w:ascii="Arial" w:eastAsia="Calibri" w:hAnsi="Arial" w:cs="Arial"/>
          <w:sz w:val="24"/>
          <w:szCs w:val="24"/>
        </w:rPr>
      </w:pPr>
    </w:p>
    <w:p w:rsidR="00896FDE" w:rsidRPr="00AC1969" w:rsidRDefault="00896FDE" w:rsidP="00896FDE">
      <w:pPr>
        <w:spacing w:after="0" w:line="360" w:lineRule="auto"/>
        <w:ind w:left="851" w:right="757"/>
        <w:jc w:val="both"/>
        <w:rPr>
          <w:rFonts w:ascii="Arial" w:hAnsi="Arial" w:cs="Arial"/>
          <w:bCs/>
          <w:i/>
          <w:iCs/>
        </w:rPr>
      </w:pPr>
      <w:r w:rsidRPr="00AC1969">
        <w:rPr>
          <w:rFonts w:ascii="Arial" w:hAnsi="Arial" w:cs="Arial"/>
          <w:b/>
          <w:bCs/>
          <w:i/>
          <w:iCs/>
        </w:rPr>
        <w:t xml:space="preserve">“PRIMERO. </w:t>
      </w:r>
      <w:r w:rsidR="00C5204D">
        <w:rPr>
          <w:rFonts w:ascii="Arial" w:hAnsi="Arial" w:cs="Arial"/>
          <w:bCs/>
          <w:i/>
          <w:iCs/>
        </w:rPr>
        <w:t>Esta Sexta</w:t>
      </w:r>
      <w:r>
        <w:rPr>
          <w:rFonts w:ascii="Arial" w:hAnsi="Arial" w:cs="Arial"/>
          <w:bCs/>
          <w:i/>
          <w:iCs/>
        </w:rPr>
        <w:t xml:space="preserve"> Sala </w:t>
      </w:r>
      <w:r w:rsidR="00C5204D">
        <w:rPr>
          <w:rFonts w:ascii="Arial" w:hAnsi="Arial" w:cs="Arial"/>
          <w:bCs/>
          <w:i/>
          <w:iCs/>
        </w:rPr>
        <w:t xml:space="preserve">Unitaria </w:t>
      </w:r>
      <w:r>
        <w:rPr>
          <w:rFonts w:ascii="Arial" w:hAnsi="Arial" w:cs="Arial"/>
          <w:bCs/>
          <w:i/>
          <w:iCs/>
        </w:rPr>
        <w:t>fue competen</w:t>
      </w:r>
      <w:r w:rsidR="00C5204D">
        <w:rPr>
          <w:rFonts w:ascii="Arial" w:hAnsi="Arial" w:cs="Arial"/>
          <w:bCs/>
          <w:i/>
          <w:iCs/>
        </w:rPr>
        <w:t>te para conocer y resolver del P</w:t>
      </w:r>
      <w:r>
        <w:rPr>
          <w:rFonts w:ascii="Arial" w:hAnsi="Arial" w:cs="Arial"/>
          <w:bCs/>
          <w:i/>
          <w:iCs/>
        </w:rPr>
        <w:t>resente asunto</w:t>
      </w:r>
      <w:r w:rsidRPr="00AC1969">
        <w:rPr>
          <w:rFonts w:ascii="Arial" w:hAnsi="Arial" w:cs="Arial"/>
          <w:bCs/>
          <w:i/>
          <w:iCs/>
        </w:rPr>
        <w:t xml:space="preserve">. - - - - - - -- - - - - - </w:t>
      </w:r>
      <w:r>
        <w:rPr>
          <w:rFonts w:ascii="Arial" w:hAnsi="Arial" w:cs="Arial"/>
          <w:bCs/>
          <w:i/>
          <w:iCs/>
        </w:rPr>
        <w:t xml:space="preserve">- - - - - - - - - - - - - - </w:t>
      </w:r>
    </w:p>
    <w:p w:rsidR="00896FDE" w:rsidRPr="00AC1969" w:rsidRDefault="00C5204D" w:rsidP="00896FDE">
      <w:pPr>
        <w:pStyle w:val="Textoindependiente21"/>
        <w:spacing w:line="360" w:lineRule="auto"/>
        <w:ind w:left="851" w:right="757" w:firstLine="0"/>
        <w:rPr>
          <w:rFonts w:ascii="Arial" w:hAnsi="Arial" w:cs="Arial"/>
          <w:bCs/>
          <w:i/>
          <w:iCs/>
          <w:sz w:val="22"/>
          <w:szCs w:val="22"/>
        </w:rPr>
      </w:pPr>
      <w:r>
        <w:rPr>
          <w:rFonts w:ascii="Arial" w:hAnsi="Arial" w:cs="Arial"/>
          <w:b/>
          <w:bCs/>
          <w:i/>
          <w:iCs/>
          <w:sz w:val="22"/>
          <w:szCs w:val="22"/>
        </w:rPr>
        <w:t xml:space="preserve">SEGUNDO. </w:t>
      </w:r>
      <w:r w:rsidR="00896FDE" w:rsidRPr="00AC1969">
        <w:rPr>
          <w:rFonts w:ascii="Arial" w:hAnsi="Arial" w:cs="Arial"/>
          <w:bCs/>
          <w:i/>
          <w:iCs/>
          <w:sz w:val="22"/>
          <w:szCs w:val="22"/>
        </w:rPr>
        <w:t xml:space="preserve">La personalidad de las partes quedó acreditada en </w:t>
      </w:r>
      <w:r w:rsidR="00896FDE" w:rsidRPr="00AC1969">
        <w:rPr>
          <w:rFonts w:ascii="Arial" w:hAnsi="Arial" w:cs="Arial"/>
          <w:bCs/>
          <w:i/>
          <w:iCs/>
          <w:sz w:val="22"/>
          <w:szCs w:val="22"/>
        </w:rPr>
        <w:lastRenderedPageBreak/>
        <w:t xml:space="preserve">autos. </w:t>
      </w:r>
      <w:r w:rsidR="00896FDE">
        <w:rPr>
          <w:rFonts w:ascii="Arial" w:hAnsi="Arial" w:cs="Arial"/>
          <w:bCs/>
          <w:i/>
          <w:iCs/>
          <w:sz w:val="22"/>
          <w:szCs w:val="22"/>
        </w:rPr>
        <w:t xml:space="preserve">- - - - - - - - - - - - - - - - - - - - - - - - - - - - - - - - - - - - - - - - - - - - - </w:t>
      </w:r>
    </w:p>
    <w:p w:rsidR="00896FDE" w:rsidRPr="00AC1969" w:rsidRDefault="00896FDE" w:rsidP="00896FDE">
      <w:pPr>
        <w:pStyle w:val="Textoindependiente21"/>
        <w:spacing w:line="360" w:lineRule="auto"/>
        <w:ind w:left="851" w:right="757" w:firstLine="0"/>
        <w:rPr>
          <w:rFonts w:ascii="Arial" w:hAnsi="Arial" w:cs="Arial"/>
          <w:bCs/>
          <w:i/>
          <w:iCs/>
          <w:sz w:val="22"/>
          <w:szCs w:val="22"/>
        </w:rPr>
      </w:pPr>
      <w:r w:rsidRPr="00AC1969">
        <w:rPr>
          <w:rFonts w:ascii="Arial" w:hAnsi="Arial" w:cs="Arial"/>
          <w:b/>
          <w:bCs/>
          <w:i/>
          <w:iCs/>
          <w:sz w:val="22"/>
          <w:szCs w:val="22"/>
        </w:rPr>
        <w:t xml:space="preserve">TERCERO. </w:t>
      </w:r>
      <w:r w:rsidRPr="00AC1969">
        <w:rPr>
          <w:rFonts w:ascii="Arial" w:hAnsi="Arial" w:cs="Arial"/>
          <w:bCs/>
          <w:i/>
          <w:iCs/>
          <w:sz w:val="22"/>
          <w:szCs w:val="22"/>
        </w:rPr>
        <w:t>No se ac</w:t>
      </w:r>
      <w:r w:rsidR="00C5204D">
        <w:rPr>
          <w:rFonts w:ascii="Arial" w:hAnsi="Arial" w:cs="Arial"/>
          <w:bCs/>
          <w:i/>
          <w:iCs/>
          <w:sz w:val="22"/>
          <w:szCs w:val="22"/>
        </w:rPr>
        <w:t>tualizaron causales de improcedencia</w:t>
      </w:r>
      <w:r>
        <w:rPr>
          <w:rFonts w:ascii="Arial" w:hAnsi="Arial" w:cs="Arial"/>
          <w:bCs/>
          <w:i/>
          <w:iCs/>
          <w:sz w:val="22"/>
          <w:szCs w:val="22"/>
        </w:rPr>
        <w:t xml:space="preserve"> por lo que </w:t>
      </w:r>
      <w:r w:rsidR="00C5204D">
        <w:rPr>
          <w:rFonts w:ascii="Arial" w:hAnsi="Arial" w:cs="Arial"/>
          <w:bCs/>
          <w:i/>
          <w:iCs/>
          <w:sz w:val="22"/>
          <w:szCs w:val="22"/>
        </w:rPr>
        <w:t>no se sobresee el juicio</w:t>
      </w:r>
      <w:r w:rsidRPr="00AC1969">
        <w:rPr>
          <w:rFonts w:ascii="Arial" w:hAnsi="Arial" w:cs="Arial"/>
          <w:bCs/>
          <w:i/>
          <w:iCs/>
          <w:sz w:val="22"/>
          <w:szCs w:val="22"/>
        </w:rPr>
        <w:t xml:space="preserve">. - - - - - - - - - - - - - - - - - - - - - - - - - - - - </w:t>
      </w:r>
    </w:p>
    <w:p w:rsidR="00896FDE" w:rsidRPr="00AC1969" w:rsidRDefault="00896FDE" w:rsidP="00896FDE">
      <w:pPr>
        <w:pStyle w:val="Textoindependiente21"/>
        <w:spacing w:line="360" w:lineRule="auto"/>
        <w:ind w:left="851" w:right="757" w:firstLine="0"/>
        <w:rPr>
          <w:rFonts w:ascii="Arial" w:hAnsi="Arial" w:cs="Arial"/>
          <w:bCs/>
          <w:i/>
          <w:iCs/>
          <w:sz w:val="22"/>
          <w:szCs w:val="22"/>
        </w:rPr>
      </w:pPr>
      <w:r w:rsidRPr="00AC1969">
        <w:rPr>
          <w:rFonts w:ascii="Arial" w:hAnsi="Arial" w:cs="Arial"/>
          <w:b/>
          <w:bCs/>
          <w:i/>
          <w:iCs/>
          <w:sz w:val="22"/>
          <w:szCs w:val="22"/>
        </w:rPr>
        <w:t xml:space="preserve">CUARTO. </w:t>
      </w:r>
      <w:r w:rsidRPr="00AC1969">
        <w:rPr>
          <w:rFonts w:ascii="Arial" w:hAnsi="Arial" w:cs="Arial"/>
          <w:bCs/>
          <w:i/>
          <w:iCs/>
          <w:sz w:val="22"/>
          <w:szCs w:val="22"/>
        </w:rPr>
        <w:t xml:space="preserve">Se declara la </w:t>
      </w:r>
      <w:r w:rsidRPr="00AC1969">
        <w:rPr>
          <w:rFonts w:ascii="Arial" w:hAnsi="Arial" w:cs="Arial"/>
          <w:b/>
          <w:bCs/>
          <w:i/>
          <w:iCs/>
          <w:sz w:val="22"/>
          <w:szCs w:val="22"/>
        </w:rPr>
        <w:t xml:space="preserve">NULIDAD </w:t>
      </w:r>
      <w:r w:rsidR="00C5204D">
        <w:rPr>
          <w:rFonts w:ascii="Arial" w:hAnsi="Arial" w:cs="Arial"/>
          <w:b/>
          <w:bCs/>
          <w:i/>
          <w:iCs/>
          <w:sz w:val="22"/>
          <w:szCs w:val="22"/>
        </w:rPr>
        <w:t xml:space="preserve">del oficio PO/DG/2978/2016, de fecha 20 veinte de diciembre de 2016 dos mil dieciséis, </w:t>
      </w:r>
      <w:r w:rsidR="00C5204D">
        <w:rPr>
          <w:rFonts w:ascii="Arial" w:hAnsi="Arial" w:cs="Arial"/>
          <w:bCs/>
          <w:i/>
          <w:iCs/>
          <w:sz w:val="22"/>
          <w:szCs w:val="22"/>
        </w:rPr>
        <w:t>emitido por el Director</w:t>
      </w:r>
      <w:r w:rsidR="0013337D">
        <w:rPr>
          <w:rFonts w:ascii="Arial" w:hAnsi="Arial" w:cs="Arial"/>
          <w:bCs/>
          <w:i/>
          <w:iCs/>
          <w:sz w:val="22"/>
          <w:szCs w:val="22"/>
        </w:rPr>
        <w:t xml:space="preserve"> General de la Oficina de Pensiones del Estado de Oaxaca, para el EFECTO de que emita otro donde se ordene la devolución de las cantidades descontadas por concepto de aportación al Fondo de Pensiones a la parte actora </w:t>
      </w:r>
      <w:r w:rsidR="00D96D98">
        <w:rPr>
          <w:rFonts w:ascii="Arial" w:hAnsi="Arial" w:cs="Arial"/>
          <w:bCs/>
          <w:i/>
          <w:iCs/>
          <w:sz w:val="22"/>
          <w:szCs w:val="22"/>
        </w:rPr>
        <w:t>**********</w:t>
      </w:r>
      <w:r w:rsidR="0013337D">
        <w:rPr>
          <w:rFonts w:ascii="Arial" w:hAnsi="Arial" w:cs="Arial"/>
          <w:bCs/>
          <w:i/>
          <w:iCs/>
          <w:sz w:val="22"/>
          <w:szCs w:val="22"/>
        </w:rPr>
        <w:t>, durante los meses de julio a diciembre de 2016 dos mil dieciséis</w:t>
      </w:r>
      <w:r>
        <w:rPr>
          <w:rFonts w:ascii="Arial" w:hAnsi="Arial" w:cs="Arial"/>
          <w:bCs/>
          <w:i/>
          <w:iCs/>
          <w:sz w:val="22"/>
          <w:szCs w:val="22"/>
        </w:rPr>
        <w:t>.</w:t>
      </w:r>
      <w:r w:rsidR="0013337D">
        <w:rPr>
          <w:rFonts w:ascii="Arial" w:hAnsi="Arial" w:cs="Arial"/>
          <w:bCs/>
          <w:i/>
          <w:iCs/>
          <w:sz w:val="22"/>
          <w:szCs w:val="22"/>
        </w:rPr>
        <w:t xml:space="preserve"> </w:t>
      </w:r>
      <w:r>
        <w:rPr>
          <w:rFonts w:ascii="Arial" w:hAnsi="Arial" w:cs="Arial"/>
          <w:bCs/>
          <w:i/>
          <w:iCs/>
          <w:sz w:val="22"/>
          <w:szCs w:val="22"/>
        </w:rPr>
        <w:t>-</w:t>
      </w:r>
      <w:r w:rsidR="0013337D">
        <w:rPr>
          <w:rFonts w:ascii="Arial" w:hAnsi="Arial" w:cs="Arial"/>
          <w:bCs/>
          <w:i/>
          <w:iCs/>
          <w:sz w:val="22"/>
          <w:szCs w:val="22"/>
        </w:rPr>
        <w:t xml:space="preserve"> - - - - - - - - - - - - - - - - - - - - - - - - - - - - - - - - - - - - </w:t>
      </w:r>
    </w:p>
    <w:p w:rsidR="00896FDE" w:rsidRPr="00AC1969" w:rsidRDefault="00896FDE" w:rsidP="00896FDE">
      <w:pPr>
        <w:pStyle w:val="Textoindependiente21"/>
        <w:spacing w:line="360" w:lineRule="auto"/>
        <w:ind w:left="851" w:right="757" w:firstLine="0"/>
        <w:rPr>
          <w:rFonts w:ascii="Arial" w:hAnsi="Arial" w:cs="Arial"/>
          <w:bCs/>
          <w:iCs/>
          <w:szCs w:val="24"/>
        </w:rPr>
      </w:pPr>
      <w:r w:rsidRPr="00AC1969">
        <w:rPr>
          <w:rFonts w:ascii="Arial" w:hAnsi="Arial" w:cs="Arial"/>
          <w:b/>
          <w:bCs/>
          <w:i/>
          <w:iCs/>
          <w:sz w:val="22"/>
          <w:szCs w:val="22"/>
        </w:rPr>
        <w:t>QUINTO.</w:t>
      </w:r>
      <w:r>
        <w:rPr>
          <w:rFonts w:ascii="Arial" w:hAnsi="Arial" w:cs="Arial"/>
          <w:b/>
          <w:bCs/>
          <w:i/>
          <w:iCs/>
          <w:sz w:val="22"/>
          <w:szCs w:val="22"/>
        </w:rPr>
        <w:t xml:space="preserve"> </w:t>
      </w:r>
      <w:r w:rsidR="0013337D">
        <w:rPr>
          <w:rFonts w:ascii="Arial" w:hAnsi="Arial" w:cs="Arial"/>
          <w:b/>
          <w:bCs/>
          <w:i/>
          <w:iCs/>
          <w:sz w:val="22"/>
          <w:szCs w:val="22"/>
        </w:rPr>
        <w:t xml:space="preserve">NOTIFIQUESE PERSONALMENTE AL ACTORY POR OFICIO A LA AUTORIDAD DEMANDADA,  </w:t>
      </w:r>
      <w:r w:rsidR="0013337D">
        <w:rPr>
          <w:rFonts w:ascii="Arial" w:hAnsi="Arial" w:cs="Arial"/>
          <w:bCs/>
          <w:i/>
          <w:iCs/>
          <w:sz w:val="22"/>
          <w:szCs w:val="22"/>
        </w:rPr>
        <w:t>con fundamento en los artículos 142 fracción I y</w:t>
      </w:r>
      <w:r>
        <w:rPr>
          <w:rFonts w:ascii="Arial" w:hAnsi="Arial" w:cs="Arial"/>
          <w:bCs/>
          <w:i/>
          <w:iCs/>
          <w:sz w:val="22"/>
          <w:szCs w:val="22"/>
        </w:rPr>
        <w:t xml:space="preserve"> 1</w:t>
      </w:r>
      <w:r w:rsidR="0013337D">
        <w:rPr>
          <w:rFonts w:ascii="Arial" w:hAnsi="Arial" w:cs="Arial"/>
          <w:bCs/>
          <w:i/>
          <w:iCs/>
          <w:sz w:val="22"/>
          <w:szCs w:val="22"/>
        </w:rPr>
        <w:t xml:space="preserve">43 fracción I y II de la Ley de Justicia Administrativa y de Cuentas para el Estado de Oaxaca.- </w:t>
      </w:r>
      <w:r w:rsidR="0013337D">
        <w:rPr>
          <w:rFonts w:ascii="Arial" w:hAnsi="Arial" w:cs="Arial"/>
          <w:b/>
          <w:bCs/>
          <w:i/>
          <w:iCs/>
          <w:sz w:val="22"/>
          <w:szCs w:val="22"/>
        </w:rPr>
        <w:t xml:space="preserve">CÚMPLASE. </w:t>
      </w:r>
      <w:r w:rsidR="0013337D">
        <w:rPr>
          <w:rFonts w:ascii="Arial" w:hAnsi="Arial" w:cs="Arial"/>
          <w:bCs/>
          <w:i/>
          <w:iCs/>
          <w:sz w:val="22"/>
          <w:szCs w:val="22"/>
        </w:rPr>
        <w:t xml:space="preserve">- - - - - - - - - - - - - - - - - - - - - - - - - - - - - - - - - - - - - - - </w:t>
      </w:r>
    </w:p>
    <w:p w:rsidR="00896FDE" w:rsidRDefault="00896FDE" w:rsidP="00896FDE">
      <w:pPr>
        <w:widowControl w:val="0"/>
        <w:tabs>
          <w:tab w:val="left" w:pos="2835"/>
          <w:tab w:val="left" w:pos="7938"/>
        </w:tabs>
        <w:spacing w:before="240" w:after="0" w:line="360" w:lineRule="auto"/>
        <w:ind w:right="17"/>
        <w:jc w:val="center"/>
        <w:rPr>
          <w:rFonts w:ascii="Arial" w:eastAsia="Times New Roman" w:hAnsi="Arial" w:cs="Arial"/>
          <w:b/>
          <w:bCs/>
          <w:sz w:val="26"/>
          <w:szCs w:val="26"/>
          <w:lang w:eastAsia="es-ES"/>
        </w:rPr>
      </w:pPr>
      <w:r w:rsidRPr="00950A6D">
        <w:rPr>
          <w:rFonts w:ascii="Arial" w:eastAsia="Times New Roman" w:hAnsi="Arial" w:cs="Arial"/>
          <w:b/>
          <w:bCs/>
          <w:sz w:val="26"/>
          <w:szCs w:val="26"/>
          <w:lang w:eastAsia="es-ES"/>
        </w:rPr>
        <w:t>C O N S I D E R A N D O</w:t>
      </w:r>
    </w:p>
    <w:p w:rsidR="007710FF" w:rsidRPr="00950A6D" w:rsidRDefault="007710FF" w:rsidP="00896FDE">
      <w:pPr>
        <w:widowControl w:val="0"/>
        <w:tabs>
          <w:tab w:val="left" w:pos="2835"/>
          <w:tab w:val="left" w:pos="7938"/>
        </w:tabs>
        <w:spacing w:before="240" w:after="0" w:line="360" w:lineRule="auto"/>
        <w:ind w:right="17"/>
        <w:jc w:val="center"/>
        <w:rPr>
          <w:rFonts w:ascii="Arial" w:eastAsia="Times New Roman" w:hAnsi="Arial" w:cs="Arial"/>
          <w:b/>
          <w:bCs/>
          <w:sz w:val="26"/>
          <w:szCs w:val="26"/>
          <w:lang w:eastAsia="es-ES"/>
        </w:rPr>
      </w:pPr>
    </w:p>
    <w:p w:rsidR="00896FDE" w:rsidRPr="00950A6D" w:rsidRDefault="00CA08F1" w:rsidP="00896FDE">
      <w:pPr>
        <w:widowControl w:val="0"/>
        <w:tabs>
          <w:tab w:val="left" w:pos="7938"/>
        </w:tabs>
        <w:spacing w:line="360" w:lineRule="auto"/>
        <w:ind w:right="18"/>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7728" behindDoc="0" locked="0" layoutInCell="1" allowOverlap="1" wp14:anchorId="65F24ABF" wp14:editId="1B2A77C7">
                <wp:simplePos x="0" y="0"/>
                <wp:positionH relativeFrom="column">
                  <wp:posOffset>5762445</wp:posOffset>
                </wp:positionH>
                <wp:positionV relativeFrom="paragraph">
                  <wp:posOffset>2269562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08F1" w:rsidRDefault="00CA08F1" w:rsidP="00CA08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24ABF" id="_x0000_t202" coordsize="21600,21600" o:spt="202" path="m,l,21600r21600,l21600,xe">
                <v:stroke joinstyle="miter"/>
                <v:path gradientshapeok="t" o:connecttype="rect"/>
              </v:shapetype>
              <v:shape id="Cuadro de texto 1" o:spid="_x0000_s1026" type="#_x0000_t202" style="position:absolute;left:0;text-align:left;margin-left:453.75pt;margin-top:178.7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">
                <v:textbox>
                  <w:txbxContent>
                    <w:p w:rsidR="00CA08F1" w:rsidRDefault="00CA08F1" w:rsidP="00CA08F1">
                      <w:pPr>
                        <w:rPr>
                          <w:sz w:val="16"/>
                          <w:szCs w:val="16"/>
                        </w:rPr>
                      </w:pPr>
                      <w:r>
                        <w:rPr>
                          <w:sz w:val="16"/>
                          <w:szCs w:val="16"/>
                        </w:rPr>
                        <w:t>Datos personales protegidos por el Art. 116 de la LGTAIP y el Art. 56 de la LTAIPEO</w:t>
                      </w:r>
                    </w:p>
                  </w:txbxContent>
                </v:textbox>
              </v:shape>
            </w:pict>
          </mc:Fallback>
        </mc:AlternateContent>
      </w:r>
      <w:r w:rsidR="00896FDE" w:rsidRPr="00950A6D">
        <w:rPr>
          <w:rFonts w:ascii="Arial" w:hAnsi="Arial" w:cs="Arial"/>
          <w:b/>
          <w:bCs/>
          <w:iCs/>
          <w:sz w:val="26"/>
          <w:szCs w:val="26"/>
          <w:lang w:val="es-ES" w:eastAsia="es-ES"/>
        </w:rPr>
        <w:t xml:space="preserve">             </w:t>
      </w:r>
      <w:r w:rsidR="00392A36" w:rsidRPr="00BA1FA3">
        <w:rPr>
          <w:rFonts w:ascii="Arial" w:hAnsi="Arial" w:cs="Arial"/>
          <w:b/>
          <w:bCs/>
          <w:iCs/>
          <w:sz w:val="26"/>
          <w:szCs w:val="26"/>
        </w:rPr>
        <w:t xml:space="preserve">PRIMERO. </w:t>
      </w:r>
      <w:r w:rsidR="00392A36" w:rsidRPr="00BA1FA3">
        <w:rPr>
          <w:rFonts w:ascii="Arial" w:hAnsi="Arial" w:cs="Arial"/>
          <w:bCs/>
          <w:iCs/>
          <w:sz w:val="26"/>
          <w:szCs w:val="26"/>
        </w:rPr>
        <w:t xml:space="preserve">Esta Sala Superior es competente para conocer del presente asunto, </w:t>
      </w:r>
      <w:r w:rsidR="00392A36" w:rsidRPr="00BA1FA3">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896FDE" w:rsidRPr="00950A6D">
        <w:rPr>
          <w:rFonts w:ascii="Arial" w:hAnsi="Arial" w:cs="Arial"/>
          <w:bCs/>
          <w:iCs/>
          <w:sz w:val="26"/>
          <w:szCs w:val="26"/>
          <w:lang w:eastAsia="es-ES"/>
        </w:rPr>
        <w:t>86, 88, 92, 93 fracción I, 94, 201, 206 y 208 de la Ley de Justicia Administrativa para el Estado de Oaxaca,</w:t>
      </w:r>
      <w:r w:rsidR="00392A36">
        <w:rPr>
          <w:rFonts w:ascii="Arial" w:hAnsi="Arial" w:cs="Arial"/>
          <w:bCs/>
          <w:iCs/>
          <w:sz w:val="26"/>
          <w:szCs w:val="26"/>
          <w:lang w:eastAsia="es-ES"/>
        </w:rPr>
        <w:t xml:space="preserve"> vigente hasta el veinte de octubre de dos mil diecisiete,</w:t>
      </w:r>
      <w:r w:rsidR="00896FDE" w:rsidRPr="00950A6D">
        <w:rPr>
          <w:rFonts w:ascii="Arial" w:hAnsi="Arial" w:cs="Arial"/>
          <w:bCs/>
          <w:iCs/>
          <w:sz w:val="26"/>
          <w:szCs w:val="26"/>
          <w:lang w:eastAsia="es-ES"/>
        </w:rPr>
        <w:t xml:space="preserve"> dado que se trata de un Recurso de Revisión interpuesto en contra de la senten</w:t>
      </w:r>
      <w:r w:rsidR="00392A36">
        <w:rPr>
          <w:rFonts w:ascii="Arial" w:hAnsi="Arial" w:cs="Arial"/>
          <w:bCs/>
          <w:iCs/>
          <w:sz w:val="26"/>
          <w:szCs w:val="26"/>
          <w:lang w:eastAsia="es-ES"/>
        </w:rPr>
        <w:t xml:space="preserve">cia de </w:t>
      </w:r>
      <w:r w:rsidR="0013337D">
        <w:rPr>
          <w:rFonts w:ascii="Arial" w:hAnsi="Arial" w:cs="Arial"/>
          <w:bCs/>
          <w:iCs/>
          <w:sz w:val="26"/>
          <w:szCs w:val="26"/>
          <w:lang w:eastAsia="es-ES"/>
        </w:rPr>
        <w:t>quince</w:t>
      </w:r>
      <w:r w:rsidR="00896FDE" w:rsidRPr="00950A6D">
        <w:rPr>
          <w:rFonts w:ascii="Arial" w:hAnsi="Arial" w:cs="Arial"/>
          <w:bCs/>
          <w:iCs/>
          <w:sz w:val="26"/>
          <w:szCs w:val="26"/>
          <w:lang w:eastAsia="es-ES"/>
        </w:rPr>
        <w:t xml:space="preserve"> de </w:t>
      </w:r>
      <w:r w:rsidR="00392A36">
        <w:rPr>
          <w:rFonts w:ascii="Arial" w:hAnsi="Arial" w:cs="Arial"/>
          <w:bCs/>
          <w:iCs/>
          <w:sz w:val="26"/>
          <w:szCs w:val="26"/>
          <w:lang w:eastAsia="es-ES"/>
        </w:rPr>
        <w:t xml:space="preserve">agosto de </w:t>
      </w:r>
      <w:r w:rsidR="00896FDE" w:rsidRPr="00950A6D">
        <w:rPr>
          <w:rFonts w:ascii="Arial" w:hAnsi="Arial" w:cs="Arial"/>
          <w:bCs/>
          <w:iCs/>
          <w:sz w:val="26"/>
          <w:szCs w:val="26"/>
          <w:lang w:eastAsia="es-ES"/>
        </w:rPr>
        <w:t xml:space="preserve">dos mil </w:t>
      </w:r>
      <w:r w:rsidR="0013337D">
        <w:rPr>
          <w:rFonts w:ascii="Arial" w:hAnsi="Arial" w:cs="Arial"/>
          <w:bCs/>
          <w:iCs/>
          <w:sz w:val="26"/>
          <w:szCs w:val="26"/>
          <w:lang w:eastAsia="es-ES"/>
        </w:rPr>
        <w:t>diecisiete</w:t>
      </w:r>
      <w:r w:rsidR="00392A36">
        <w:rPr>
          <w:rFonts w:ascii="Arial" w:hAnsi="Arial" w:cs="Arial"/>
          <w:bCs/>
          <w:iCs/>
          <w:sz w:val="26"/>
          <w:szCs w:val="26"/>
          <w:lang w:eastAsia="es-ES"/>
        </w:rPr>
        <w:t>,</w:t>
      </w:r>
      <w:r w:rsidR="00896FDE" w:rsidRPr="00950A6D">
        <w:rPr>
          <w:rFonts w:ascii="Arial" w:hAnsi="Arial" w:cs="Arial"/>
          <w:bCs/>
          <w:iCs/>
          <w:sz w:val="26"/>
          <w:szCs w:val="26"/>
          <w:lang w:eastAsia="es-ES"/>
        </w:rPr>
        <w:t xml:space="preserve"> dictada por la </w:t>
      </w:r>
      <w:r w:rsidR="0013337D">
        <w:rPr>
          <w:rFonts w:ascii="Arial" w:hAnsi="Arial" w:cs="Arial"/>
          <w:bCs/>
          <w:iCs/>
          <w:sz w:val="26"/>
          <w:szCs w:val="26"/>
          <w:lang w:eastAsia="es-ES"/>
        </w:rPr>
        <w:t>Sexta</w:t>
      </w:r>
      <w:r w:rsidR="00896FDE" w:rsidRPr="00950A6D">
        <w:rPr>
          <w:rFonts w:ascii="Arial" w:hAnsi="Arial" w:cs="Arial"/>
          <w:bCs/>
          <w:iCs/>
          <w:sz w:val="26"/>
          <w:szCs w:val="26"/>
          <w:lang w:eastAsia="es-ES"/>
        </w:rPr>
        <w:t xml:space="preserve"> Sala U</w:t>
      </w:r>
      <w:r w:rsidR="00392A36">
        <w:rPr>
          <w:rFonts w:ascii="Arial" w:hAnsi="Arial" w:cs="Arial"/>
          <w:bCs/>
          <w:iCs/>
          <w:sz w:val="26"/>
          <w:szCs w:val="26"/>
          <w:lang w:eastAsia="es-ES"/>
        </w:rPr>
        <w:t xml:space="preserve">nitaria de Primera Instancia de este Tribunal </w:t>
      </w:r>
      <w:r w:rsidR="00896FDE" w:rsidRPr="00950A6D">
        <w:rPr>
          <w:rFonts w:ascii="Arial" w:eastAsia="Calibri" w:hAnsi="Arial" w:cs="Arial"/>
          <w:sz w:val="26"/>
          <w:szCs w:val="26"/>
        </w:rPr>
        <w:t xml:space="preserve">en el expediente </w:t>
      </w:r>
      <w:r w:rsidR="0013337D">
        <w:rPr>
          <w:rFonts w:ascii="Arial" w:eastAsia="Calibri" w:hAnsi="Arial" w:cs="Arial"/>
          <w:b/>
          <w:sz w:val="26"/>
          <w:szCs w:val="26"/>
        </w:rPr>
        <w:t>0005</w:t>
      </w:r>
      <w:r w:rsidR="00896FDE">
        <w:rPr>
          <w:rFonts w:ascii="Arial" w:eastAsia="Calibri" w:hAnsi="Arial" w:cs="Arial"/>
          <w:b/>
          <w:sz w:val="26"/>
          <w:szCs w:val="26"/>
        </w:rPr>
        <w:t>/201</w:t>
      </w:r>
      <w:r w:rsidR="0013337D">
        <w:rPr>
          <w:rFonts w:ascii="Arial" w:eastAsia="Calibri" w:hAnsi="Arial" w:cs="Arial"/>
          <w:b/>
          <w:sz w:val="26"/>
          <w:szCs w:val="26"/>
        </w:rPr>
        <w:t>7</w:t>
      </w:r>
      <w:r w:rsidR="00896FDE" w:rsidRPr="00950A6D">
        <w:rPr>
          <w:rFonts w:ascii="Arial" w:eastAsia="Calibri" w:hAnsi="Arial" w:cs="Arial"/>
          <w:b/>
          <w:sz w:val="26"/>
          <w:szCs w:val="26"/>
        </w:rPr>
        <w:t>.</w:t>
      </w:r>
      <w:r w:rsidR="00896FDE" w:rsidRPr="00950A6D">
        <w:rPr>
          <w:rFonts w:ascii="Arial" w:hAnsi="Arial" w:cs="Arial"/>
          <w:sz w:val="26"/>
          <w:szCs w:val="26"/>
          <w:lang w:eastAsia="es-ES"/>
        </w:rPr>
        <w:t xml:space="preserve"> </w:t>
      </w:r>
    </w:p>
    <w:p w:rsidR="00896FDE" w:rsidRPr="00950A6D" w:rsidRDefault="00896FDE" w:rsidP="00896FDE">
      <w:pPr>
        <w:widowControl w:val="0"/>
        <w:spacing w:line="360" w:lineRule="auto"/>
        <w:ind w:right="18" w:firstLine="709"/>
        <w:jc w:val="both"/>
        <w:rPr>
          <w:rFonts w:ascii="Arial" w:hAnsi="Arial" w:cs="Arial"/>
          <w:sz w:val="26"/>
          <w:szCs w:val="26"/>
        </w:rPr>
      </w:pPr>
      <w:r w:rsidRPr="00950A6D">
        <w:rPr>
          <w:rFonts w:ascii="Arial" w:hAnsi="Arial" w:cs="Arial"/>
          <w:b/>
          <w:bCs/>
          <w:sz w:val="26"/>
          <w:szCs w:val="26"/>
        </w:rPr>
        <w:t>SEGUNDO.</w:t>
      </w:r>
      <w:r w:rsidRPr="00950A6D">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950A6D">
        <w:rPr>
          <w:rFonts w:ascii="Arial" w:hAnsi="Arial" w:cs="Arial"/>
          <w:sz w:val="26"/>
          <w:szCs w:val="26"/>
        </w:rPr>
        <w:t>.</w:t>
      </w:r>
    </w:p>
    <w:p w:rsidR="00896FDE" w:rsidRPr="00950A6D" w:rsidRDefault="00896FDE" w:rsidP="00896FDE">
      <w:pPr>
        <w:widowControl w:val="0"/>
        <w:tabs>
          <w:tab w:val="left" w:pos="7938"/>
        </w:tabs>
        <w:spacing w:before="240" w:after="0" w:line="360" w:lineRule="auto"/>
        <w:ind w:right="18" w:firstLine="709"/>
        <w:jc w:val="both"/>
        <w:rPr>
          <w:rFonts w:ascii="Arial" w:hAnsi="Arial" w:cs="Arial"/>
          <w:bCs/>
          <w:color w:val="000000"/>
          <w:sz w:val="26"/>
          <w:szCs w:val="26"/>
        </w:rPr>
      </w:pPr>
      <w:r w:rsidRPr="00950A6D">
        <w:rPr>
          <w:rFonts w:ascii="Arial" w:hAnsi="Arial" w:cs="Arial"/>
          <w:b/>
          <w:bCs/>
          <w:color w:val="000000"/>
          <w:sz w:val="26"/>
          <w:szCs w:val="26"/>
        </w:rPr>
        <w:t xml:space="preserve">TERCERO. </w:t>
      </w:r>
      <w:r w:rsidRPr="00950A6D">
        <w:rPr>
          <w:rFonts w:ascii="Arial" w:hAnsi="Arial" w:cs="Arial"/>
          <w:bCs/>
          <w:color w:val="000000"/>
          <w:sz w:val="26"/>
          <w:szCs w:val="26"/>
        </w:rPr>
        <w:t>Expresa que le causa agravios a su represe</w:t>
      </w:r>
      <w:r>
        <w:rPr>
          <w:rFonts w:ascii="Arial" w:hAnsi="Arial" w:cs="Arial"/>
          <w:bCs/>
          <w:color w:val="000000"/>
          <w:sz w:val="26"/>
          <w:szCs w:val="26"/>
        </w:rPr>
        <w:t xml:space="preserve">ntada los considerandos cuarto, </w:t>
      </w:r>
      <w:r w:rsidRPr="00950A6D">
        <w:rPr>
          <w:rFonts w:ascii="Arial" w:hAnsi="Arial" w:cs="Arial"/>
          <w:bCs/>
          <w:color w:val="000000"/>
          <w:sz w:val="26"/>
          <w:szCs w:val="26"/>
        </w:rPr>
        <w:t>quinto</w:t>
      </w:r>
      <w:r w:rsidR="0013337D">
        <w:rPr>
          <w:rFonts w:ascii="Arial" w:hAnsi="Arial" w:cs="Arial"/>
          <w:bCs/>
          <w:color w:val="000000"/>
          <w:sz w:val="26"/>
          <w:szCs w:val="26"/>
        </w:rPr>
        <w:t xml:space="preserve"> y sexto</w:t>
      </w:r>
      <w:r w:rsidRPr="00950A6D">
        <w:rPr>
          <w:rFonts w:ascii="Arial" w:hAnsi="Arial" w:cs="Arial"/>
          <w:bCs/>
          <w:color w:val="000000"/>
          <w:sz w:val="26"/>
          <w:szCs w:val="26"/>
        </w:rPr>
        <w:t xml:space="preserve"> de la </w:t>
      </w:r>
      <w:r w:rsidR="00FC25C2">
        <w:rPr>
          <w:rFonts w:ascii="Arial" w:hAnsi="Arial" w:cs="Arial"/>
          <w:bCs/>
          <w:color w:val="000000"/>
          <w:sz w:val="26"/>
          <w:szCs w:val="26"/>
        </w:rPr>
        <w:t>resolución de</w:t>
      </w:r>
      <w:r w:rsidRPr="00950A6D">
        <w:rPr>
          <w:rFonts w:ascii="Arial" w:hAnsi="Arial" w:cs="Arial"/>
          <w:bCs/>
          <w:color w:val="000000"/>
          <w:sz w:val="26"/>
          <w:szCs w:val="26"/>
        </w:rPr>
        <w:t xml:space="preserve"> </w:t>
      </w:r>
      <w:r w:rsidR="0013337D">
        <w:rPr>
          <w:rFonts w:ascii="Arial" w:hAnsi="Arial" w:cs="Arial"/>
          <w:bCs/>
          <w:color w:val="000000"/>
          <w:sz w:val="26"/>
          <w:szCs w:val="26"/>
        </w:rPr>
        <w:t>quince</w:t>
      </w:r>
      <w:r w:rsidRPr="00950A6D">
        <w:rPr>
          <w:rFonts w:ascii="Arial" w:hAnsi="Arial" w:cs="Arial"/>
          <w:bCs/>
          <w:color w:val="000000"/>
          <w:sz w:val="26"/>
          <w:szCs w:val="26"/>
        </w:rPr>
        <w:t xml:space="preserve"> de </w:t>
      </w:r>
      <w:r w:rsidR="0013337D">
        <w:rPr>
          <w:rFonts w:ascii="Arial" w:hAnsi="Arial" w:cs="Arial"/>
          <w:bCs/>
          <w:color w:val="000000"/>
          <w:sz w:val="26"/>
          <w:szCs w:val="26"/>
        </w:rPr>
        <w:lastRenderedPageBreak/>
        <w:t xml:space="preserve">agosto de </w:t>
      </w:r>
      <w:r w:rsidRPr="00950A6D">
        <w:rPr>
          <w:rFonts w:ascii="Arial" w:hAnsi="Arial" w:cs="Arial"/>
          <w:bCs/>
          <w:color w:val="000000"/>
          <w:sz w:val="26"/>
          <w:szCs w:val="26"/>
        </w:rPr>
        <w:t>dos mil dieci</w:t>
      </w:r>
      <w:r w:rsidR="0013337D">
        <w:rPr>
          <w:rFonts w:ascii="Arial" w:hAnsi="Arial" w:cs="Arial"/>
          <w:bCs/>
          <w:color w:val="000000"/>
          <w:sz w:val="26"/>
          <w:szCs w:val="26"/>
        </w:rPr>
        <w:t>siete</w:t>
      </w:r>
      <w:r w:rsidRPr="00950A6D">
        <w:rPr>
          <w:rFonts w:ascii="Arial" w:hAnsi="Arial" w:cs="Arial"/>
          <w:bCs/>
          <w:color w:val="000000"/>
          <w:sz w:val="26"/>
          <w:szCs w:val="26"/>
        </w:rPr>
        <w:t xml:space="preserve">, porque la sala de primera instancia está obligada a realizar un análisis sistemático de los razonamientos de las partes, la valoración de las pruebas y su desahogo, a fin de resolver la cuestión efectivamente planteada, lo que, afirma, no se hizo. </w:t>
      </w:r>
    </w:p>
    <w:p w:rsidR="00896FDE" w:rsidRDefault="00896FDE" w:rsidP="00896FDE">
      <w:pPr>
        <w:widowControl w:val="0"/>
        <w:tabs>
          <w:tab w:val="left" w:pos="7938"/>
        </w:tabs>
        <w:spacing w:before="240" w:after="0" w:line="360" w:lineRule="auto"/>
        <w:ind w:right="18" w:firstLine="709"/>
        <w:jc w:val="both"/>
        <w:rPr>
          <w:rFonts w:ascii="Arial" w:hAnsi="Arial" w:cs="Arial"/>
          <w:bCs/>
          <w:color w:val="000000"/>
          <w:sz w:val="26"/>
          <w:szCs w:val="26"/>
        </w:rPr>
      </w:pPr>
      <w:r w:rsidRPr="00950A6D">
        <w:rPr>
          <w:rFonts w:ascii="Arial" w:hAnsi="Arial" w:cs="Arial"/>
          <w:bCs/>
          <w:color w:val="000000"/>
          <w:sz w:val="26"/>
          <w:szCs w:val="26"/>
        </w:rPr>
        <w:t>Explica lo anterior diciendo que los actos demandados se tratan de actos consentidos por la administrada, al haber realizado manifestaciones que entrañan su consentimiento y porque no los controvirtió dentro del plazo de treinta días,</w:t>
      </w:r>
      <w:r w:rsidR="0013337D">
        <w:rPr>
          <w:rFonts w:ascii="Arial" w:hAnsi="Arial" w:cs="Arial"/>
          <w:bCs/>
          <w:color w:val="000000"/>
          <w:sz w:val="26"/>
          <w:szCs w:val="26"/>
        </w:rPr>
        <w:t xml:space="preserve"> en términos de lo dispuesto por los artículos 6 fracción III, 18 párrafo segundo y transitorio octavo de la Ley de Pensiones para los Trabajadores del Gobierno del Estado de Oaxaca, de conformidad con el artículo 2 de la Constitución Federal, </w:t>
      </w:r>
      <w:r w:rsidRPr="00950A6D">
        <w:rPr>
          <w:rFonts w:ascii="Arial" w:hAnsi="Arial" w:cs="Arial"/>
          <w:bCs/>
          <w:color w:val="000000"/>
          <w:sz w:val="26"/>
          <w:szCs w:val="26"/>
        </w:rPr>
        <w:t>de ahí que se actualiza, dice la causal de improcedencia y sobreseimiento normada por los artículos 131, fracción VI y</w:t>
      </w:r>
      <w:r w:rsidR="0013337D">
        <w:rPr>
          <w:rFonts w:ascii="Arial" w:hAnsi="Arial" w:cs="Arial"/>
          <w:bCs/>
          <w:color w:val="000000"/>
          <w:sz w:val="26"/>
          <w:szCs w:val="26"/>
        </w:rPr>
        <w:t xml:space="preserve"> VII y</w:t>
      </w:r>
      <w:r w:rsidRPr="00950A6D">
        <w:rPr>
          <w:rFonts w:ascii="Arial" w:hAnsi="Arial" w:cs="Arial"/>
          <w:bCs/>
          <w:color w:val="000000"/>
          <w:sz w:val="26"/>
          <w:szCs w:val="26"/>
        </w:rPr>
        <w:t xml:space="preserve"> 132, fracción II de la Ley de Justicia Administrativa para el  Estado de Oaxaca.</w:t>
      </w:r>
    </w:p>
    <w:p w:rsidR="00433004" w:rsidRPr="00950A6D" w:rsidRDefault="0013337D" w:rsidP="00433004">
      <w:pPr>
        <w:widowControl w:val="0"/>
        <w:spacing w:before="240" w:after="0" w:line="360" w:lineRule="auto"/>
        <w:ind w:right="18" w:firstLine="709"/>
        <w:jc w:val="both"/>
        <w:rPr>
          <w:rFonts w:ascii="Arial" w:hAnsi="Arial" w:cs="Arial"/>
          <w:bCs/>
          <w:color w:val="000000"/>
          <w:sz w:val="26"/>
          <w:szCs w:val="26"/>
        </w:rPr>
      </w:pPr>
      <w:r>
        <w:rPr>
          <w:rFonts w:ascii="Arial" w:hAnsi="Arial" w:cs="Arial"/>
          <w:bCs/>
          <w:color w:val="000000"/>
          <w:sz w:val="26"/>
          <w:szCs w:val="26"/>
        </w:rPr>
        <w:t>Manifiesta que para evitar la multiplicidad de juicios, y privilegiar los principios generales de certeza jurídica, economía procesal y concentración jurisdiccional lo que no sucedió en el presente juicio ya que el actor promovió amparo en contra de los ulteriores actos de aplicación del artículo 6, fracción III, 18, párrafo segundo, Octavo Transitorio de la Ley de Pensiones  para los Trabajadores del Estado de Oaxaca, para que se realizara la devolución de los meses que le fueron descontados por concepto del FDO. DE PENSIONES,  ya que como se desprende de la resolución de fecha nueve de enero de dos mil diecisiete en el Juicio de Amparo 1215/2016, mesa VII-B radicado en el Juzgado Noveno de Distrito del Estado de Oaxaca, por lo que es evidente que el acto impugnado en el presente juicio, así como el acto impugnado en el expediente 1215/2016, Mesa VII-B radicada en el Juzgado Noveno de Distrito del Estado de Oaxaca, van encaminados a la devolución de las cantidades que la parte actora, realizo por concepto de fondo de pensiones con anterioridad al pago de su pensión</w:t>
      </w:r>
      <w:r w:rsidR="00992CA6">
        <w:rPr>
          <w:rFonts w:ascii="Arial" w:hAnsi="Arial" w:cs="Arial"/>
          <w:bCs/>
          <w:color w:val="000000"/>
          <w:sz w:val="26"/>
          <w:szCs w:val="26"/>
        </w:rPr>
        <w:t xml:space="preserve"> correspondiente al mes de diciembre del dos mil dieciséis</w:t>
      </w:r>
      <w:r w:rsidR="00433004">
        <w:rPr>
          <w:rFonts w:ascii="Arial" w:hAnsi="Arial" w:cs="Arial"/>
          <w:bCs/>
          <w:color w:val="000000"/>
          <w:sz w:val="26"/>
          <w:szCs w:val="26"/>
        </w:rPr>
        <w:t>.</w:t>
      </w:r>
    </w:p>
    <w:p w:rsidR="00160571" w:rsidRDefault="00160571" w:rsidP="00160571">
      <w:pPr>
        <w:widowControl w:val="0"/>
        <w:spacing w:before="240" w:after="0" w:line="360" w:lineRule="auto"/>
        <w:ind w:right="18" w:firstLine="709"/>
        <w:jc w:val="both"/>
        <w:rPr>
          <w:rFonts w:ascii="Arial" w:hAnsi="Arial" w:cs="Arial"/>
          <w:bCs/>
          <w:color w:val="000000"/>
          <w:sz w:val="26"/>
          <w:szCs w:val="26"/>
        </w:rPr>
      </w:pPr>
      <w:r>
        <w:rPr>
          <w:rFonts w:ascii="Arial" w:hAnsi="Arial" w:cs="Arial"/>
          <w:bCs/>
          <w:color w:val="000000"/>
          <w:sz w:val="26"/>
          <w:szCs w:val="26"/>
        </w:rPr>
        <w:t xml:space="preserve">Explica esto, diciendo que la incertidumbre jurídica se opone a los principios de certeza jurídica, economía procesal y concentración jurisdiccional, que tiene por objeto evitar que se inicien cuantos juicios considere necesarios un particular para reclamar todas las </w:t>
      </w:r>
      <w:r>
        <w:rPr>
          <w:rFonts w:ascii="Arial" w:hAnsi="Arial" w:cs="Arial"/>
          <w:bCs/>
          <w:color w:val="000000"/>
          <w:sz w:val="26"/>
          <w:szCs w:val="26"/>
        </w:rPr>
        <w:lastRenderedPageBreak/>
        <w:t xml:space="preserve">prestaciones que debió exigir en un solo procedimiento, cuando se derivan de una misma causa y contra la misma persona, situación que es inadmisible por la incertidumbre que generaría en cualquier que pudiera ser demandado, porque la contienda sería interminable, al permitirse con pretexto de no haber prescrito la acción, se instauren indeterminadamente los juicios que estime la actora. </w:t>
      </w:r>
    </w:p>
    <w:p w:rsidR="006E6F24" w:rsidRPr="00160571" w:rsidRDefault="00160571" w:rsidP="00160571">
      <w:pPr>
        <w:widowControl w:val="0"/>
        <w:spacing w:before="240" w:after="0" w:line="360" w:lineRule="auto"/>
        <w:ind w:right="18" w:firstLine="709"/>
        <w:jc w:val="both"/>
        <w:rPr>
          <w:rFonts w:ascii="Arial" w:hAnsi="Arial" w:cs="Arial"/>
          <w:bCs/>
          <w:sz w:val="26"/>
          <w:szCs w:val="26"/>
        </w:rPr>
      </w:pPr>
      <w:r>
        <w:rPr>
          <w:rFonts w:ascii="Arial" w:hAnsi="Arial" w:cs="Arial"/>
          <w:bCs/>
          <w:sz w:val="26"/>
          <w:szCs w:val="26"/>
        </w:rPr>
        <w:t xml:space="preserve">Cita al respecto el criterio: </w:t>
      </w:r>
      <w:r w:rsidR="00063F08">
        <w:rPr>
          <w:rFonts w:ascii="Arial" w:hAnsi="Arial" w:cs="Arial"/>
          <w:bCs/>
          <w:color w:val="000000"/>
          <w:sz w:val="26"/>
          <w:szCs w:val="26"/>
        </w:rPr>
        <w:t>“COMPETENCIA DE LAS AU</w:t>
      </w:r>
      <w:r w:rsidR="0016166F">
        <w:rPr>
          <w:rFonts w:ascii="Arial" w:hAnsi="Arial" w:cs="Arial"/>
          <w:bCs/>
          <w:color w:val="000000"/>
          <w:sz w:val="26"/>
          <w:szCs w:val="26"/>
        </w:rPr>
        <w:t>TORIDADES ADMINISTRATIVAS, EL MA</w:t>
      </w:r>
      <w:r w:rsidR="00063F08">
        <w:rPr>
          <w:rFonts w:ascii="Arial" w:hAnsi="Arial" w:cs="Arial"/>
          <w:bCs/>
          <w:color w:val="000000"/>
          <w:sz w:val="26"/>
          <w:szCs w:val="26"/>
        </w:rPr>
        <w:t xml:space="preserve">NDAMIENTO ESCRITO QUE CONTIENE EL ACTO DE MOLESTIA </w:t>
      </w:r>
      <w:r w:rsidR="002E1405">
        <w:rPr>
          <w:rFonts w:ascii="Arial" w:hAnsi="Arial" w:cs="Arial"/>
          <w:bCs/>
          <w:color w:val="000000"/>
          <w:sz w:val="26"/>
          <w:szCs w:val="26"/>
        </w:rPr>
        <w:t>A PARTI</w:t>
      </w:r>
      <w:r w:rsidR="00063F08">
        <w:rPr>
          <w:rFonts w:ascii="Arial" w:hAnsi="Arial" w:cs="Arial"/>
          <w:bCs/>
          <w:color w:val="000000"/>
          <w:sz w:val="26"/>
          <w:szCs w:val="26"/>
        </w:rPr>
        <w:t>CULARES DEBE FUNDARSE EN EL PRECEPTO LEGAL QUE LES OTORGUE LA ATRIBUCIÓN EJERCIDA, CITANDO EL APARTADO, FRACCIÓN, INCISO O SUBINCISO, Y EN EL CASO DE QUE NO LOS CONTENGA, SI SE TRAT</w:t>
      </w:r>
      <w:r w:rsidR="002E1405">
        <w:rPr>
          <w:rFonts w:ascii="Arial" w:hAnsi="Arial" w:cs="Arial"/>
          <w:bCs/>
          <w:color w:val="000000"/>
          <w:sz w:val="26"/>
          <w:szCs w:val="26"/>
        </w:rPr>
        <w:t>A DE UNA NORMA COMPLEJA, HABRA</w:t>
      </w:r>
      <w:r w:rsidR="00063F08">
        <w:rPr>
          <w:rFonts w:ascii="Arial" w:hAnsi="Arial" w:cs="Arial"/>
          <w:bCs/>
          <w:color w:val="000000"/>
          <w:sz w:val="26"/>
          <w:szCs w:val="26"/>
        </w:rPr>
        <w:t xml:space="preserve"> DE TRANSCRIBIRSE LA PARTE CORRESPONDIENTE</w:t>
      </w:r>
      <w:r w:rsidR="00785864">
        <w:rPr>
          <w:rFonts w:ascii="Arial" w:hAnsi="Arial" w:cs="Arial"/>
          <w:bCs/>
          <w:color w:val="000000"/>
          <w:sz w:val="26"/>
          <w:szCs w:val="26"/>
        </w:rPr>
        <w:t>”</w:t>
      </w:r>
      <w:r w:rsidR="00063F08">
        <w:rPr>
          <w:rFonts w:ascii="Arial" w:hAnsi="Arial" w:cs="Arial"/>
          <w:bCs/>
          <w:color w:val="000000"/>
          <w:sz w:val="26"/>
          <w:szCs w:val="26"/>
        </w:rPr>
        <w:t>.</w:t>
      </w:r>
      <w:r w:rsidR="00776A1B">
        <w:rPr>
          <w:rFonts w:ascii="Arial" w:hAnsi="Arial" w:cs="Arial"/>
          <w:bCs/>
          <w:color w:val="000000"/>
          <w:sz w:val="26"/>
          <w:szCs w:val="26"/>
        </w:rPr>
        <w:t xml:space="preserve"> </w:t>
      </w:r>
    </w:p>
    <w:p w:rsidR="002E1405" w:rsidRDefault="00CA08F1" w:rsidP="00896FDE">
      <w:pPr>
        <w:widowControl w:val="0"/>
        <w:spacing w:before="240" w:after="0" w:line="360" w:lineRule="auto"/>
        <w:ind w:right="18" w:firstLine="709"/>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8752" behindDoc="0" locked="0" layoutInCell="1" allowOverlap="1" wp14:anchorId="09A78419" wp14:editId="7A8361AF">
                <wp:simplePos x="0" y="0"/>
                <wp:positionH relativeFrom="column">
                  <wp:posOffset>5572664</wp:posOffset>
                </wp:positionH>
                <wp:positionV relativeFrom="paragraph">
                  <wp:posOffset>3086256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08F1" w:rsidRDefault="00CA08F1" w:rsidP="00CA08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8419" id="Cuadro de texto 2" o:spid="_x0000_s1027" type="#_x0000_t202" style="position:absolute;left:0;text-align:left;margin-left:438.8pt;margin-top:243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">
                <v:textbox>
                  <w:txbxContent>
                    <w:p w:rsidR="00CA08F1" w:rsidRDefault="00CA08F1" w:rsidP="00CA08F1">
                      <w:pPr>
                        <w:rPr>
                          <w:sz w:val="16"/>
                          <w:szCs w:val="16"/>
                        </w:rPr>
                      </w:pPr>
                      <w:r>
                        <w:rPr>
                          <w:sz w:val="16"/>
                          <w:szCs w:val="16"/>
                        </w:rPr>
                        <w:t>Datos personales protegidos por el Art. 116 de la LGTAIP y el Art. 56 de la LTAIPEO</w:t>
                      </w:r>
                    </w:p>
                  </w:txbxContent>
                </v:textbox>
              </v:shape>
            </w:pict>
          </mc:Fallback>
        </mc:AlternateContent>
      </w:r>
      <w:r w:rsidR="002E1405">
        <w:rPr>
          <w:rFonts w:ascii="Arial" w:hAnsi="Arial" w:cs="Arial"/>
          <w:bCs/>
          <w:color w:val="000000"/>
          <w:sz w:val="26"/>
          <w:szCs w:val="26"/>
        </w:rPr>
        <w:t>Ahora bien con respecto a la devolución de los descuentos realizados</w:t>
      </w:r>
      <w:r w:rsidR="002B357A">
        <w:rPr>
          <w:rFonts w:ascii="Arial" w:hAnsi="Arial" w:cs="Arial"/>
          <w:bCs/>
          <w:color w:val="000000"/>
          <w:sz w:val="26"/>
          <w:szCs w:val="26"/>
        </w:rPr>
        <w:t xml:space="preserve"> a partir de julio a diciembre, estos se iniciaron por concepto denominado “202 FDO DE PENSIONES </w:t>
      </w:r>
      <w:r w:rsidR="0033191C">
        <w:rPr>
          <w:rFonts w:ascii="Arial" w:hAnsi="Arial" w:cs="Arial"/>
          <w:bCs/>
          <w:color w:val="000000"/>
          <w:sz w:val="26"/>
          <w:szCs w:val="26"/>
        </w:rPr>
        <w:t>“por</w:t>
      </w:r>
      <w:r w:rsidR="002B357A">
        <w:rPr>
          <w:rFonts w:ascii="Arial" w:hAnsi="Arial" w:cs="Arial"/>
          <w:bCs/>
          <w:color w:val="000000"/>
          <w:sz w:val="26"/>
          <w:szCs w:val="26"/>
        </w:rPr>
        <w:t xml:space="preserve"> lo que desde esa fecha </w:t>
      </w:r>
      <w:r w:rsidR="0033191C">
        <w:rPr>
          <w:rFonts w:ascii="Arial" w:hAnsi="Arial" w:cs="Arial"/>
          <w:bCs/>
          <w:color w:val="000000"/>
          <w:sz w:val="26"/>
          <w:szCs w:val="26"/>
        </w:rPr>
        <w:t>tuvo conocimiento de los referidos descuentos ya que se le pagaban puntualmente y de manera interrumpida, y toda vez</w:t>
      </w:r>
      <w:r w:rsidR="007B1691">
        <w:rPr>
          <w:rFonts w:ascii="Arial" w:hAnsi="Arial" w:cs="Arial"/>
          <w:bCs/>
          <w:color w:val="000000"/>
          <w:sz w:val="26"/>
          <w:szCs w:val="26"/>
        </w:rPr>
        <w:t xml:space="preserve"> que hasta el quince de diciembre de dos mil dieciséis </w:t>
      </w:r>
      <w:r w:rsidR="00785864">
        <w:rPr>
          <w:rFonts w:ascii="Arial" w:hAnsi="Arial" w:cs="Arial"/>
          <w:bCs/>
          <w:color w:val="000000"/>
          <w:sz w:val="26"/>
          <w:szCs w:val="26"/>
        </w:rPr>
        <w:t xml:space="preserve">solicitó </w:t>
      </w:r>
      <w:r w:rsidR="007B1691">
        <w:rPr>
          <w:rFonts w:ascii="Arial" w:hAnsi="Arial" w:cs="Arial"/>
          <w:bCs/>
          <w:color w:val="000000"/>
          <w:sz w:val="26"/>
          <w:szCs w:val="26"/>
        </w:rPr>
        <w:t>a la Dirección General la devolución de los mismos, determinando que el conocimiento de los descuentos y su devolución son actos consentidos tácitamente, ya que transcurrieron más de tres años desde que se le iniciaron los descuentos</w:t>
      </w:r>
      <w:r w:rsidR="00785864">
        <w:rPr>
          <w:rFonts w:ascii="Arial" w:hAnsi="Arial" w:cs="Arial"/>
          <w:bCs/>
          <w:color w:val="000000"/>
          <w:sz w:val="26"/>
          <w:szCs w:val="26"/>
        </w:rPr>
        <w:t>. Sustentando su dicho con la siguiente jurisprudencia “AMPARO CONTRA NORMAS GENERALES HETEROAPLICATIVAS, SUS EFECTOS COMPRENDEN ÚNICAMENTE LA DEVOLUCIÓN DE LAS CANTIDADES ENTERADAS, RETENIDAS O DESCONTADAS DESDE EL ACTO DE APLICACIÓN QUE MOTIVÓ LA PROMOCIÓN  DEL JUICIO, Y LAS SUBSECUENTES, SIN QUE PUEDAN HACERCE EXTENSIVOS A LOS ACTOS PREVIOS.”</w:t>
      </w:r>
      <w:r w:rsidR="0033191C">
        <w:rPr>
          <w:rFonts w:ascii="Arial" w:hAnsi="Arial" w:cs="Arial"/>
          <w:bCs/>
          <w:color w:val="000000"/>
          <w:sz w:val="26"/>
          <w:szCs w:val="26"/>
        </w:rPr>
        <w:t xml:space="preserve">    </w:t>
      </w:r>
      <w:r w:rsidR="002E1405">
        <w:rPr>
          <w:rFonts w:ascii="Arial" w:hAnsi="Arial" w:cs="Arial"/>
          <w:bCs/>
          <w:color w:val="000000"/>
          <w:sz w:val="26"/>
          <w:szCs w:val="26"/>
        </w:rPr>
        <w:t xml:space="preserve">  </w:t>
      </w:r>
    </w:p>
    <w:p w:rsidR="00B30925" w:rsidRPr="00B30925" w:rsidRDefault="00896FDE" w:rsidP="00B30925">
      <w:pPr>
        <w:widowControl w:val="0"/>
        <w:tabs>
          <w:tab w:val="left" w:pos="7938"/>
        </w:tabs>
        <w:spacing w:before="240" w:after="0" w:line="360" w:lineRule="auto"/>
        <w:ind w:right="18" w:firstLine="709"/>
        <w:jc w:val="both"/>
        <w:rPr>
          <w:rFonts w:ascii="Arial" w:hAnsi="Arial" w:cs="Arial"/>
          <w:sz w:val="24"/>
          <w:szCs w:val="24"/>
        </w:rPr>
      </w:pPr>
      <w:r w:rsidRPr="00950A6D">
        <w:rPr>
          <w:rFonts w:ascii="Arial" w:hAnsi="Arial" w:cs="Arial"/>
          <w:bCs/>
          <w:color w:val="000000"/>
          <w:sz w:val="26"/>
          <w:szCs w:val="26"/>
        </w:rPr>
        <w:t>La</w:t>
      </w:r>
      <w:r>
        <w:rPr>
          <w:rFonts w:ascii="Arial" w:hAnsi="Arial" w:cs="Arial"/>
          <w:bCs/>
          <w:color w:val="000000"/>
          <w:sz w:val="26"/>
          <w:szCs w:val="26"/>
        </w:rPr>
        <w:t>s</w:t>
      </w:r>
      <w:r w:rsidRPr="00950A6D">
        <w:rPr>
          <w:rFonts w:ascii="Arial" w:hAnsi="Arial" w:cs="Arial"/>
          <w:bCs/>
          <w:color w:val="000000"/>
          <w:sz w:val="26"/>
          <w:szCs w:val="26"/>
        </w:rPr>
        <w:t xml:space="preserve"> anterior</w:t>
      </w:r>
      <w:r>
        <w:rPr>
          <w:rFonts w:ascii="Arial" w:hAnsi="Arial" w:cs="Arial"/>
          <w:bCs/>
          <w:color w:val="000000"/>
          <w:sz w:val="26"/>
          <w:szCs w:val="26"/>
        </w:rPr>
        <w:t>es</w:t>
      </w:r>
      <w:r w:rsidRPr="00950A6D">
        <w:rPr>
          <w:rFonts w:ascii="Arial" w:hAnsi="Arial" w:cs="Arial"/>
          <w:bCs/>
          <w:color w:val="000000"/>
          <w:sz w:val="26"/>
          <w:szCs w:val="26"/>
        </w:rPr>
        <w:t xml:space="preserve"> expresi</w:t>
      </w:r>
      <w:r w:rsidR="00B30925">
        <w:rPr>
          <w:rFonts w:ascii="Arial" w:hAnsi="Arial" w:cs="Arial"/>
          <w:bCs/>
          <w:color w:val="000000"/>
          <w:sz w:val="26"/>
          <w:szCs w:val="26"/>
        </w:rPr>
        <w:t xml:space="preserve">ones son </w:t>
      </w:r>
      <w:r w:rsidR="00B30925">
        <w:rPr>
          <w:rFonts w:ascii="Arial" w:hAnsi="Arial" w:cs="Arial"/>
          <w:b/>
          <w:bCs/>
          <w:color w:val="000000"/>
          <w:sz w:val="26"/>
          <w:szCs w:val="26"/>
        </w:rPr>
        <w:t xml:space="preserve">inoperantes, </w:t>
      </w:r>
      <w:r w:rsidR="00B30925">
        <w:rPr>
          <w:rFonts w:ascii="Arial" w:hAnsi="Arial" w:cs="Arial"/>
          <w:bCs/>
          <w:color w:val="000000"/>
          <w:sz w:val="26"/>
          <w:szCs w:val="26"/>
        </w:rPr>
        <w:t xml:space="preserve">debido a que del análisis de autos se tiene que en el escrito de contestación de demanda glosado de folio  veintiuno a veintiocho, el aquí recurrente expresó en idéntica forma los argumentos que aquí expone, luego sus manifestaciones constituyen una reiteración de lo ya expuesto ante la primera instancia y por tanto de lo ya analizado por la sala de origen, </w:t>
      </w:r>
      <w:r w:rsidR="00B30925">
        <w:rPr>
          <w:rFonts w:ascii="Arial" w:hAnsi="Arial" w:cs="Arial"/>
          <w:bCs/>
          <w:color w:val="000000"/>
          <w:sz w:val="26"/>
          <w:szCs w:val="26"/>
        </w:rPr>
        <w:lastRenderedPageBreak/>
        <w:t xml:space="preserve">sin que la repetición de sus alegaciones sean suficientes para evidenciar ilegalidad en el fallo sujeto a revisión. Es así, porque para que esta Sala Superior esté en condiciones de analizar sus disconformidades es necesario que expusiera el precepto legal que presuntamente se violentó en su perjuicio y además que expusiera las razones lógicas y jurídicas que lleven a demostrar que se le ocasiona una lesión con la consideración de la </w:t>
      </w:r>
      <w:proofErr w:type="spellStart"/>
      <w:r w:rsidR="00B30925">
        <w:rPr>
          <w:rFonts w:ascii="Arial" w:hAnsi="Arial" w:cs="Arial"/>
          <w:bCs/>
          <w:color w:val="000000"/>
          <w:sz w:val="26"/>
          <w:szCs w:val="26"/>
        </w:rPr>
        <w:t>resolutora</w:t>
      </w:r>
      <w:proofErr w:type="spellEnd"/>
      <w:r w:rsidR="00B30925">
        <w:rPr>
          <w:rFonts w:ascii="Arial" w:hAnsi="Arial" w:cs="Arial"/>
          <w:bCs/>
          <w:color w:val="000000"/>
          <w:sz w:val="26"/>
          <w:szCs w:val="26"/>
        </w:rPr>
        <w:t xml:space="preserve">, lo que hace, según la técnica procesal, un verdadero agravio. Sin que obste recalcar al ahora inconforme que esta Sala Superior no puede analizar de primera mano lo expuesto en la primera instancia, debido a que el estudio recursivo se circunscribe al análisis de las actuaciones de la </w:t>
      </w:r>
      <w:proofErr w:type="spellStart"/>
      <w:r w:rsidR="00B30925">
        <w:rPr>
          <w:rFonts w:ascii="Arial" w:hAnsi="Arial" w:cs="Arial"/>
          <w:bCs/>
          <w:color w:val="000000"/>
          <w:sz w:val="26"/>
          <w:szCs w:val="26"/>
        </w:rPr>
        <w:t>resolutora</w:t>
      </w:r>
      <w:proofErr w:type="spellEnd"/>
      <w:r w:rsidR="00B30925">
        <w:rPr>
          <w:rFonts w:ascii="Arial" w:hAnsi="Arial" w:cs="Arial"/>
          <w:bCs/>
          <w:color w:val="000000"/>
          <w:sz w:val="26"/>
          <w:szCs w:val="26"/>
        </w:rPr>
        <w:t xml:space="preserve"> de primer grado y no del debate sometido a su </w:t>
      </w:r>
      <w:r w:rsidR="00B30925" w:rsidRPr="00B30925">
        <w:rPr>
          <w:rFonts w:ascii="Arial" w:hAnsi="Arial" w:cs="Arial"/>
          <w:bCs/>
          <w:sz w:val="24"/>
          <w:szCs w:val="24"/>
        </w:rPr>
        <w:t xml:space="preserve">consideración. Estas consideraciones encuentran apoyo por identidad en el tema en la jurisprudencia </w:t>
      </w:r>
      <w:r w:rsidR="00B30925" w:rsidRPr="00B30925">
        <w:rPr>
          <w:rFonts w:ascii="Arial" w:hAnsi="Arial" w:cs="Arial"/>
          <w:sz w:val="24"/>
          <w:szCs w:val="24"/>
        </w:rPr>
        <w:t xml:space="preserve">IV.3o.A. J/20 (9a.)  </w:t>
      </w:r>
      <w:proofErr w:type="gramStart"/>
      <w:r w:rsidR="00B30925" w:rsidRPr="00B30925">
        <w:rPr>
          <w:rFonts w:ascii="Arial" w:hAnsi="Arial" w:cs="Arial"/>
          <w:sz w:val="24"/>
          <w:szCs w:val="24"/>
        </w:rPr>
        <w:t>del</w:t>
      </w:r>
      <w:proofErr w:type="gramEnd"/>
      <w:r w:rsidR="00B30925" w:rsidRPr="00B30925">
        <w:rPr>
          <w:rFonts w:ascii="Arial" w:hAnsi="Arial" w:cs="Arial"/>
          <w:sz w:val="24"/>
          <w:szCs w:val="24"/>
        </w:rPr>
        <w:t xml:space="preserve"> Tercer Tribunal Colegiado en Materia Administrativa del Cuarto Circuito, la cual ha sido dictada en esta décima época y publicada en el Semanario Judicial de la Federación y su Gaceta en el Libro XII de septiembre de 2012, a Tomo 3, y consultable a página 1347 bajo el rubro y texto del tenor literal siguientes:</w:t>
      </w:r>
    </w:p>
    <w:p w:rsidR="00B30925" w:rsidRPr="00B30925" w:rsidRDefault="00B30925" w:rsidP="00B30925">
      <w:pPr>
        <w:widowControl w:val="0"/>
        <w:tabs>
          <w:tab w:val="left" w:pos="7938"/>
        </w:tabs>
        <w:spacing w:before="240" w:after="0" w:line="360" w:lineRule="auto"/>
        <w:ind w:right="18" w:firstLine="709"/>
        <w:jc w:val="both"/>
        <w:rPr>
          <w:rFonts w:ascii="Arial" w:hAnsi="Arial" w:cs="Arial"/>
          <w:sz w:val="24"/>
          <w:szCs w:val="24"/>
        </w:rPr>
      </w:pPr>
    </w:p>
    <w:p w:rsidR="00B30925" w:rsidRPr="001B2E8A" w:rsidRDefault="00B30925" w:rsidP="00B30925">
      <w:pPr>
        <w:spacing w:after="0" w:line="360" w:lineRule="auto"/>
        <w:ind w:left="851" w:right="760"/>
        <w:jc w:val="both"/>
        <w:rPr>
          <w:rFonts w:ascii="Arial" w:hAnsi="Arial" w:cs="Arial"/>
          <w:i/>
        </w:rPr>
      </w:pPr>
      <w:r>
        <w:rPr>
          <w:rFonts w:ascii="Arial" w:hAnsi="Arial" w:cs="Arial"/>
          <w:b/>
          <w:i/>
        </w:rPr>
        <w:t>“</w:t>
      </w:r>
      <w:r w:rsidRPr="001B2E8A">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Pr="001B2E8A">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w:t>
      </w:r>
      <w:proofErr w:type="spellStart"/>
      <w:r w:rsidRPr="001B2E8A">
        <w:rPr>
          <w:rFonts w:ascii="Arial" w:hAnsi="Arial" w:cs="Arial"/>
          <w:i/>
        </w:rPr>
        <w:t>litis</w:t>
      </w:r>
      <w:proofErr w:type="spellEnd"/>
      <w:r w:rsidRPr="001B2E8A">
        <w:rPr>
          <w:rFonts w:ascii="Arial" w:hAnsi="Arial" w:cs="Arial"/>
          <w:i/>
        </w:rPr>
        <w:t>,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r>
        <w:rPr>
          <w:rFonts w:ascii="Arial" w:hAnsi="Arial" w:cs="Arial"/>
          <w:i/>
        </w:rPr>
        <w:t>”</w:t>
      </w:r>
    </w:p>
    <w:p w:rsidR="00B30925" w:rsidRDefault="00B30925" w:rsidP="00B30925"/>
    <w:p w:rsidR="00B30925" w:rsidRPr="00B30925" w:rsidRDefault="00B30925" w:rsidP="00B30925">
      <w:pPr>
        <w:spacing w:after="0" w:line="360" w:lineRule="auto"/>
        <w:ind w:firstLine="708"/>
        <w:jc w:val="both"/>
        <w:rPr>
          <w:rFonts w:ascii="Arial" w:hAnsi="Arial" w:cs="Arial"/>
          <w:bCs/>
          <w:sz w:val="24"/>
          <w:szCs w:val="24"/>
        </w:rPr>
      </w:pPr>
      <w:r w:rsidRPr="00B30925">
        <w:rPr>
          <w:rFonts w:ascii="Arial" w:hAnsi="Arial" w:cs="Arial"/>
          <w:sz w:val="24"/>
          <w:szCs w:val="24"/>
        </w:rPr>
        <w:t xml:space="preserve">Así como la jurisprudencia </w:t>
      </w:r>
      <w:r w:rsidRPr="00B30925">
        <w:rPr>
          <w:rFonts w:ascii="Arial" w:hAnsi="Arial" w:cs="Arial"/>
          <w:bCs/>
          <w:sz w:val="24"/>
          <w:szCs w:val="24"/>
        </w:rPr>
        <w:t xml:space="preserve">IV.3o. J/12 del Tercer Tribunal Colegiado del Cuarto Circuito, dictada en la octava época, y que fue publicada  en  la </w:t>
      </w:r>
      <w:r w:rsidRPr="00B30925">
        <w:rPr>
          <w:rFonts w:ascii="Arial" w:hAnsi="Arial" w:cs="Arial"/>
          <w:bCs/>
          <w:sz w:val="24"/>
          <w:szCs w:val="24"/>
        </w:rPr>
        <w:lastRenderedPageBreak/>
        <w:t xml:space="preserve">Gaceta del Semanario Judicial de la Federación número 57 de septiembre de 1992 y que puede ser consultada a página 57 con el título y texto siguientes: </w:t>
      </w:r>
    </w:p>
    <w:p w:rsidR="00B30925" w:rsidRPr="00B30925" w:rsidRDefault="00B30925" w:rsidP="00B30925">
      <w:pPr>
        <w:pStyle w:val="Sinespaciado"/>
        <w:spacing w:line="360" w:lineRule="auto"/>
        <w:jc w:val="both"/>
        <w:rPr>
          <w:rFonts w:ascii="Arial" w:hAnsi="Arial" w:cs="Arial"/>
          <w:bCs/>
          <w:sz w:val="24"/>
          <w:szCs w:val="24"/>
          <w:lang w:val="es-MX"/>
        </w:rPr>
      </w:pPr>
    </w:p>
    <w:p w:rsidR="00B30925" w:rsidRPr="005A3216" w:rsidRDefault="00B30925" w:rsidP="00B30925">
      <w:pPr>
        <w:pStyle w:val="Sinespaciado"/>
        <w:spacing w:line="360" w:lineRule="auto"/>
        <w:ind w:left="851" w:right="758"/>
        <w:jc w:val="both"/>
        <w:rPr>
          <w:rFonts w:ascii="Arial" w:hAnsi="Arial" w:cs="Arial"/>
          <w:i/>
        </w:rPr>
      </w:pPr>
      <w:r>
        <w:rPr>
          <w:rFonts w:ascii="Arial" w:hAnsi="Arial" w:cs="Arial"/>
          <w:bCs/>
          <w:i/>
          <w:lang w:val="es-MX"/>
        </w:rPr>
        <w:t>“</w:t>
      </w:r>
      <w:r w:rsidRPr="00B30925">
        <w:rPr>
          <w:rFonts w:ascii="Arial" w:hAnsi="Arial" w:cs="Arial"/>
          <w:b/>
          <w:bCs/>
          <w:i/>
          <w:lang w:val="es-MX"/>
        </w:rPr>
        <w:t>AGRAVIOS. DEBEN DE IMPUGNAR LA ILEGALIDAD DEL FALLO RECURRIDO.</w:t>
      </w:r>
      <w:r w:rsidRPr="00B30925">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896FDE" w:rsidRDefault="00896FDE" w:rsidP="00896FDE">
      <w:pPr>
        <w:jc w:val="right"/>
      </w:pPr>
    </w:p>
    <w:p w:rsidR="00896FDE" w:rsidRPr="00950A6D" w:rsidRDefault="00896FDE" w:rsidP="00896FDE">
      <w:pPr>
        <w:spacing w:before="240" w:after="0" w:line="360" w:lineRule="auto"/>
        <w:ind w:firstLine="709"/>
        <w:jc w:val="both"/>
        <w:rPr>
          <w:rFonts w:ascii="Arial" w:hAnsi="Arial" w:cs="Arial"/>
          <w:sz w:val="26"/>
          <w:szCs w:val="26"/>
        </w:rPr>
      </w:pPr>
      <w:r w:rsidRPr="00950A6D">
        <w:rPr>
          <w:rFonts w:ascii="Arial" w:eastAsia="Calibri" w:hAnsi="Arial" w:cs="Arial"/>
          <w:bCs/>
          <w:sz w:val="26"/>
          <w:szCs w:val="26"/>
        </w:rPr>
        <w:t xml:space="preserve">Ante tales consideraciones, al no existir agravio que reparar, lo procedente es </w:t>
      </w:r>
      <w:r w:rsidRPr="00950A6D">
        <w:rPr>
          <w:rFonts w:ascii="Arial" w:eastAsia="Calibri" w:hAnsi="Arial" w:cs="Arial"/>
          <w:b/>
          <w:bCs/>
          <w:sz w:val="26"/>
          <w:szCs w:val="26"/>
        </w:rPr>
        <w:t xml:space="preserve">CONFIRMAR </w:t>
      </w:r>
      <w:r w:rsidRPr="00950A6D">
        <w:rPr>
          <w:rFonts w:ascii="Arial" w:eastAsia="Calibri" w:hAnsi="Arial" w:cs="Arial"/>
          <w:bCs/>
          <w:sz w:val="26"/>
          <w:szCs w:val="26"/>
        </w:rPr>
        <w:t xml:space="preserve">la sentencia revisada y </w:t>
      </w:r>
      <w:r w:rsidRPr="00950A6D">
        <w:rPr>
          <w:rFonts w:ascii="Arial" w:hAnsi="Arial" w:cs="Arial"/>
          <w:sz w:val="26"/>
          <w:szCs w:val="26"/>
        </w:rPr>
        <w:t>con fundamento en los artículos 207 y 208 de la Ley de Justicia Administrativa para el Estado,</w:t>
      </w:r>
      <w:r w:rsidR="007F6532">
        <w:rPr>
          <w:rFonts w:ascii="Arial" w:hAnsi="Arial" w:cs="Arial"/>
          <w:sz w:val="26"/>
          <w:szCs w:val="26"/>
        </w:rPr>
        <w:t xml:space="preserve"> vigente hasta el veinte de octubre de dos mil diecisiete,</w:t>
      </w:r>
      <w:r w:rsidRPr="00950A6D">
        <w:rPr>
          <w:rFonts w:ascii="Arial" w:hAnsi="Arial" w:cs="Arial"/>
          <w:sz w:val="26"/>
          <w:szCs w:val="26"/>
        </w:rPr>
        <w:t xml:space="preserve"> se:</w:t>
      </w:r>
    </w:p>
    <w:p w:rsidR="00896FDE" w:rsidRPr="00950A6D" w:rsidRDefault="00896FDE" w:rsidP="00896FDE">
      <w:pPr>
        <w:tabs>
          <w:tab w:val="left" w:pos="1134"/>
        </w:tabs>
        <w:spacing w:before="240" w:after="0" w:line="360" w:lineRule="auto"/>
        <w:jc w:val="center"/>
        <w:rPr>
          <w:rFonts w:ascii="Arial" w:eastAsia="Calibri" w:hAnsi="Arial" w:cs="Arial"/>
          <w:b/>
          <w:sz w:val="26"/>
          <w:szCs w:val="26"/>
          <w:lang w:val="es-ES"/>
        </w:rPr>
      </w:pPr>
      <w:r w:rsidRPr="00950A6D">
        <w:rPr>
          <w:rFonts w:ascii="Arial" w:eastAsia="Calibri" w:hAnsi="Arial" w:cs="Arial"/>
          <w:b/>
          <w:sz w:val="26"/>
          <w:szCs w:val="26"/>
          <w:lang w:val="es-ES"/>
        </w:rPr>
        <w:t>R E S U E L V E</w:t>
      </w:r>
    </w:p>
    <w:p w:rsidR="00896FDE" w:rsidRDefault="00896FDE" w:rsidP="00896FDE">
      <w:pPr>
        <w:spacing w:before="240" w:line="360" w:lineRule="auto"/>
        <w:ind w:firstLine="708"/>
        <w:jc w:val="both"/>
        <w:rPr>
          <w:rFonts w:ascii="Arial" w:eastAsia="Calibri" w:hAnsi="Arial" w:cs="Arial"/>
          <w:sz w:val="26"/>
          <w:szCs w:val="26"/>
        </w:rPr>
      </w:pPr>
      <w:r w:rsidRPr="00950A6D">
        <w:rPr>
          <w:rFonts w:ascii="Arial" w:eastAsia="Calibri" w:hAnsi="Arial" w:cs="Arial"/>
          <w:b/>
          <w:sz w:val="26"/>
          <w:szCs w:val="26"/>
          <w:lang w:val="es-ES"/>
        </w:rPr>
        <w:t>PRIMERO</w:t>
      </w:r>
      <w:r w:rsidRPr="00950A6D">
        <w:rPr>
          <w:rFonts w:ascii="Arial" w:eastAsia="Calibri" w:hAnsi="Arial" w:cs="Arial"/>
          <w:sz w:val="26"/>
          <w:szCs w:val="26"/>
        </w:rPr>
        <w:t xml:space="preserve">. Se </w:t>
      </w:r>
      <w:r w:rsidRPr="00950A6D">
        <w:rPr>
          <w:rFonts w:ascii="Arial" w:eastAsia="Calibri" w:hAnsi="Arial" w:cs="Arial"/>
          <w:b/>
          <w:sz w:val="26"/>
          <w:szCs w:val="26"/>
        </w:rPr>
        <w:t xml:space="preserve">CONFIRMA </w:t>
      </w:r>
      <w:r w:rsidRPr="00950A6D">
        <w:rPr>
          <w:rFonts w:ascii="Arial" w:eastAsia="Calibri" w:hAnsi="Arial" w:cs="Arial"/>
          <w:sz w:val="26"/>
          <w:szCs w:val="26"/>
        </w:rPr>
        <w:t xml:space="preserve">la sentencia recurrida, </w:t>
      </w:r>
      <w:r w:rsidRPr="00950A6D">
        <w:rPr>
          <w:rFonts w:ascii="Arial" w:eastAsia="Calibri" w:hAnsi="Arial" w:cs="Arial"/>
          <w:sz w:val="26"/>
          <w:szCs w:val="26"/>
          <w:lang w:val="es-ES" w:eastAsia="es-ES"/>
        </w:rPr>
        <w:t>por las razones expuestas en el considerando que antecede</w:t>
      </w:r>
      <w:r w:rsidRPr="00950A6D">
        <w:rPr>
          <w:rFonts w:ascii="Arial" w:eastAsia="Calibri" w:hAnsi="Arial" w:cs="Arial"/>
          <w:sz w:val="26"/>
          <w:szCs w:val="26"/>
        </w:rPr>
        <w:t xml:space="preserve">. </w:t>
      </w:r>
    </w:p>
    <w:p w:rsidR="00896FDE" w:rsidRPr="00950A6D" w:rsidRDefault="00CA08F1" w:rsidP="00896FDE">
      <w:pPr>
        <w:spacing w:before="240" w:line="360" w:lineRule="auto"/>
        <w:ind w:firstLine="708"/>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0800" behindDoc="0" locked="0" layoutInCell="1" allowOverlap="1" wp14:anchorId="75A6E728" wp14:editId="1EFECF10">
                <wp:simplePos x="0" y="0"/>
                <wp:positionH relativeFrom="column">
                  <wp:posOffset>5615796</wp:posOffset>
                </wp:positionH>
                <wp:positionV relativeFrom="paragraph">
                  <wp:posOffset>824457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08F1" w:rsidRDefault="00CA08F1" w:rsidP="00CA08F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E728" id="Cuadro de texto 3" o:spid="_x0000_s1028" type="#_x0000_t202" style="position:absolute;left:0;text-align:left;margin-left:442.2pt;margin-top:64.9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">
                <v:textbox>
                  <w:txbxContent>
                    <w:p w:rsidR="00CA08F1" w:rsidRDefault="00CA08F1" w:rsidP="00CA08F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96FDE" w:rsidRPr="00950A6D">
        <w:rPr>
          <w:rFonts w:ascii="Arial" w:hAnsi="Arial" w:cs="Arial"/>
          <w:b/>
          <w:sz w:val="26"/>
          <w:szCs w:val="26"/>
        </w:rPr>
        <w:t>SEGUNDO</w:t>
      </w:r>
      <w:r w:rsidR="00896FDE" w:rsidRPr="00950A6D">
        <w:rPr>
          <w:rFonts w:ascii="Arial" w:hAnsi="Arial" w:cs="Arial"/>
          <w:sz w:val="26"/>
          <w:szCs w:val="26"/>
        </w:rPr>
        <w:t xml:space="preserve">. </w:t>
      </w:r>
      <w:r w:rsidR="00896FDE" w:rsidRPr="00950A6D">
        <w:rPr>
          <w:rFonts w:ascii="Arial" w:hAnsi="Arial" w:cs="Arial"/>
          <w:b/>
          <w:sz w:val="26"/>
          <w:szCs w:val="26"/>
        </w:rPr>
        <w:t>NOTIFÍQUESE Y CÚMPLASE,</w:t>
      </w:r>
      <w:r w:rsidR="00896FDE" w:rsidRPr="00950A6D">
        <w:rPr>
          <w:rFonts w:ascii="Arial" w:hAnsi="Arial" w:cs="Arial"/>
          <w:sz w:val="26"/>
          <w:szCs w:val="26"/>
        </w:rPr>
        <w:t xml:space="preserve"> </w:t>
      </w:r>
      <w:r w:rsidR="00896FDE" w:rsidRPr="00950A6D">
        <w:rPr>
          <w:rFonts w:ascii="Arial" w:eastAsia="Calibri" w:hAnsi="Arial" w:cs="Arial"/>
          <w:sz w:val="26"/>
          <w:szCs w:val="26"/>
        </w:rPr>
        <w:t xml:space="preserve">con copia certificada de la presente resolución, vuelvan las constancias remitidas a la </w:t>
      </w:r>
      <w:r w:rsidR="00896FDE">
        <w:rPr>
          <w:rFonts w:ascii="Arial" w:eastAsia="Calibri" w:hAnsi="Arial" w:cs="Arial"/>
          <w:sz w:val="26"/>
          <w:szCs w:val="26"/>
        </w:rPr>
        <w:t>S</w:t>
      </w:r>
      <w:r w:rsidR="00160571">
        <w:rPr>
          <w:rFonts w:ascii="Arial" w:eastAsia="Calibri" w:hAnsi="Arial" w:cs="Arial"/>
          <w:sz w:val="26"/>
          <w:szCs w:val="26"/>
        </w:rPr>
        <w:t>ext</w:t>
      </w:r>
      <w:r w:rsidR="00896FDE">
        <w:rPr>
          <w:rFonts w:ascii="Arial" w:eastAsia="Calibri" w:hAnsi="Arial" w:cs="Arial"/>
          <w:sz w:val="26"/>
          <w:szCs w:val="26"/>
        </w:rPr>
        <w:t>a</w:t>
      </w:r>
      <w:r w:rsidR="00896FDE" w:rsidRPr="00950A6D">
        <w:rPr>
          <w:rFonts w:ascii="Arial" w:eastAsia="Calibri" w:hAnsi="Arial" w:cs="Arial"/>
          <w:sz w:val="26"/>
          <w:szCs w:val="26"/>
        </w:rPr>
        <w:t xml:space="preserve"> Sala Unitaria de Primera Instancia y en su oportunidad archívese el cuaderno de revisión como concluido.</w:t>
      </w:r>
    </w:p>
    <w:p w:rsidR="00392A36" w:rsidRDefault="00392A36" w:rsidP="00392A36">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392A36" w:rsidRDefault="00392A36" w:rsidP="00392A36">
      <w:pPr>
        <w:jc w:val="both"/>
        <w:rPr>
          <w:rFonts w:ascii="Arial" w:hAnsi="Arial" w:cs="Arial"/>
          <w:sz w:val="26"/>
          <w:szCs w:val="26"/>
        </w:rPr>
      </w:pPr>
    </w:p>
    <w:p w:rsidR="00392A36" w:rsidRDefault="00392A36" w:rsidP="00392A36">
      <w:pPr>
        <w:jc w:val="both"/>
        <w:rPr>
          <w:rFonts w:ascii="Arial" w:hAnsi="Arial" w:cs="Arial"/>
          <w:sz w:val="26"/>
          <w:szCs w:val="26"/>
        </w:rPr>
      </w:pPr>
    </w:p>
    <w:p w:rsidR="00392A36" w:rsidRDefault="00392A36" w:rsidP="00392A36">
      <w:pPr>
        <w:jc w:val="both"/>
        <w:rPr>
          <w:rFonts w:ascii="Arial" w:hAnsi="Arial" w:cs="Arial"/>
          <w:sz w:val="26"/>
          <w:szCs w:val="26"/>
        </w:rPr>
      </w:pPr>
    </w:p>
    <w:p w:rsidR="00392A36" w:rsidRDefault="00392A36" w:rsidP="00392A36">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392A36" w:rsidRDefault="00392A36" w:rsidP="00392A36">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392A36" w:rsidRDefault="00392A36" w:rsidP="00392A36">
      <w:pPr>
        <w:spacing w:line="360" w:lineRule="auto"/>
        <w:rPr>
          <w:rFonts w:ascii="Arial" w:eastAsia="Calibri" w:hAnsi="Arial" w:cs="Arial"/>
          <w:sz w:val="26"/>
          <w:szCs w:val="26"/>
        </w:rPr>
      </w:pPr>
    </w:p>
    <w:p w:rsidR="00392A36" w:rsidRDefault="00392A36" w:rsidP="00392A36">
      <w:pPr>
        <w:spacing w:line="360" w:lineRule="auto"/>
        <w:rPr>
          <w:rFonts w:ascii="Arial" w:eastAsia="Calibri" w:hAnsi="Arial" w:cs="Arial"/>
          <w:sz w:val="26"/>
          <w:szCs w:val="26"/>
        </w:rPr>
      </w:pPr>
    </w:p>
    <w:p w:rsidR="004F2758" w:rsidRPr="00502AA8" w:rsidRDefault="004F2758" w:rsidP="004F2758">
      <w:pPr>
        <w:spacing w:line="360" w:lineRule="auto"/>
        <w:jc w:val="center"/>
        <w:rPr>
          <w:rFonts w:ascii="Arial" w:eastAsia="Calibri" w:hAnsi="Arial" w:cs="Arial"/>
          <w:sz w:val="26"/>
          <w:szCs w:val="26"/>
        </w:rPr>
      </w:pPr>
      <w:r w:rsidRPr="00502AA8">
        <w:rPr>
          <w:rFonts w:ascii="Arial" w:eastAsia="Calibri" w:hAnsi="Arial" w:cs="Arial"/>
          <w:b/>
          <w:sz w:val="16"/>
          <w:szCs w:val="26"/>
        </w:rPr>
        <w:lastRenderedPageBreak/>
        <w:t>LAS PRESENTES FIRMAS CORRESPONDEN AL RECURSO DE REVISI</w:t>
      </w:r>
      <w:r>
        <w:rPr>
          <w:rFonts w:ascii="Arial" w:eastAsia="Calibri" w:hAnsi="Arial" w:cs="Arial"/>
          <w:b/>
          <w:sz w:val="16"/>
          <w:szCs w:val="26"/>
        </w:rPr>
        <w:t>ÓN 585</w:t>
      </w:r>
      <w:r w:rsidRPr="00502AA8">
        <w:rPr>
          <w:rFonts w:ascii="Arial" w:eastAsia="Calibri" w:hAnsi="Arial" w:cs="Arial"/>
          <w:b/>
          <w:sz w:val="16"/>
          <w:szCs w:val="26"/>
        </w:rPr>
        <w:t xml:space="preserve">/2017 </w:t>
      </w:r>
    </w:p>
    <w:p w:rsidR="004F2758" w:rsidRDefault="004F2758" w:rsidP="00392A36">
      <w:pPr>
        <w:spacing w:line="360" w:lineRule="auto"/>
        <w:rPr>
          <w:rFonts w:ascii="Arial" w:eastAsia="Calibri" w:hAnsi="Arial" w:cs="Arial"/>
          <w:sz w:val="26"/>
          <w:szCs w:val="26"/>
        </w:rPr>
      </w:pPr>
    </w:p>
    <w:p w:rsidR="00392A36" w:rsidRDefault="00392A36" w:rsidP="00392A36">
      <w:pPr>
        <w:spacing w:line="360" w:lineRule="auto"/>
        <w:rPr>
          <w:rFonts w:ascii="Arial" w:eastAsia="Calibri" w:hAnsi="Arial" w:cs="Arial"/>
          <w:sz w:val="26"/>
          <w:szCs w:val="26"/>
        </w:rPr>
      </w:pPr>
    </w:p>
    <w:p w:rsidR="004F2758" w:rsidRDefault="004F2758" w:rsidP="00392A36">
      <w:pPr>
        <w:spacing w:line="360" w:lineRule="auto"/>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line="360" w:lineRule="auto"/>
        <w:rPr>
          <w:rFonts w:ascii="Arial" w:eastAsia="Calibri" w:hAnsi="Arial" w:cs="Arial"/>
          <w:sz w:val="26"/>
          <w:szCs w:val="26"/>
        </w:rPr>
      </w:pPr>
    </w:p>
    <w:p w:rsidR="00392A36" w:rsidRDefault="00392A36" w:rsidP="00392A36">
      <w:pPr>
        <w:spacing w:line="360" w:lineRule="auto"/>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line="360" w:lineRule="auto"/>
        <w:rPr>
          <w:rFonts w:ascii="Arial" w:eastAsia="Calibri" w:hAnsi="Arial" w:cs="Arial"/>
          <w:sz w:val="26"/>
          <w:szCs w:val="26"/>
        </w:rPr>
      </w:pPr>
    </w:p>
    <w:p w:rsidR="00392A36" w:rsidRDefault="00392A36" w:rsidP="00392A36">
      <w:pPr>
        <w:spacing w:line="360" w:lineRule="auto"/>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line="360" w:lineRule="auto"/>
        <w:jc w:val="center"/>
        <w:rPr>
          <w:rFonts w:ascii="Arial" w:eastAsia="Calibri" w:hAnsi="Arial" w:cs="Arial"/>
          <w:sz w:val="26"/>
          <w:szCs w:val="26"/>
        </w:rPr>
      </w:pPr>
    </w:p>
    <w:p w:rsidR="00392A36" w:rsidRDefault="00392A36" w:rsidP="00392A36">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392A36" w:rsidRPr="005E469D" w:rsidRDefault="00392A36" w:rsidP="00392A36">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392A36" w:rsidRPr="006C7EC5" w:rsidRDefault="00392A36" w:rsidP="00392A36">
      <w:pPr>
        <w:spacing w:before="240" w:line="360" w:lineRule="auto"/>
        <w:ind w:firstLine="708"/>
        <w:jc w:val="both"/>
        <w:rPr>
          <w:rFonts w:ascii="Arial" w:hAnsi="Arial" w:cs="Arial"/>
          <w:sz w:val="26"/>
          <w:szCs w:val="26"/>
        </w:rPr>
      </w:pPr>
    </w:p>
    <w:p w:rsidR="00392A36" w:rsidRPr="00782842" w:rsidRDefault="00392A36" w:rsidP="00392A36">
      <w:pPr>
        <w:spacing w:before="240" w:line="360" w:lineRule="auto"/>
        <w:ind w:left="142" w:firstLine="708"/>
        <w:jc w:val="both"/>
        <w:rPr>
          <w:rFonts w:ascii="Arial" w:eastAsia="Calibri" w:hAnsi="Arial" w:cs="Arial"/>
          <w:sz w:val="24"/>
          <w:szCs w:val="24"/>
        </w:rPr>
      </w:pPr>
    </w:p>
    <w:p w:rsidR="00BA554F" w:rsidRDefault="00BA554F" w:rsidP="00392A36">
      <w:pPr>
        <w:spacing w:before="240" w:line="360" w:lineRule="auto"/>
        <w:ind w:left="142" w:firstLine="708"/>
        <w:jc w:val="both"/>
      </w:pPr>
    </w:p>
    <w:sectPr w:rsidR="00BA554F" w:rsidSect="00392A36">
      <w:headerReference w:type="even" r:id="rId6"/>
      <w:headerReference w:type="default" r:id="rId7"/>
      <w:footerReference w:type="even"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F2" w:rsidRDefault="001256F2">
      <w:pPr>
        <w:spacing w:after="0" w:line="240" w:lineRule="auto"/>
      </w:pPr>
      <w:r>
        <w:separator/>
      </w:r>
    </w:p>
  </w:endnote>
  <w:endnote w:type="continuationSeparator" w:id="0">
    <w:p w:rsidR="001256F2" w:rsidRDefault="0012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4D" w:rsidRDefault="00C5204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6</w:t>
    </w:r>
    <w:r>
      <w:rPr>
        <w:caps/>
        <w:color w:val="5B9BD5" w:themeColor="accent1"/>
      </w:rPr>
      <w:fldChar w:fldCharType="end"/>
    </w:r>
  </w:p>
  <w:p w:rsidR="00C5204D" w:rsidRDefault="00C520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61645"/>
      <w:docPartObj>
        <w:docPartGallery w:val="Page Numbers (Bottom of Page)"/>
        <w:docPartUnique/>
      </w:docPartObj>
    </w:sdtPr>
    <w:sdtEndPr/>
    <w:sdtContent>
      <w:p w:rsidR="00C5204D" w:rsidRDefault="00CA08F1">
        <w:pPr>
          <w:pStyle w:val="Piedepgina"/>
          <w:jc w:val="center"/>
        </w:pPr>
        <w:r>
          <w:rPr>
            <w:noProof/>
            <w:lang w:val="es-MX" w:eastAsia="es-MX"/>
          </w:rPr>
          <mc:AlternateContent>
            <mc:Choice Requires="wps">
              <w:drawing>
                <wp:anchor distT="0" distB="0" distL="114300" distR="114300" simplePos="0" relativeHeight="251656704" behindDoc="0" locked="0" layoutInCell="1" allowOverlap="1" wp14:anchorId="32326E97" wp14:editId="53C96FDF">
                  <wp:simplePos x="0" y="0"/>
                  <wp:positionH relativeFrom="column">
                    <wp:posOffset>-1718429</wp:posOffset>
                  </wp:positionH>
                  <wp:positionV relativeFrom="paragraph">
                    <wp:posOffset>-3684533</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08F1" w:rsidRDefault="00CA08F1" w:rsidP="00CA08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26E97" id="_x0000_t202" coordsize="21600,21600" o:spt="202" path="m,l,21600r21600,l21600,xe">
                  <v:stroke joinstyle="miter"/>
                  <v:path gradientshapeok="t" o:connecttype="rect"/>
                </v:shapetype>
                <v:shape id="Cuadro de texto 4" o:spid="_x0000_s1029" type="#_x0000_t202" style="position:absolute;left:0;text-align:left;margin-left:-135.3pt;margin-top:-290.1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">
                  <v:textbox>
                    <w:txbxContent>
                      <w:p w:rsidR="00CA08F1" w:rsidRDefault="00CA08F1" w:rsidP="00CA08F1">
                        <w:pPr>
                          <w:rPr>
                            <w:sz w:val="16"/>
                            <w:szCs w:val="16"/>
                          </w:rPr>
                        </w:pPr>
                        <w:r>
                          <w:rPr>
                            <w:sz w:val="16"/>
                            <w:szCs w:val="16"/>
                          </w:rPr>
                          <w:t>Datos personales protegidos por el Art. 116 de la LGTAIP y el Art. 56 de la LTAIPEO</w:t>
                        </w:r>
                      </w:p>
                    </w:txbxContent>
                  </v:textbox>
                </v:shape>
              </w:pict>
            </mc:Fallback>
          </mc:AlternateContent>
        </w:r>
        <w:r w:rsidR="00C5204D">
          <w:fldChar w:fldCharType="begin"/>
        </w:r>
        <w:r w:rsidR="00C5204D">
          <w:instrText>PAGE   \* MERGEFORMAT</w:instrText>
        </w:r>
        <w:r w:rsidR="00C5204D">
          <w:fldChar w:fldCharType="separate"/>
        </w:r>
        <w:r>
          <w:rPr>
            <w:noProof/>
          </w:rPr>
          <w:t>7</w:t>
        </w:r>
        <w:r w:rsidR="00C5204D">
          <w:fldChar w:fldCharType="end"/>
        </w:r>
      </w:p>
    </w:sdtContent>
  </w:sdt>
  <w:p w:rsidR="00C5204D" w:rsidRDefault="00C520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F2" w:rsidRDefault="001256F2">
      <w:pPr>
        <w:spacing w:after="0" w:line="240" w:lineRule="auto"/>
      </w:pPr>
      <w:r>
        <w:separator/>
      </w:r>
    </w:p>
  </w:footnote>
  <w:footnote w:type="continuationSeparator" w:id="0">
    <w:p w:rsidR="001256F2" w:rsidRDefault="0012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4D" w:rsidRDefault="00C5204D">
    <w:pPr>
      <w:pStyle w:val="Encabezado"/>
      <w:jc w:val="center"/>
    </w:pPr>
  </w:p>
  <w:p w:rsidR="00C5204D" w:rsidRDefault="00C520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C5204D" w:rsidRPr="00337FD0" w:rsidRDefault="00C5204D" w:rsidP="00C5204D">
        <w:pPr>
          <w:pStyle w:val="Encabezado"/>
          <w:jc w:val="right"/>
          <w:rPr>
            <w:rFonts w:ascii="Arial" w:hAnsi="Arial" w:cs="Arial"/>
            <w:sz w:val="16"/>
            <w:szCs w:val="16"/>
          </w:rPr>
        </w:pPr>
      </w:p>
      <w:p w:rsidR="00C5204D" w:rsidRPr="00337FD0" w:rsidRDefault="00C5204D" w:rsidP="00C5204D">
        <w:pPr>
          <w:pStyle w:val="Encabezado"/>
          <w:jc w:val="right"/>
          <w:rPr>
            <w:rFonts w:ascii="Arial" w:hAnsi="Arial" w:cs="Arial"/>
            <w:sz w:val="16"/>
            <w:szCs w:val="16"/>
          </w:rPr>
        </w:pPr>
        <w:r w:rsidRPr="00337FD0">
          <w:rPr>
            <w:rFonts w:ascii="Arial" w:hAnsi="Arial" w:cs="Arial"/>
            <w:sz w:val="16"/>
            <w:szCs w:val="16"/>
          </w:rPr>
          <w:t>.</w:t>
        </w:r>
      </w:p>
      <w:p w:rsidR="00C5204D" w:rsidRDefault="00C5204D" w:rsidP="00C5204D">
        <w:pPr>
          <w:pStyle w:val="Encabezado"/>
          <w:jc w:val="center"/>
          <w:rPr>
            <w:noProof/>
          </w:rPr>
        </w:pPr>
      </w:p>
      <w:p w:rsidR="00C5204D" w:rsidRDefault="00CA08F1" w:rsidP="00C5204D">
        <w:pPr>
          <w:pStyle w:val="Encabezado"/>
          <w:jc w:val="center"/>
        </w:pPr>
      </w:p>
    </w:sdtContent>
  </w:sdt>
  <w:p w:rsidR="00C5204D" w:rsidRDefault="00C5204D" w:rsidP="00C5204D">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DE"/>
    <w:rsid w:val="00042A50"/>
    <w:rsid w:val="00063F08"/>
    <w:rsid w:val="001256F2"/>
    <w:rsid w:val="0013337D"/>
    <w:rsid w:val="00160571"/>
    <w:rsid w:val="0016166F"/>
    <w:rsid w:val="0025210E"/>
    <w:rsid w:val="002B357A"/>
    <w:rsid w:val="002E1405"/>
    <w:rsid w:val="0033191C"/>
    <w:rsid w:val="00364A7B"/>
    <w:rsid w:val="00392A36"/>
    <w:rsid w:val="004066BF"/>
    <w:rsid w:val="004304BC"/>
    <w:rsid w:val="00433004"/>
    <w:rsid w:val="004F2758"/>
    <w:rsid w:val="006E6F24"/>
    <w:rsid w:val="007710FF"/>
    <w:rsid w:val="00776A1B"/>
    <w:rsid w:val="00785864"/>
    <w:rsid w:val="007B1691"/>
    <w:rsid w:val="007F6532"/>
    <w:rsid w:val="00846D7A"/>
    <w:rsid w:val="00895060"/>
    <w:rsid w:val="00896FDE"/>
    <w:rsid w:val="008E6110"/>
    <w:rsid w:val="00955D97"/>
    <w:rsid w:val="00992CA6"/>
    <w:rsid w:val="009E0C1F"/>
    <w:rsid w:val="00A37329"/>
    <w:rsid w:val="00AB002D"/>
    <w:rsid w:val="00AC6AEB"/>
    <w:rsid w:val="00B26A4E"/>
    <w:rsid w:val="00B30925"/>
    <w:rsid w:val="00B54CAA"/>
    <w:rsid w:val="00BA554F"/>
    <w:rsid w:val="00BC28C6"/>
    <w:rsid w:val="00C5204D"/>
    <w:rsid w:val="00C64FB6"/>
    <w:rsid w:val="00CA08F1"/>
    <w:rsid w:val="00D16093"/>
    <w:rsid w:val="00D96D98"/>
    <w:rsid w:val="00DC11FF"/>
    <w:rsid w:val="00F63EC0"/>
    <w:rsid w:val="00FC2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A9F6E2-9328-4C8F-9776-81283D4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DE"/>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896FD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96FDE"/>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96FDE"/>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896FDE"/>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896FDE"/>
  </w:style>
  <w:style w:type="paragraph" w:styleId="Sinespaciado">
    <w:name w:val="No Spacing"/>
    <w:uiPriority w:val="1"/>
    <w:qFormat/>
    <w:rsid w:val="00B30925"/>
    <w:pPr>
      <w:spacing w:after="0" w:line="240" w:lineRule="auto"/>
    </w:pPr>
  </w:style>
  <w:style w:type="paragraph" w:styleId="Textodeglobo">
    <w:name w:val="Balloon Text"/>
    <w:basedOn w:val="Normal"/>
    <w:link w:val="TextodegloboCar"/>
    <w:uiPriority w:val="99"/>
    <w:semiHidden/>
    <w:unhideWhenUsed/>
    <w:rsid w:val="00AB0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02D"/>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1994</Words>
  <Characters>10971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18</cp:revision>
  <cp:lastPrinted>2018-03-14T20:41:00Z</cp:lastPrinted>
  <dcterms:created xsi:type="dcterms:W3CDTF">2018-01-25T16:55:00Z</dcterms:created>
  <dcterms:modified xsi:type="dcterms:W3CDTF">2018-12-09T20:56:00Z</dcterms:modified>
</cp:coreProperties>
</file>