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5D" w:rsidRPr="0055611D" w:rsidRDefault="0094765D" w:rsidP="0094765D">
      <w:pPr>
        <w:spacing w:line="240" w:lineRule="auto"/>
        <w:ind w:left="2124"/>
        <w:jc w:val="both"/>
        <w:rPr>
          <w:rFonts w:ascii="Arial" w:hAnsi="Arial" w:cs="Arial"/>
          <w:b/>
          <w:sz w:val="26"/>
          <w:szCs w:val="26"/>
        </w:rPr>
      </w:pPr>
      <w:r w:rsidRPr="0055611D">
        <w:rPr>
          <w:rFonts w:ascii="Arial" w:hAnsi="Arial" w:cs="Arial"/>
          <w:b/>
          <w:sz w:val="26"/>
          <w:szCs w:val="26"/>
        </w:rPr>
        <w:t>SALA SUPERIOR DEL TRIBUNAL DE LO CONTENCIOSO ADMINISTRATIVO Y DE CUENTAS DEL PODER JUDICIAL DEL ESTADO</w:t>
      </w:r>
      <w:r w:rsidR="001519B4" w:rsidRPr="0055611D">
        <w:rPr>
          <w:rFonts w:ascii="Arial" w:hAnsi="Arial" w:cs="Arial"/>
          <w:b/>
          <w:sz w:val="26"/>
          <w:szCs w:val="26"/>
        </w:rPr>
        <w:t xml:space="preserve"> DE OAXACA</w:t>
      </w:r>
    </w:p>
    <w:p w:rsidR="0094765D" w:rsidRPr="0055611D" w:rsidRDefault="0094765D" w:rsidP="0094765D">
      <w:pPr>
        <w:spacing w:line="240" w:lineRule="auto"/>
        <w:ind w:left="2124"/>
        <w:jc w:val="both"/>
        <w:rPr>
          <w:rFonts w:ascii="Arial" w:hAnsi="Arial" w:cs="Arial"/>
          <w:b/>
          <w:sz w:val="26"/>
          <w:szCs w:val="26"/>
        </w:rPr>
      </w:pPr>
      <w:r w:rsidRPr="0055611D">
        <w:rPr>
          <w:rFonts w:ascii="Arial" w:hAnsi="Arial" w:cs="Arial"/>
          <w:b/>
          <w:sz w:val="26"/>
          <w:szCs w:val="26"/>
        </w:rPr>
        <w:t>RECURSO DE REVISIÓN:</w:t>
      </w:r>
      <w:r w:rsidRPr="0055611D">
        <w:rPr>
          <w:rFonts w:ascii="Arial" w:hAnsi="Arial" w:cs="Arial"/>
          <w:b/>
          <w:sz w:val="26"/>
          <w:szCs w:val="26"/>
        </w:rPr>
        <w:tab/>
      </w:r>
      <w:r w:rsidR="005937B3" w:rsidRPr="0055611D">
        <w:rPr>
          <w:rFonts w:ascii="Arial" w:hAnsi="Arial" w:cs="Arial"/>
          <w:b/>
          <w:sz w:val="26"/>
          <w:szCs w:val="26"/>
        </w:rPr>
        <w:t>555</w:t>
      </w:r>
      <w:r w:rsidR="00361729" w:rsidRPr="0055611D">
        <w:rPr>
          <w:rFonts w:ascii="Arial" w:hAnsi="Arial" w:cs="Arial"/>
          <w:b/>
          <w:sz w:val="26"/>
          <w:szCs w:val="26"/>
        </w:rPr>
        <w:t>/2017</w:t>
      </w:r>
    </w:p>
    <w:p w:rsidR="0094765D" w:rsidRPr="0055611D" w:rsidRDefault="0094765D" w:rsidP="0094765D">
      <w:pPr>
        <w:spacing w:line="240" w:lineRule="auto"/>
        <w:ind w:left="2124"/>
        <w:jc w:val="both"/>
        <w:rPr>
          <w:rFonts w:ascii="Arial" w:hAnsi="Arial" w:cs="Arial"/>
          <w:b/>
          <w:sz w:val="26"/>
          <w:szCs w:val="26"/>
        </w:rPr>
      </w:pPr>
      <w:r w:rsidRPr="0055611D">
        <w:rPr>
          <w:rFonts w:ascii="Arial" w:hAnsi="Arial" w:cs="Arial"/>
          <w:b/>
          <w:sz w:val="26"/>
          <w:szCs w:val="26"/>
        </w:rPr>
        <w:t>EXPEDIENTE:</w:t>
      </w:r>
      <w:r w:rsidRPr="0055611D">
        <w:rPr>
          <w:rFonts w:ascii="Arial" w:hAnsi="Arial" w:cs="Arial"/>
          <w:b/>
          <w:sz w:val="26"/>
          <w:szCs w:val="26"/>
        </w:rPr>
        <w:tab/>
      </w:r>
      <w:r w:rsidR="00B01ECC" w:rsidRPr="0055611D">
        <w:rPr>
          <w:rFonts w:ascii="Arial" w:hAnsi="Arial" w:cs="Arial"/>
          <w:b/>
          <w:sz w:val="26"/>
          <w:szCs w:val="26"/>
        </w:rPr>
        <w:t>372</w:t>
      </w:r>
      <w:r w:rsidR="009B1EDE" w:rsidRPr="0055611D">
        <w:rPr>
          <w:rFonts w:ascii="Arial" w:hAnsi="Arial" w:cs="Arial"/>
          <w:b/>
          <w:sz w:val="26"/>
          <w:szCs w:val="26"/>
        </w:rPr>
        <w:t>/</w:t>
      </w:r>
      <w:r w:rsidRPr="0055611D">
        <w:rPr>
          <w:rFonts w:ascii="Arial" w:hAnsi="Arial" w:cs="Arial"/>
          <w:b/>
          <w:sz w:val="26"/>
          <w:szCs w:val="26"/>
        </w:rPr>
        <w:t xml:space="preserve">2016 </w:t>
      </w:r>
      <w:r w:rsidR="007D2879" w:rsidRPr="0055611D">
        <w:rPr>
          <w:rFonts w:ascii="Arial" w:hAnsi="Arial" w:cs="Arial"/>
          <w:b/>
          <w:sz w:val="26"/>
          <w:szCs w:val="26"/>
        </w:rPr>
        <w:t>SEGUNDA</w:t>
      </w:r>
      <w:r w:rsidR="00361729" w:rsidRPr="0055611D">
        <w:rPr>
          <w:rFonts w:ascii="Arial" w:hAnsi="Arial" w:cs="Arial"/>
          <w:b/>
          <w:sz w:val="26"/>
          <w:szCs w:val="26"/>
        </w:rPr>
        <w:t xml:space="preserve"> S</w:t>
      </w:r>
      <w:r w:rsidRPr="0055611D">
        <w:rPr>
          <w:rFonts w:ascii="Arial" w:hAnsi="Arial" w:cs="Arial"/>
          <w:b/>
          <w:sz w:val="26"/>
          <w:szCs w:val="26"/>
        </w:rPr>
        <w:t>ALA UNITARIA DE PRIMERA INSTANCIA</w:t>
      </w:r>
    </w:p>
    <w:p w:rsidR="0094765D" w:rsidRPr="0055611D" w:rsidRDefault="00D22E95" w:rsidP="0094765D">
      <w:pPr>
        <w:spacing w:line="240" w:lineRule="auto"/>
        <w:ind w:left="2124"/>
        <w:jc w:val="both"/>
        <w:rPr>
          <w:rFonts w:ascii="Arial" w:hAnsi="Arial" w:cs="Arial"/>
          <w:b/>
          <w:sz w:val="26"/>
          <w:szCs w:val="26"/>
        </w:rPr>
      </w:pPr>
      <w:r w:rsidRPr="0055611D">
        <w:rPr>
          <w:rFonts w:ascii="Arial" w:hAnsi="Arial" w:cs="Arial"/>
          <w:b/>
          <w:sz w:val="26"/>
          <w:szCs w:val="26"/>
        </w:rPr>
        <w:t>PONENTE: MAGISTRADA</w:t>
      </w:r>
      <w:r w:rsidR="0094765D" w:rsidRPr="0055611D">
        <w:rPr>
          <w:rFonts w:ascii="Arial" w:hAnsi="Arial" w:cs="Arial"/>
          <w:b/>
          <w:sz w:val="26"/>
          <w:szCs w:val="26"/>
        </w:rPr>
        <w:t xml:space="preserve"> </w:t>
      </w:r>
      <w:r w:rsidRPr="0055611D">
        <w:rPr>
          <w:rFonts w:ascii="Arial" w:hAnsi="Arial" w:cs="Arial"/>
          <w:b/>
          <w:sz w:val="26"/>
          <w:szCs w:val="26"/>
        </w:rPr>
        <w:t>MARÍA EUGENIA VILLANUEVA ABRAJÁN</w:t>
      </w:r>
      <w:r w:rsidR="0094765D" w:rsidRPr="0055611D">
        <w:rPr>
          <w:rFonts w:ascii="Arial" w:hAnsi="Arial" w:cs="Arial"/>
          <w:b/>
          <w:sz w:val="26"/>
          <w:szCs w:val="26"/>
        </w:rPr>
        <w:t>.</w:t>
      </w:r>
    </w:p>
    <w:p w:rsidR="0094765D" w:rsidRPr="0055611D" w:rsidRDefault="0094765D" w:rsidP="0094765D">
      <w:pPr>
        <w:spacing w:line="240" w:lineRule="auto"/>
        <w:ind w:left="2124"/>
        <w:jc w:val="both"/>
        <w:rPr>
          <w:rFonts w:ascii="Arial" w:hAnsi="Arial" w:cs="Arial"/>
          <w:b/>
          <w:sz w:val="26"/>
          <w:szCs w:val="26"/>
        </w:rPr>
      </w:pPr>
    </w:p>
    <w:p w:rsidR="0094765D" w:rsidRPr="0055611D" w:rsidRDefault="0094765D" w:rsidP="0055611D">
      <w:pPr>
        <w:spacing w:line="360" w:lineRule="auto"/>
        <w:jc w:val="both"/>
        <w:rPr>
          <w:rFonts w:ascii="Arial" w:hAnsi="Arial" w:cs="Arial"/>
          <w:b/>
          <w:sz w:val="26"/>
          <w:szCs w:val="26"/>
        </w:rPr>
      </w:pPr>
      <w:r w:rsidRPr="0055611D">
        <w:rPr>
          <w:rFonts w:ascii="Arial" w:hAnsi="Arial" w:cs="Arial"/>
          <w:b/>
          <w:sz w:val="26"/>
          <w:szCs w:val="26"/>
        </w:rPr>
        <w:t xml:space="preserve">OAXACA DE JUÁREZ, OAXACA A </w:t>
      </w:r>
      <w:r w:rsidR="00F33692" w:rsidRPr="0055611D">
        <w:rPr>
          <w:rFonts w:ascii="Arial" w:hAnsi="Arial" w:cs="Arial"/>
          <w:b/>
          <w:sz w:val="26"/>
          <w:szCs w:val="26"/>
        </w:rPr>
        <w:t>11 ONCE</w:t>
      </w:r>
      <w:r w:rsidR="00AE59B9" w:rsidRPr="0055611D">
        <w:rPr>
          <w:rFonts w:ascii="Arial" w:hAnsi="Arial" w:cs="Arial"/>
          <w:b/>
          <w:sz w:val="26"/>
          <w:szCs w:val="26"/>
        </w:rPr>
        <w:t xml:space="preserve"> </w:t>
      </w:r>
      <w:r w:rsidR="00511CCC" w:rsidRPr="0055611D">
        <w:rPr>
          <w:rFonts w:ascii="Arial" w:hAnsi="Arial" w:cs="Arial"/>
          <w:b/>
          <w:sz w:val="26"/>
          <w:szCs w:val="26"/>
        </w:rPr>
        <w:t xml:space="preserve">DE </w:t>
      </w:r>
      <w:r w:rsidR="00F33692" w:rsidRPr="0055611D">
        <w:rPr>
          <w:rFonts w:ascii="Arial" w:hAnsi="Arial" w:cs="Arial"/>
          <w:b/>
          <w:sz w:val="26"/>
          <w:szCs w:val="26"/>
        </w:rPr>
        <w:t>ENERO</w:t>
      </w:r>
      <w:r w:rsidR="00965545" w:rsidRPr="0055611D">
        <w:rPr>
          <w:rFonts w:ascii="Arial" w:hAnsi="Arial" w:cs="Arial"/>
          <w:b/>
          <w:sz w:val="26"/>
          <w:szCs w:val="26"/>
        </w:rPr>
        <w:t xml:space="preserve"> </w:t>
      </w:r>
      <w:r w:rsidR="00D400AA" w:rsidRPr="0055611D">
        <w:rPr>
          <w:rFonts w:ascii="Arial" w:hAnsi="Arial" w:cs="Arial"/>
          <w:b/>
          <w:sz w:val="26"/>
          <w:szCs w:val="26"/>
        </w:rPr>
        <w:t xml:space="preserve">DE </w:t>
      </w:r>
      <w:r w:rsidRPr="0055611D">
        <w:rPr>
          <w:rFonts w:ascii="Arial" w:hAnsi="Arial" w:cs="Arial"/>
          <w:b/>
          <w:sz w:val="26"/>
          <w:szCs w:val="26"/>
        </w:rPr>
        <w:t>201</w:t>
      </w:r>
      <w:r w:rsidR="00F33692" w:rsidRPr="0055611D">
        <w:rPr>
          <w:rFonts w:ascii="Arial" w:hAnsi="Arial" w:cs="Arial"/>
          <w:b/>
          <w:sz w:val="26"/>
          <w:szCs w:val="26"/>
        </w:rPr>
        <w:t>8</w:t>
      </w:r>
      <w:r w:rsidRPr="0055611D">
        <w:rPr>
          <w:rFonts w:ascii="Arial" w:hAnsi="Arial" w:cs="Arial"/>
          <w:b/>
          <w:sz w:val="26"/>
          <w:szCs w:val="26"/>
        </w:rPr>
        <w:t xml:space="preserve"> DOS MIL </w:t>
      </w:r>
      <w:r w:rsidR="00F33692" w:rsidRPr="0055611D">
        <w:rPr>
          <w:rFonts w:ascii="Arial" w:hAnsi="Arial" w:cs="Arial"/>
          <w:b/>
          <w:sz w:val="26"/>
          <w:szCs w:val="26"/>
        </w:rPr>
        <w:t>DIECIOCHO</w:t>
      </w:r>
      <w:r w:rsidRPr="0055611D">
        <w:rPr>
          <w:rFonts w:ascii="Arial" w:hAnsi="Arial" w:cs="Arial"/>
          <w:b/>
          <w:sz w:val="26"/>
          <w:szCs w:val="26"/>
        </w:rPr>
        <w:t xml:space="preserve">. </w:t>
      </w:r>
    </w:p>
    <w:p w:rsidR="0094765D" w:rsidRPr="0055611D" w:rsidRDefault="0094765D" w:rsidP="0049264A">
      <w:pPr>
        <w:spacing w:line="360" w:lineRule="auto"/>
        <w:ind w:firstLine="708"/>
        <w:jc w:val="both"/>
        <w:rPr>
          <w:rFonts w:ascii="Arial" w:hAnsi="Arial" w:cs="Arial"/>
          <w:sz w:val="26"/>
          <w:szCs w:val="26"/>
        </w:rPr>
      </w:pPr>
      <w:r w:rsidRPr="0055611D">
        <w:rPr>
          <w:rFonts w:ascii="Arial" w:hAnsi="Arial" w:cs="Arial"/>
          <w:sz w:val="26"/>
          <w:szCs w:val="26"/>
        </w:rPr>
        <w:t xml:space="preserve">Por recibido </w:t>
      </w:r>
      <w:r w:rsidR="00D400AA" w:rsidRPr="0055611D">
        <w:rPr>
          <w:rFonts w:ascii="Arial" w:hAnsi="Arial" w:cs="Arial"/>
          <w:sz w:val="26"/>
          <w:szCs w:val="26"/>
        </w:rPr>
        <w:t>e</w:t>
      </w:r>
      <w:r w:rsidRPr="0055611D">
        <w:rPr>
          <w:rFonts w:ascii="Arial" w:hAnsi="Arial" w:cs="Arial"/>
          <w:sz w:val="26"/>
          <w:szCs w:val="26"/>
        </w:rPr>
        <w:t xml:space="preserve">l Cuaderno de Revisión </w:t>
      </w:r>
      <w:r w:rsidR="007E555E" w:rsidRPr="0055611D">
        <w:rPr>
          <w:rFonts w:ascii="Arial" w:hAnsi="Arial" w:cs="Arial"/>
          <w:b/>
          <w:sz w:val="26"/>
          <w:szCs w:val="26"/>
        </w:rPr>
        <w:t>555</w:t>
      </w:r>
      <w:r w:rsidR="00713E3D" w:rsidRPr="0055611D">
        <w:rPr>
          <w:rFonts w:ascii="Arial" w:hAnsi="Arial" w:cs="Arial"/>
          <w:b/>
          <w:sz w:val="26"/>
          <w:szCs w:val="26"/>
        </w:rPr>
        <w:t>/201</w:t>
      </w:r>
      <w:r w:rsidR="00361729" w:rsidRPr="0055611D">
        <w:rPr>
          <w:rFonts w:ascii="Arial" w:hAnsi="Arial" w:cs="Arial"/>
          <w:b/>
          <w:sz w:val="26"/>
          <w:szCs w:val="26"/>
        </w:rPr>
        <w:t>7</w:t>
      </w:r>
      <w:r w:rsidRPr="0055611D">
        <w:rPr>
          <w:rFonts w:ascii="Arial" w:hAnsi="Arial" w:cs="Arial"/>
          <w:sz w:val="26"/>
          <w:szCs w:val="26"/>
        </w:rPr>
        <w:t xml:space="preserve">, que remite la Secretaría General de Acuerdos, con motivo del recurso de revisión interpuesto por </w:t>
      </w:r>
      <w:r w:rsidR="004F7F5E">
        <w:rPr>
          <w:rFonts w:ascii="Arial" w:hAnsi="Arial" w:cs="Arial"/>
          <w:b/>
          <w:sz w:val="26"/>
          <w:szCs w:val="26"/>
        </w:rPr>
        <w:t>**********</w:t>
      </w:r>
      <w:r w:rsidRPr="0055611D">
        <w:rPr>
          <w:rFonts w:ascii="Arial" w:hAnsi="Arial" w:cs="Arial"/>
          <w:sz w:val="26"/>
          <w:szCs w:val="26"/>
        </w:rPr>
        <w:t xml:space="preserve">, </w:t>
      </w:r>
      <w:r w:rsidR="00286457" w:rsidRPr="0055611D">
        <w:rPr>
          <w:rFonts w:ascii="Arial" w:hAnsi="Arial" w:cs="Arial"/>
          <w:sz w:val="26"/>
          <w:szCs w:val="26"/>
        </w:rPr>
        <w:t>en contra de</w:t>
      </w:r>
      <w:r w:rsidRPr="0055611D">
        <w:rPr>
          <w:rFonts w:ascii="Arial" w:hAnsi="Arial" w:cs="Arial"/>
          <w:sz w:val="26"/>
          <w:szCs w:val="26"/>
        </w:rPr>
        <w:t>l</w:t>
      </w:r>
      <w:r w:rsidR="00286457" w:rsidRPr="0055611D">
        <w:rPr>
          <w:rFonts w:ascii="Arial" w:hAnsi="Arial" w:cs="Arial"/>
          <w:sz w:val="26"/>
          <w:szCs w:val="26"/>
        </w:rPr>
        <w:t xml:space="preserve"> auto de </w:t>
      </w:r>
      <w:r w:rsidR="0055611D">
        <w:rPr>
          <w:rFonts w:ascii="Arial" w:hAnsi="Arial" w:cs="Arial"/>
          <w:sz w:val="26"/>
          <w:szCs w:val="26"/>
        </w:rPr>
        <w:t xml:space="preserve">30 </w:t>
      </w:r>
      <w:r w:rsidR="00394F02" w:rsidRPr="0055611D">
        <w:rPr>
          <w:rFonts w:ascii="Arial" w:hAnsi="Arial" w:cs="Arial"/>
          <w:sz w:val="26"/>
          <w:szCs w:val="26"/>
        </w:rPr>
        <w:t xml:space="preserve">treinta </w:t>
      </w:r>
      <w:r w:rsidR="00D12112" w:rsidRPr="0055611D">
        <w:rPr>
          <w:rFonts w:ascii="Arial" w:hAnsi="Arial" w:cs="Arial"/>
          <w:sz w:val="26"/>
          <w:szCs w:val="26"/>
        </w:rPr>
        <w:t xml:space="preserve">de junio de </w:t>
      </w:r>
      <w:r w:rsidR="0055611D">
        <w:rPr>
          <w:rFonts w:ascii="Arial" w:hAnsi="Arial" w:cs="Arial"/>
          <w:sz w:val="26"/>
          <w:szCs w:val="26"/>
        </w:rPr>
        <w:t xml:space="preserve">2017 </w:t>
      </w:r>
      <w:r w:rsidR="00D12112" w:rsidRPr="0055611D">
        <w:rPr>
          <w:rFonts w:ascii="Arial" w:hAnsi="Arial" w:cs="Arial"/>
          <w:sz w:val="26"/>
          <w:szCs w:val="26"/>
        </w:rPr>
        <w:t>dos mil diecisiete</w:t>
      </w:r>
      <w:r w:rsidR="00286457" w:rsidRPr="0055611D">
        <w:rPr>
          <w:rFonts w:ascii="Arial" w:hAnsi="Arial" w:cs="Arial"/>
          <w:sz w:val="26"/>
          <w:szCs w:val="26"/>
        </w:rPr>
        <w:t xml:space="preserve">, dictado </w:t>
      </w:r>
      <w:r w:rsidRPr="0055611D">
        <w:rPr>
          <w:rFonts w:ascii="Arial" w:hAnsi="Arial" w:cs="Arial"/>
          <w:sz w:val="26"/>
          <w:szCs w:val="26"/>
        </w:rPr>
        <w:t xml:space="preserve">en el expediente </w:t>
      </w:r>
      <w:r w:rsidR="00D30F85" w:rsidRPr="0055611D">
        <w:rPr>
          <w:rFonts w:ascii="Arial" w:hAnsi="Arial" w:cs="Arial"/>
          <w:b/>
          <w:sz w:val="26"/>
          <w:szCs w:val="26"/>
        </w:rPr>
        <w:t>372</w:t>
      </w:r>
      <w:r w:rsidR="00E67215" w:rsidRPr="0055611D">
        <w:rPr>
          <w:rFonts w:ascii="Arial" w:hAnsi="Arial" w:cs="Arial"/>
          <w:b/>
          <w:sz w:val="26"/>
          <w:szCs w:val="26"/>
        </w:rPr>
        <w:t>/2</w:t>
      </w:r>
      <w:r w:rsidRPr="0055611D">
        <w:rPr>
          <w:rFonts w:ascii="Arial" w:hAnsi="Arial" w:cs="Arial"/>
          <w:b/>
          <w:sz w:val="26"/>
          <w:szCs w:val="26"/>
        </w:rPr>
        <w:t>01</w:t>
      </w:r>
      <w:r w:rsidR="008C567D" w:rsidRPr="0055611D">
        <w:rPr>
          <w:rFonts w:ascii="Arial" w:hAnsi="Arial" w:cs="Arial"/>
          <w:b/>
          <w:sz w:val="26"/>
          <w:szCs w:val="26"/>
        </w:rPr>
        <w:t>6</w:t>
      </w:r>
      <w:r w:rsidRPr="0055611D">
        <w:rPr>
          <w:rFonts w:ascii="Arial" w:hAnsi="Arial" w:cs="Arial"/>
          <w:b/>
          <w:sz w:val="26"/>
          <w:szCs w:val="26"/>
        </w:rPr>
        <w:t>,</w:t>
      </w:r>
      <w:r w:rsidR="008C567D" w:rsidRPr="0055611D">
        <w:rPr>
          <w:rFonts w:ascii="Arial" w:hAnsi="Arial" w:cs="Arial"/>
          <w:sz w:val="26"/>
          <w:szCs w:val="26"/>
        </w:rPr>
        <w:t xml:space="preserve"> de la </w:t>
      </w:r>
      <w:r w:rsidR="00967A2B" w:rsidRPr="0055611D">
        <w:rPr>
          <w:rFonts w:ascii="Arial" w:hAnsi="Arial" w:cs="Arial"/>
          <w:sz w:val="26"/>
          <w:szCs w:val="26"/>
        </w:rPr>
        <w:t>Segunda</w:t>
      </w:r>
      <w:r w:rsidR="00965545" w:rsidRPr="0055611D">
        <w:rPr>
          <w:rFonts w:ascii="Arial" w:hAnsi="Arial" w:cs="Arial"/>
          <w:sz w:val="26"/>
          <w:szCs w:val="26"/>
        </w:rPr>
        <w:t xml:space="preserve"> </w:t>
      </w:r>
      <w:r w:rsidR="008C567D" w:rsidRPr="0055611D">
        <w:rPr>
          <w:rFonts w:ascii="Arial" w:hAnsi="Arial" w:cs="Arial"/>
          <w:sz w:val="26"/>
          <w:szCs w:val="26"/>
        </w:rPr>
        <w:t xml:space="preserve">Sala </w:t>
      </w:r>
      <w:r w:rsidRPr="0055611D">
        <w:rPr>
          <w:rFonts w:ascii="Arial" w:hAnsi="Arial" w:cs="Arial"/>
          <w:sz w:val="26"/>
          <w:szCs w:val="26"/>
        </w:rPr>
        <w:t xml:space="preserve">Unitaria de Primera Instancia, relativo al juicio de nulidad promovido por </w:t>
      </w:r>
      <w:r w:rsidR="00361729" w:rsidRPr="0055611D">
        <w:rPr>
          <w:rFonts w:ascii="Arial" w:hAnsi="Arial" w:cs="Arial"/>
          <w:sz w:val="26"/>
          <w:szCs w:val="26"/>
        </w:rPr>
        <w:t>l</w:t>
      </w:r>
      <w:r w:rsidR="004B7DAD">
        <w:rPr>
          <w:rFonts w:ascii="Arial" w:hAnsi="Arial" w:cs="Arial"/>
          <w:sz w:val="26"/>
          <w:szCs w:val="26"/>
        </w:rPr>
        <w:t>a</w:t>
      </w:r>
      <w:r w:rsidR="00361729" w:rsidRPr="0055611D">
        <w:rPr>
          <w:rFonts w:ascii="Arial" w:hAnsi="Arial" w:cs="Arial"/>
          <w:sz w:val="26"/>
          <w:szCs w:val="26"/>
        </w:rPr>
        <w:t xml:space="preserve"> </w:t>
      </w:r>
      <w:r w:rsidR="00361729" w:rsidRPr="0055611D">
        <w:rPr>
          <w:rFonts w:ascii="Arial" w:hAnsi="Arial" w:cs="Arial"/>
          <w:b/>
          <w:sz w:val="26"/>
          <w:szCs w:val="26"/>
        </w:rPr>
        <w:t>RECURRENTE</w:t>
      </w:r>
      <w:r w:rsidRPr="0055611D">
        <w:rPr>
          <w:rFonts w:ascii="Arial" w:hAnsi="Arial" w:cs="Arial"/>
          <w:b/>
          <w:sz w:val="26"/>
          <w:szCs w:val="26"/>
        </w:rPr>
        <w:t xml:space="preserve">, </w:t>
      </w:r>
      <w:r w:rsidRPr="0055611D">
        <w:rPr>
          <w:rFonts w:ascii="Arial" w:hAnsi="Arial" w:cs="Arial"/>
          <w:sz w:val="26"/>
          <w:szCs w:val="26"/>
        </w:rPr>
        <w:t>en contra del</w:t>
      </w:r>
      <w:r w:rsidR="001519B4" w:rsidRPr="0055611D">
        <w:rPr>
          <w:rFonts w:ascii="Arial" w:hAnsi="Arial" w:cs="Arial"/>
          <w:sz w:val="26"/>
          <w:szCs w:val="26"/>
        </w:rPr>
        <w:t xml:space="preserve"> </w:t>
      </w:r>
      <w:r w:rsidR="0008752E" w:rsidRPr="0055611D">
        <w:rPr>
          <w:rFonts w:ascii="Arial" w:hAnsi="Arial" w:cs="Arial"/>
          <w:b/>
          <w:sz w:val="26"/>
          <w:szCs w:val="26"/>
        </w:rPr>
        <w:t xml:space="preserve">GOBERNADOR CONSTITUCIONAL DEL ESTADO LIBRE Y SOBERANO </w:t>
      </w:r>
      <w:r w:rsidR="00F21609" w:rsidRPr="0055611D">
        <w:rPr>
          <w:rFonts w:ascii="Arial" w:hAnsi="Arial" w:cs="Arial"/>
          <w:b/>
          <w:sz w:val="26"/>
          <w:szCs w:val="26"/>
        </w:rPr>
        <w:t>DE OAXACA</w:t>
      </w:r>
      <w:r w:rsidRPr="0055611D">
        <w:rPr>
          <w:rFonts w:ascii="Arial" w:hAnsi="Arial" w:cs="Arial"/>
          <w:sz w:val="26"/>
          <w:szCs w:val="26"/>
        </w:rPr>
        <w:t>;</w:t>
      </w:r>
      <w:r w:rsidRPr="0055611D">
        <w:rPr>
          <w:rFonts w:ascii="Arial" w:hAnsi="Arial" w:cs="Arial"/>
          <w:b/>
          <w:sz w:val="26"/>
          <w:szCs w:val="26"/>
        </w:rPr>
        <w:t xml:space="preserve"> </w:t>
      </w:r>
      <w:r w:rsidRPr="0055611D">
        <w:rPr>
          <w:rFonts w:ascii="Arial" w:hAnsi="Arial" w:cs="Arial"/>
          <w:sz w:val="26"/>
          <w:szCs w:val="26"/>
        </w:rPr>
        <w:t>por lo que con fundamento en los artículos 207 y 208 de la Ley de Justicia Administrativa para el Estado de Oaxaca,</w:t>
      </w:r>
      <w:r w:rsidR="0055611D">
        <w:rPr>
          <w:rFonts w:ascii="Arial" w:hAnsi="Arial" w:cs="Arial"/>
          <w:sz w:val="26"/>
          <w:szCs w:val="26"/>
        </w:rPr>
        <w:t xml:space="preserve"> vigente hasta el 20 veinte de octubre de 2017 dos m </w:t>
      </w:r>
      <w:proofErr w:type="spellStart"/>
      <w:r w:rsidR="0055611D">
        <w:rPr>
          <w:rFonts w:ascii="Arial" w:hAnsi="Arial" w:cs="Arial"/>
          <w:sz w:val="26"/>
          <w:szCs w:val="26"/>
        </w:rPr>
        <w:t>il</w:t>
      </w:r>
      <w:proofErr w:type="spellEnd"/>
      <w:r w:rsidR="0055611D">
        <w:rPr>
          <w:rFonts w:ascii="Arial" w:hAnsi="Arial" w:cs="Arial"/>
          <w:sz w:val="26"/>
          <w:szCs w:val="26"/>
        </w:rPr>
        <w:t xml:space="preserve"> diecisiete, </w:t>
      </w:r>
      <w:r w:rsidRPr="0055611D">
        <w:rPr>
          <w:rFonts w:ascii="Arial" w:hAnsi="Arial" w:cs="Arial"/>
          <w:sz w:val="26"/>
          <w:szCs w:val="26"/>
        </w:rPr>
        <w:t xml:space="preserve"> se admite. En consecuencia, se procede a dictar resolución en los siguientes términos:</w:t>
      </w:r>
    </w:p>
    <w:p w:rsidR="0094765D" w:rsidRPr="0055611D" w:rsidRDefault="0094765D" w:rsidP="0094765D">
      <w:pPr>
        <w:spacing w:line="360" w:lineRule="auto"/>
        <w:jc w:val="center"/>
        <w:rPr>
          <w:rFonts w:ascii="Arial" w:hAnsi="Arial" w:cs="Arial"/>
          <w:b/>
          <w:bCs/>
          <w:sz w:val="26"/>
          <w:szCs w:val="26"/>
        </w:rPr>
      </w:pPr>
      <w:r w:rsidRPr="0055611D">
        <w:rPr>
          <w:rFonts w:ascii="Arial" w:hAnsi="Arial" w:cs="Arial"/>
          <w:b/>
          <w:bCs/>
          <w:sz w:val="26"/>
          <w:szCs w:val="26"/>
        </w:rPr>
        <w:t>R E S U L T A N D O</w:t>
      </w:r>
    </w:p>
    <w:p w:rsidR="0094765D" w:rsidRPr="0055611D" w:rsidRDefault="0094765D" w:rsidP="0094765D">
      <w:pPr>
        <w:spacing w:line="360" w:lineRule="auto"/>
        <w:ind w:firstLine="708"/>
        <w:jc w:val="both"/>
        <w:rPr>
          <w:rFonts w:ascii="Arial" w:hAnsi="Arial" w:cs="Arial"/>
          <w:sz w:val="26"/>
          <w:szCs w:val="26"/>
        </w:rPr>
      </w:pPr>
      <w:r w:rsidRPr="0055611D">
        <w:rPr>
          <w:rFonts w:ascii="Arial" w:hAnsi="Arial" w:cs="Arial"/>
          <w:b/>
          <w:bCs/>
          <w:sz w:val="26"/>
          <w:szCs w:val="26"/>
        </w:rPr>
        <w:t xml:space="preserve">PRIMERO. </w:t>
      </w:r>
      <w:r w:rsidR="00D83727" w:rsidRPr="0055611D">
        <w:rPr>
          <w:rFonts w:ascii="Arial" w:hAnsi="Arial" w:cs="Arial"/>
          <w:sz w:val="26"/>
          <w:szCs w:val="26"/>
        </w:rPr>
        <w:t xml:space="preserve">Inconforme con </w:t>
      </w:r>
      <w:r w:rsidR="009B1EDE" w:rsidRPr="0055611D">
        <w:rPr>
          <w:rFonts w:ascii="Arial" w:hAnsi="Arial" w:cs="Arial"/>
          <w:sz w:val="26"/>
          <w:szCs w:val="26"/>
        </w:rPr>
        <w:t xml:space="preserve">el auto de </w:t>
      </w:r>
      <w:r w:rsidR="0055611D">
        <w:rPr>
          <w:rFonts w:ascii="Arial" w:hAnsi="Arial" w:cs="Arial"/>
          <w:sz w:val="26"/>
          <w:szCs w:val="26"/>
        </w:rPr>
        <w:t xml:space="preserve">30 </w:t>
      </w:r>
      <w:r w:rsidR="00AD3914" w:rsidRPr="0055611D">
        <w:rPr>
          <w:rFonts w:ascii="Arial" w:hAnsi="Arial" w:cs="Arial"/>
          <w:sz w:val="26"/>
          <w:szCs w:val="26"/>
        </w:rPr>
        <w:t>treinta</w:t>
      </w:r>
      <w:r w:rsidR="00AC62DE" w:rsidRPr="0055611D">
        <w:rPr>
          <w:rFonts w:ascii="Arial" w:hAnsi="Arial" w:cs="Arial"/>
          <w:sz w:val="26"/>
          <w:szCs w:val="26"/>
        </w:rPr>
        <w:t xml:space="preserve"> </w:t>
      </w:r>
      <w:r w:rsidR="009B1EDE" w:rsidRPr="0055611D">
        <w:rPr>
          <w:rFonts w:ascii="Arial" w:hAnsi="Arial" w:cs="Arial"/>
          <w:sz w:val="26"/>
          <w:szCs w:val="26"/>
        </w:rPr>
        <w:t xml:space="preserve">de </w:t>
      </w:r>
      <w:r w:rsidR="00AC62DE" w:rsidRPr="0055611D">
        <w:rPr>
          <w:rFonts w:ascii="Arial" w:hAnsi="Arial" w:cs="Arial"/>
          <w:sz w:val="26"/>
          <w:szCs w:val="26"/>
        </w:rPr>
        <w:t xml:space="preserve">junio de </w:t>
      </w:r>
      <w:r w:rsidR="0055611D">
        <w:rPr>
          <w:rFonts w:ascii="Arial" w:hAnsi="Arial" w:cs="Arial"/>
          <w:sz w:val="26"/>
          <w:szCs w:val="26"/>
        </w:rPr>
        <w:t xml:space="preserve">2017 </w:t>
      </w:r>
      <w:r w:rsidR="00AC62DE" w:rsidRPr="0055611D">
        <w:rPr>
          <w:rFonts w:ascii="Arial" w:hAnsi="Arial" w:cs="Arial"/>
          <w:sz w:val="26"/>
          <w:szCs w:val="26"/>
        </w:rPr>
        <w:t>dos mil diecisiete</w:t>
      </w:r>
      <w:r w:rsidRPr="0055611D">
        <w:rPr>
          <w:rFonts w:ascii="Arial" w:hAnsi="Arial" w:cs="Arial"/>
          <w:sz w:val="26"/>
          <w:szCs w:val="26"/>
        </w:rPr>
        <w:t>, dictad</w:t>
      </w:r>
      <w:r w:rsidR="00D83727" w:rsidRPr="0055611D">
        <w:rPr>
          <w:rFonts w:ascii="Arial" w:hAnsi="Arial" w:cs="Arial"/>
          <w:sz w:val="26"/>
          <w:szCs w:val="26"/>
        </w:rPr>
        <w:t>o</w:t>
      </w:r>
      <w:r w:rsidRPr="0055611D">
        <w:rPr>
          <w:rFonts w:ascii="Arial" w:hAnsi="Arial" w:cs="Arial"/>
          <w:sz w:val="26"/>
          <w:szCs w:val="26"/>
        </w:rPr>
        <w:t xml:space="preserve"> por </w:t>
      </w:r>
      <w:r w:rsidR="009A5E00" w:rsidRPr="0055611D">
        <w:rPr>
          <w:rFonts w:ascii="Arial" w:hAnsi="Arial" w:cs="Arial"/>
          <w:sz w:val="26"/>
          <w:szCs w:val="26"/>
        </w:rPr>
        <w:t xml:space="preserve">la </w:t>
      </w:r>
      <w:r w:rsidR="0066398D" w:rsidRPr="0055611D">
        <w:rPr>
          <w:rFonts w:ascii="Arial" w:hAnsi="Arial" w:cs="Arial"/>
          <w:sz w:val="26"/>
          <w:szCs w:val="26"/>
        </w:rPr>
        <w:t>Se</w:t>
      </w:r>
      <w:r w:rsidR="004A3AD0" w:rsidRPr="0055611D">
        <w:rPr>
          <w:rFonts w:ascii="Arial" w:hAnsi="Arial" w:cs="Arial"/>
          <w:sz w:val="26"/>
          <w:szCs w:val="26"/>
        </w:rPr>
        <w:t xml:space="preserve">gunda </w:t>
      </w:r>
      <w:r w:rsidR="009A5E00" w:rsidRPr="0055611D">
        <w:rPr>
          <w:rFonts w:ascii="Arial" w:hAnsi="Arial" w:cs="Arial"/>
          <w:sz w:val="26"/>
          <w:szCs w:val="26"/>
        </w:rPr>
        <w:t xml:space="preserve">Sala Unitaria </w:t>
      </w:r>
      <w:r w:rsidRPr="0055611D">
        <w:rPr>
          <w:rFonts w:ascii="Arial" w:hAnsi="Arial" w:cs="Arial"/>
          <w:sz w:val="26"/>
          <w:szCs w:val="26"/>
        </w:rPr>
        <w:t xml:space="preserve">de Primera Instancia, </w:t>
      </w:r>
      <w:r w:rsidR="004F7F5E">
        <w:rPr>
          <w:rFonts w:ascii="Arial" w:hAnsi="Arial" w:cs="Arial"/>
          <w:b/>
          <w:sz w:val="26"/>
          <w:szCs w:val="26"/>
        </w:rPr>
        <w:t>**********</w:t>
      </w:r>
      <w:r w:rsidR="00E67215" w:rsidRPr="0055611D">
        <w:rPr>
          <w:rFonts w:ascii="Arial" w:hAnsi="Arial" w:cs="Arial"/>
          <w:sz w:val="26"/>
          <w:szCs w:val="26"/>
        </w:rPr>
        <w:t>,</w:t>
      </w:r>
      <w:r w:rsidRPr="0055611D">
        <w:rPr>
          <w:rFonts w:ascii="Arial" w:hAnsi="Arial" w:cs="Arial"/>
          <w:sz w:val="26"/>
          <w:szCs w:val="26"/>
        </w:rPr>
        <w:t xml:space="preserve"> interpus</w:t>
      </w:r>
      <w:r w:rsidR="00713E3D" w:rsidRPr="0055611D">
        <w:rPr>
          <w:rFonts w:ascii="Arial" w:hAnsi="Arial" w:cs="Arial"/>
          <w:sz w:val="26"/>
          <w:szCs w:val="26"/>
        </w:rPr>
        <w:t xml:space="preserve">o </w:t>
      </w:r>
      <w:r w:rsidRPr="0055611D">
        <w:rPr>
          <w:rFonts w:ascii="Arial" w:hAnsi="Arial" w:cs="Arial"/>
          <w:sz w:val="26"/>
          <w:szCs w:val="26"/>
        </w:rPr>
        <w:t>en</w:t>
      </w:r>
      <w:r w:rsidR="001519B4" w:rsidRPr="0055611D">
        <w:rPr>
          <w:rFonts w:ascii="Arial" w:hAnsi="Arial" w:cs="Arial"/>
          <w:sz w:val="26"/>
          <w:szCs w:val="26"/>
        </w:rPr>
        <w:t xml:space="preserve"> su contra recurso de revisión.</w:t>
      </w:r>
    </w:p>
    <w:p w:rsidR="0094765D" w:rsidRPr="0055611D" w:rsidRDefault="0094765D" w:rsidP="0094765D">
      <w:pPr>
        <w:spacing w:after="0" w:line="360" w:lineRule="auto"/>
        <w:ind w:firstLine="708"/>
        <w:jc w:val="both"/>
        <w:rPr>
          <w:rFonts w:ascii="Arial" w:hAnsi="Arial" w:cs="Arial"/>
          <w:sz w:val="26"/>
          <w:szCs w:val="26"/>
        </w:rPr>
      </w:pPr>
      <w:r w:rsidRPr="0055611D">
        <w:rPr>
          <w:rFonts w:ascii="Arial" w:hAnsi="Arial" w:cs="Arial"/>
          <w:b/>
          <w:bCs/>
          <w:sz w:val="26"/>
          <w:szCs w:val="26"/>
        </w:rPr>
        <w:t xml:space="preserve">SEGUNDO. </w:t>
      </w:r>
      <w:r w:rsidR="00965545" w:rsidRPr="0055611D">
        <w:rPr>
          <w:rFonts w:ascii="Arial" w:hAnsi="Arial" w:cs="Arial"/>
          <w:sz w:val="26"/>
          <w:szCs w:val="26"/>
        </w:rPr>
        <w:t xml:space="preserve">La parte conducente del auto </w:t>
      </w:r>
      <w:r w:rsidR="00D83727" w:rsidRPr="0055611D">
        <w:rPr>
          <w:rFonts w:ascii="Arial" w:hAnsi="Arial" w:cs="Arial"/>
          <w:sz w:val="26"/>
          <w:szCs w:val="26"/>
        </w:rPr>
        <w:t>recurrido es el si</w:t>
      </w:r>
      <w:r w:rsidRPr="0055611D">
        <w:rPr>
          <w:rFonts w:ascii="Arial" w:hAnsi="Arial" w:cs="Arial"/>
          <w:sz w:val="26"/>
          <w:szCs w:val="26"/>
        </w:rPr>
        <w:t>guiente:</w:t>
      </w:r>
    </w:p>
    <w:p w:rsidR="00951270" w:rsidRPr="0055611D" w:rsidRDefault="0094765D" w:rsidP="00951270">
      <w:pPr>
        <w:spacing w:before="240" w:line="240" w:lineRule="auto"/>
        <w:ind w:left="1134" w:right="566"/>
        <w:jc w:val="both"/>
        <w:rPr>
          <w:rFonts w:ascii="Arial" w:eastAsia="Calibri" w:hAnsi="Arial" w:cs="Arial"/>
          <w:bCs/>
          <w:i/>
          <w:color w:val="000000" w:themeColor="text1"/>
        </w:rPr>
      </w:pPr>
      <w:r w:rsidRPr="0055611D">
        <w:rPr>
          <w:rFonts w:ascii="Arial" w:eastAsia="Calibri" w:hAnsi="Arial" w:cs="Arial"/>
          <w:bCs/>
          <w:color w:val="000000" w:themeColor="text1"/>
        </w:rPr>
        <w:t>“</w:t>
      </w:r>
      <w:r w:rsidR="00965545" w:rsidRPr="0055611D">
        <w:rPr>
          <w:rFonts w:ascii="Arial" w:eastAsia="Calibri" w:hAnsi="Arial" w:cs="Arial"/>
          <w:bCs/>
          <w:i/>
          <w:color w:val="000000" w:themeColor="text1"/>
        </w:rPr>
        <w:t>…</w:t>
      </w:r>
      <w:r w:rsidR="00951270" w:rsidRPr="0055611D">
        <w:rPr>
          <w:rFonts w:ascii="Arial" w:eastAsia="Calibri" w:hAnsi="Arial" w:cs="Arial"/>
          <w:bCs/>
          <w:i/>
          <w:color w:val="000000" w:themeColor="text1"/>
        </w:rPr>
        <w:t xml:space="preserve">OAXACA DE JUÁREZ, OAXACA, A </w:t>
      </w:r>
      <w:r w:rsidR="00374D0D" w:rsidRPr="0055611D">
        <w:rPr>
          <w:rFonts w:ascii="Arial" w:eastAsia="Calibri" w:hAnsi="Arial" w:cs="Arial"/>
          <w:bCs/>
          <w:i/>
          <w:color w:val="000000" w:themeColor="text1"/>
        </w:rPr>
        <w:t>30</w:t>
      </w:r>
      <w:r w:rsidR="00951270" w:rsidRPr="0055611D">
        <w:rPr>
          <w:rFonts w:ascii="Arial" w:eastAsia="Calibri" w:hAnsi="Arial" w:cs="Arial"/>
          <w:bCs/>
          <w:i/>
          <w:color w:val="000000" w:themeColor="text1"/>
        </w:rPr>
        <w:t xml:space="preserve"> </w:t>
      </w:r>
      <w:r w:rsidR="00374D0D" w:rsidRPr="0055611D">
        <w:rPr>
          <w:rFonts w:ascii="Arial" w:eastAsia="Calibri" w:hAnsi="Arial" w:cs="Arial"/>
          <w:bCs/>
          <w:i/>
          <w:color w:val="000000" w:themeColor="text1"/>
        </w:rPr>
        <w:t>TREINTA</w:t>
      </w:r>
      <w:r w:rsidR="00951270" w:rsidRPr="0055611D">
        <w:rPr>
          <w:rFonts w:ascii="Arial" w:eastAsia="Calibri" w:hAnsi="Arial" w:cs="Arial"/>
          <w:bCs/>
          <w:i/>
          <w:color w:val="000000" w:themeColor="text1"/>
        </w:rPr>
        <w:t xml:space="preserve"> DE JUNIO DE 2017 DOS MIL DIECISIETE.</w:t>
      </w:r>
    </w:p>
    <w:p w:rsidR="004D3E73" w:rsidRPr="0055611D" w:rsidRDefault="004D3E73" w:rsidP="00951270">
      <w:pPr>
        <w:spacing w:before="240" w:line="240" w:lineRule="auto"/>
        <w:ind w:left="1134" w:right="566" w:firstLine="282"/>
        <w:jc w:val="both"/>
        <w:rPr>
          <w:rFonts w:ascii="Arial" w:eastAsia="Calibri" w:hAnsi="Arial" w:cs="Arial"/>
          <w:bCs/>
          <w:i/>
          <w:color w:val="000000" w:themeColor="text1"/>
        </w:rPr>
      </w:pPr>
      <w:r w:rsidRPr="0055611D">
        <w:rPr>
          <w:rFonts w:ascii="Arial" w:eastAsia="Calibri" w:hAnsi="Arial" w:cs="Arial"/>
          <w:bCs/>
          <w:i/>
          <w:color w:val="000000" w:themeColor="text1"/>
        </w:rPr>
        <w:t>Agr</w:t>
      </w:r>
      <w:r w:rsidR="008613FD" w:rsidRPr="0055611D">
        <w:rPr>
          <w:rFonts w:ascii="Arial" w:eastAsia="Calibri" w:hAnsi="Arial" w:cs="Arial"/>
          <w:bCs/>
          <w:i/>
          <w:color w:val="000000" w:themeColor="text1"/>
        </w:rPr>
        <w:t>éguese a los autos, ocurso recibido el 27 veintisiete del mes y en el que se actúa, suscrito por la parte actora con el cual en cumplimiento al auto que antecede, desahoga la vista respecto al cumplimiento de la autoridad demandada, en el cual manifiesta su inconformidad del cumplimiento que pretende dar a la ejecutoria el Gobernador Constitucional; en consecuencia, se procede a determinar respecto al cumplimiento</w:t>
      </w:r>
      <w:r w:rsidR="00C21271" w:rsidRPr="0055611D">
        <w:rPr>
          <w:rFonts w:ascii="Arial" w:eastAsia="Calibri" w:hAnsi="Arial" w:cs="Arial"/>
          <w:bCs/>
          <w:i/>
          <w:color w:val="000000" w:themeColor="text1"/>
        </w:rPr>
        <w:t>.</w:t>
      </w:r>
    </w:p>
    <w:p w:rsidR="003F57F4" w:rsidRPr="0055611D" w:rsidRDefault="00D456FB" w:rsidP="003F57F4">
      <w:pPr>
        <w:spacing w:before="240" w:line="240" w:lineRule="auto"/>
        <w:ind w:left="1134" w:right="566" w:firstLine="282"/>
        <w:jc w:val="both"/>
        <w:rPr>
          <w:rFonts w:ascii="Arial" w:eastAsia="Calibri" w:hAnsi="Arial" w:cs="Arial"/>
          <w:bCs/>
          <w:i/>
          <w:color w:val="000000" w:themeColor="text1"/>
        </w:rPr>
      </w:pPr>
      <w:r w:rsidRPr="0055611D">
        <w:rPr>
          <w:rFonts w:ascii="Arial" w:eastAsia="Calibri" w:hAnsi="Arial" w:cs="Arial"/>
          <w:bCs/>
          <w:i/>
          <w:color w:val="000000" w:themeColor="text1"/>
        </w:rPr>
        <w:lastRenderedPageBreak/>
        <w:t xml:space="preserve">La ejecutoria de 31 treinta y uno de marzo de 2015 dos mil quince (folio 637 a 640), determinó </w:t>
      </w:r>
      <w:r w:rsidR="006C371A" w:rsidRPr="0055611D">
        <w:rPr>
          <w:rFonts w:ascii="Arial" w:eastAsia="Calibri" w:hAnsi="Arial" w:cs="Arial"/>
          <w:bCs/>
          <w:i/>
          <w:color w:val="000000" w:themeColor="text1"/>
        </w:rPr>
        <w:t xml:space="preserve">declara la nulidad de la resolución de 1 uno de octubre de 2013 dos mil trece, para el EFECTO de que el Gobernador Constitucional del Estado, dicte otra </w:t>
      </w:r>
      <w:r w:rsidR="003F57F4" w:rsidRPr="0055611D">
        <w:rPr>
          <w:rFonts w:ascii="Arial" w:eastAsia="Calibri" w:hAnsi="Arial" w:cs="Arial"/>
          <w:bCs/>
          <w:i/>
          <w:color w:val="000000" w:themeColor="text1"/>
        </w:rPr>
        <w:t>debidamente fundada y motivada, en ejercicio de sus facultades discrecionales, partiendo de que la concesión goza de presunción de validez.</w:t>
      </w:r>
    </w:p>
    <w:p w:rsidR="003F57F4" w:rsidRPr="0055611D" w:rsidRDefault="00070DD5" w:rsidP="003F57F4">
      <w:pPr>
        <w:spacing w:before="240" w:line="240" w:lineRule="auto"/>
        <w:ind w:left="1134" w:right="566" w:firstLine="282"/>
        <w:jc w:val="both"/>
        <w:rPr>
          <w:rFonts w:ascii="Arial" w:eastAsia="Calibri" w:hAnsi="Arial" w:cs="Arial"/>
          <w:bCs/>
          <w:i/>
          <w:color w:val="000000" w:themeColor="text1"/>
        </w:rPr>
      </w:pPr>
      <w:r w:rsidRPr="0055611D">
        <w:rPr>
          <w:rFonts w:ascii="Arial" w:eastAsia="Calibri" w:hAnsi="Arial" w:cs="Arial"/>
          <w:bCs/>
          <w:i/>
          <w:color w:val="000000" w:themeColor="text1"/>
        </w:rPr>
        <w:t xml:space="preserve">Ahora, la resolución de la autoridad demandada (Gobernador Constitucional del Estado) </w:t>
      </w:r>
      <w:r w:rsidR="00243576" w:rsidRPr="0055611D">
        <w:rPr>
          <w:rFonts w:ascii="Arial" w:eastAsia="Calibri" w:hAnsi="Arial" w:cs="Arial"/>
          <w:bCs/>
          <w:i/>
          <w:color w:val="000000" w:themeColor="text1"/>
        </w:rPr>
        <w:t>de 27 veintisiete de abril de 2017 dos mil diecisiete, resolvió conforme a los artículos 82 de la Constitución Política del Estado Libre y Soberano de Oaxaca 6 y 23 de la Ley Orgánica del Poder Ejecutivo del Estado 7, fracción IV, 7 Bis y 18 de la Ley de Tránsito vigente en el Estado</w:t>
      </w:r>
      <w:r w:rsidR="00BC3371" w:rsidRPr="0055611D">
        <w:rPr>
          <w:rFonts w:ascii="Arial" w:eastAsia="Calibri" w:hAnsi="Arial" w:cs="Arial"/>
          <w:bCs/>
          <w:i/>
          <w:color w:val="000000" w:themeColor="text1"/>
        </w:rPr>
        <w:t xml:space="preserve">, preceptos legales que facultan a dicha autoridad resolver respecto del otorgamiento de concesiones y permisos para el establecimiento y explotación de servicios de transporte de pasajeros y de carga y consecuentemente, para suspenderlos o revocarlos; </w:t>
      </w:r>
      <w:r w:rsidR="00997944" w:rsidRPr="0055611D">
        <w:rPr>
          <w:rFonts w:ascii="Arial" w:eastAsia="Calibri" w:hAnsi="Arial" w:cs="Arial"/>
          <w:bCs/>
          <w:i/>
          <w:color w:val="000000" w:themeColor="text1"/>
        </w:rPr>
        <w:t>por tanto, su competencia se encuentra debidamente fundada y motivada.</w:t>
      </w:r>
    </w:p>
    <w:p w:rsidR="00997944" w:rsidRPr="0055611D" w:rsidRDefault="00CC25CC" w:rsidP="003F57F4">
      <w:pPr>
        <w:spacing w:before="240" w:line="240" w:lineRule="auto"/>
        <w:ind w:left="1134" w:right="566" w:firstLine="282"/>
        <w:jc w:val="both"/>
        <w:rPr>
          <w:rFonts w:ascii="Arial" w:eastAsia="Calibri" w:hAnsi="Arial" w:cs="Arial"/>
          <w:bCs/>
          <w:i/>
          <w:color w:val="000000" w:themeColor="text1"/>
        </w:rPr>
      </w:pPr>
      <w:r w:rsidRPr="0055611D">
        <w:rPr>
          <w:rFonts w:ascii="Arial" w:eastAsia="Calibri" w:hAnsi="Arial" w:cs="Arial"/>
          <w:bCs/>
          <w:i/>
          <w:color w:val="000000" w:themeColor="text1"/>
        </w:rPr>
        <w:t xml:space="preserve">En cuanto al fondo de la resolución la aludida autoridad, determinó no conceder al actor la renovación del acuerdo de concesión 14900 de 23 veintitrés de agosto de 2004 dos mil cuatro, otorgado a su favor y que le fue conferido para que prestara el servicio público de alquiler (taxi), en la población de </w:t>
      </w:r>
      <w:proofErr w:type="spellStart"/>
      <w:r w:rsidRPr="0055611D">
        <w:rPr>
          <w:rFonts w:ascii="Arial" w:eastAsia="Calibri" w:hAnsi="Arial" w:cs="Arial"/>
          <w:bCs/>
          <w:i/>
          <w:color w:val="000000" w:themeColor="text1"/>
        </w:rPr>
        <w:t>Huajuapan</w:t>
      </w:r>
      <w:proofErr w:type="spellEnd"/>
      <w:r w:rsidRPr="0055611D">
        <w:rPr>
          <w:rFonts w:ascii="Arial" w:eastAsia="Calibri" w:hAnsi="Arial" w:cs="Arial"/>
          <w:bCs/>
          <w:i/>
          <w:color w:val="000000" w:themeColor="text1"/>
        </w:rPr>
        <w:t xml:space="preserve"> de Le</w:t>
      </w:r>
      <w:r w:rsidR="003665BF" w:rsidRPr="0055611D">
        <w:rPr>
          <w:rFonts w:ascii="Arial" w:eastAsia="Calibri" w:hAnsi="Arial" w:cs="Arial"/>
          <w:bCs/>
          <w:i/>
          <w:color w:val="000000" w:themeColor="text1"/>
        </w:rPr>
        <w:t xml:space="preserve">ón, Oaxaca, </w:t>
      </w:r>
      <w:r w:rsidR="009F4FFD" w:rsidRPr="0055611D">
        <w:rPr>
          <w:rFonts w:ascii="Arial" w:eastAsia="Calibri" w:hAnsi="Arial" w:cs="Arial"/>
          <w:bCs/>
          <w:i/>
          <w:color w:val="000000" w:themeColor="text1"/>
        </w:rPr>
        <w:t xml:space="preserve">virtud a que tal acuerdo tenía una vigencia de cinco años de 2009 dos mil nueve, por lo que alude que el acuerdo de </w:t>
      </w:r>
      <w:r w:rsidR="001010B6" w:rsidRPr="0055611D">
        <w:rPr>
          <w:rFonts w:ascii="Arial" w:eastAsia="Calibri" w:hAnsi="Arial" w:cs="Arial"/>
          <w:bCs/>
          <w:i/>
          <w:color w:val="000000" w:themeColor="text1"/>
        </w:rPr>
        <w:t>concesión caducó de pleno derecho</w:t>
      </w:r>
      <w:r w:rsidR="00B8177B" w:rsidRPr="0055611D">
        <w:rPr>
          <w:rFonts w:ascii="Arial" w:eastAsia="Calibri" w:hAnsi="Arial" w:cs="Arial"/>
          <w:bCs/>
          <w:i/>
          <w:color w:val="000000" w:themeColor="text1"/>
        </w:rPr>
        <w:t xml:space="preserve"> </w:t>
      </w:r>
      <w:r w:rsidR="004C6882" w:rsidRPr="0055611D">
        <w:rPr>
          <w:rFonts w:ascii="Arial" w:eastAsia="Calibri" w:hAnsi="Arial" w:cs="Arial"/>
          <w:bCs/>
          <w:i/>
          <w:color w:val="000000" w:themeColor="text1"/>
        </w:rPr>
        <w:t xml:space="preserve">y funda su determinación en el artículo 25, fracción III de la Ley de Tránsito Reformada, artículo que en efecto regula que vencido el plazo de la concesión o permiso sin haberse renovado las concesiones </w:t>
      </w:r>
      <w:r w:rsidR="00046464" w:rsidRPr="0055611D">
        <w:rPr>
          <w:rFonts w:ascii="Arial" w:eastAsia="Calibri" w:hAnsi="Arial" w:cs="Arial"/>
          <w:bCs/>
          <w:i/>
          <w:color w:val="000000" w:themeColor="text1"/>
        </w:rPr>
        <w:t>y permisos para el establecimiento y explotación de los servidores públicos, caducarán de pleno derecho</w:t>
      </w:r>
      <w:r w:rsidR="00D862E7" w:rsidRPr="0055611D">
        <w:rPr>
          <w:rFonts w:ascii="Arial" w:eastAsia="Calibri" w:hAnsi="Arial" w:cs="Arial"/>
          <w:bCs/>
          <w:i/>
          <w:color w:val="000000" w:themeColor="text1"/>
        </w:rPr>
        <w:t>.</w:t>
      </w:r>
    </w:p>
    <w:p w:rsidR="00D862E7" w:rsidRPr="0055611D" w:rsidRDefault="005B3D24" w:rsidP="003F57F4">
      <w:pPr>
        <w:spacing w:before="240" w:line="240" w:lineRule="auto"/>
        <w:ind w:left="1134" w:right="566" w:firstLine="282"/>
        <w:jc w:val="both"/>
        <w:rPr>
          <w:rFonts w:ascii="Arial" w:eastAsia="Calibri" w:hAnsi="Arial" w:cs="Arial"/>
          <w:b/>
          <w:bCs/>
          <w:i/>
          <w:color w:val="000000" w:themeColor="text1"/>
        </w:rPr>
      </w:pPr>
      <w:r>
        <w:rPr>
          <w:noProof/>
        </w:rPr>
        <mc:AlternateContent>
          <mc:Choice Requires="wps">
            <w:drawing>
              <wp:anchor distT="0" distB="0" distL="114300" distR="114300" simplePos="0" relativeHeight="251659264" behindDoc="0" locked="0" layoutInCell="1" allowOverlap="1" wp14:anchorId="72F4A7EC" wp14:editId="2EDAFC33">
                <wp:simplePos x="0" y="0"/>
                <wp:positionH relativeFrom="column">
                  <wp:posOffset>5391785</wp:posOffset>
                </wp:positionH>
                <wp:positionV relativeFrom="paragraph">
                  <wp:posOffset>1377315</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B3D24" w:rsidRPr="00A6596B" w:rsidRDefault="005B3D24" w:rsidP="005B3D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4.55pt;margin-top:108.4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">
                <v:textbox>
                  <w:txbxContent>
                    <w:p w:rsidR="005B3D24" w:rsidRPr="00A6596B" w:rsidRDefault="005B3D24" w:rsidP="005B3D24">
                      <w:pPr>
                        <w:rPr>
                          <w:sz w:val="16"/>
                          <w:szCs w:val="16"/>
                        </w:rPr>
                      </w:pPr>
                      <w:r>
                        <w:rPr>
                          <w:sz w:val="16"/>
                          <w:szCs w:val="16"/>
                        </w:rPr>
                        <w:t>Datos personales protegidos por el Art. 116 de la LGTAIP y el Art. 56 de la LTAIPEO</w:t>
                      </w:r>
                    </w:p>
                  </w:txbxContent>
                </v:textbox>
              </v:shape>
            </w:pict>
          </mc:Fallback>
        </mc:AlternateContent>
      </w:r>
      <w:r w:rsidR="00B265DA" w:rsidRPr="0055611D">
        <w:rPr>
          <w:rFonts w:ascii="Arial" w:eastAsia="Calibri" w:hAnsi="Arial" w:cs="Arial"/>
          <w:bCs/>
          <w:i/>
          <w:color w:val="000000" w:themeColor="text1"/>
        </w:rPr>
        <w:t xml:space="preserve">Lo que hace patente que la autoridad demandada cumplió con la Ejecutoria de mérito pues su resolución se encuentra debidamente fundada y motivada; en tal circunstancia, se tiene cumplida la sentencia dictada en este juicio y con fundamento en el artículo 35, fracción VIII, del Reglamento Interior del Tribunal de lo Contencioso Administrativo y de Cuentas </w:t>
      </w:r>
      <w:r w:rsidR="00B265DA" w:rsidRPr="0055611D">
        <w:rPr>
          <w:rFonts w:ascii="Arial" w:eastAsia="Calibri" w:hAnsi="Arial" w:cs="Arial"/>
          <w:b/>
          <w:bCs/>
          <w:i/>
          <w:color w:val="000000" w:themeColor="text1"/>
        </w:rPr>
        <w:t>se ordena dar de baja el presente expediente del libro de control de acuerdos y archivarlo como asunto concluido.</w:t>
      </w:r>
    </w:p>
    <w:p w:rsidR="00292F79" w:rsidRPr="0055611D" w:rsidRDefault="00292F79" w:rsidP="003F57F4">
      <w:pPr>
        <w:spacing w:before="240" w:line="240" w:lineRule="auto"/>
        <w:ind w:left="1134" w:right="566" w:firstLine="282"/>
        <w:jc w:val="both"/>
        <w:rPr>
          <w:rFonts w:ascii="Arial" w:eastAsia="Calibri" w:hAnsi="Arial" w:cs="Arial"/>
          <w:b/>
          <w:bCs/>
          <w:i/>
          <w:color w:val="000000" w:themeColor="text1"/>
          <w:sz w:val="26"/>
          <w:szCs w:val="26"/>
        </w:rPr>
      </w:pPr>
      <w:r w:rsidRPr="0055611D">
        <w:rPr>
          <w:rFonts w:ascii="Arial" w:eastAsia="Calibri" w:hAnsi="Arial" w:cs="Arial"/>
          <w:bCs/>
          <w:i/>
          <w:color w:val="000000" w:themeColor="text1"/>
          <w:sz w:val="26"/>
          <w:szCs w:val="26"/>
        </w:rPr>
        <w:t>(…).</w:t>
      </w:r>
    </w:p>
    <w:p w:rsidR="00E65DAB" w:rsidRPr="0055611D" w:rsidRDefault="00E65DAB" w:rsidP="00D16434">
      <w:pPr>
        <w:spacing w:before="240" w:line="240" w:lineRule="auto"/>
        <w:ind w:left="1134" w:right="566" w:firstLine="282"/>
        <w:jc w:val="both"/>
        <w:rPr>
          <w:rFonts w:ascii="Arial" w:eastAsia="Calibri" w:hAnsi="Arial" w:cs="Arial"/>
          <w:bCs/>
          <w:i/>
          <w:color w:val="000000" w:themeColor="text1"/>
          <w:sz w:val="26"/>
          <w:szCs w:val="26"/>
        </w:rPr>
      </w:pPr>
      <w:r w:rsidRPr="0055611D">
        <w:rPr>
          <w:rFonts w:ascii="Arial" w:eastAsia="Calibri" w:hAnsi="Arial" w:cs="Arial"/>
          <w:bCs/>
          <w:i/>
          <w:color w:val="000000" w:themeColor="text1"/>
          <w:sz w:val="26"/>
          <w:szCs w:val="26"/>
        </w:rPr>
        <w:t xml:space="preserve"> </w:t>
      </w:r>
    </w:p>
    <w:p w:rsidR="0094765D" w:rsidRPr="0055611D" w:rsidRDefault="0094765D" w:rsidP="0094765D">
      <w:pPr>
        <w:spacing w:line="360" w:lineRule="auto"/>
        <w:ind w:left="851" w:right="616"/>
        <w:jc w:val="center"/>
        <w:rPr>
          <w:rFonts w:ascii="Arial" w:eastAsia="Calibri" w:hAnsi="Arial" w:cs="Arial"/>
          <w:b/>
          <w:bCs/>
          <w:sz w:val="26"/>
          <w:szCs w:val="26"/>
        </w:rPr>
      </w:pPr>
      <w:r w:rsidRPr="0055611D">
        <w:rPr>
          <w:rFonts w:ascii="Arial" w:eastAsia="Calibri" w:hAnsi="Arial" w:cs="Arial"/>
          <w:b/>
          <w:bCs/>
          <w:sz w:val="26"/>
          <w:szCs w:val="26"/>
        </w:rPr>
        <w:t>C O N S I D E R A N D O:</w:t>
      </w:r>
    </w:p>
    <w:p w:rsidR="001B0918" w:rsidRPr="0055611D" w:rsidRDefault="0094765D" w:rsidP="001B0918">
      <w:pPr>
        <w:spacing w:before="240" w:line="360" w:lineRule="auto"/>
        <w:ind w:firstLine="708"/>
        <w:jc w:val="both"/>
        <w:rPr>
          <w:rFonts w:ascii="Arial" w:hAnsi="Arial" w:cs="Arial"/>
          <w:bCs/>
          <w:iCs/>
          <w:sz w:val="26"/>
          <w:szCs w:val="26"/>
        </w:rPr>
      </w:pPr>
      <w:r w:rsidRPr="0055611D">
        <w:rPr>
          <w:rFonts w:ascii="Arial" w:hAnsi="Arial" w:cs="Arial"/>
          <w:b/>
          <w:bCs/>
          <w:iCs/>
          <w:sz w:val="26"/>
          <w:szCs w:val="26"/>
        </w:rPr>
        <w:t xml:space="preserve">PRIMERO. </w:t>
      </w:r>
      <w:r w:rsidR="001B0918" w:rsidRPr="0055611D">
        <w:rPr>
          <w:rFonts w:ascii="Arial" w:hAnsi="Arial" w:cs="Arial"/>
          <w:bCs/>
          <w:iCs/>
          <w:sz w:val="26"/>
          <w:szCs w:val="26"/>
        </w:rPr>
        <w:t>Esta Sala Superior es competente para conocer del presente asunto, de conformidad con lo dispuesto por los artículos 111, fracciones I y II, de la Constitución Política del Estado Libre y Soberano de Oaxaca, 145, 146, fracciones VII y VIII, 149, fracción I, inciso b), y 151 de la Ley Orgánica del Poder Judicial del Estado de Oaxaca, así como los diversos 86, 88, 92, 93, fracción I, 94, 201, 206 y 208, de la Ley de Justicia Administrativa para el Estado de Oaxaca, toda vez se trata del Recurso de Revisión interpuesto en contra del</w:t>
      </w:r>
      <w:r w:rsidR="0049422A" w:rsidRPr="0055611D">
        <w:rPr>
          <w:rFonts w:ascii="Arial" w:hAnsi="Arial" w:cs="Arial"/>
          <w:bCs/>
          <w:iCs/>
          <w:sz w:val="26"/>
          <w:szCs w:val="26"/>
        </w:rPr>
        <w:t xml:space="preserve"> acuerdo </w:t>
      </w:r>
      <w:r w:rsidR="00DF06E3" w:rsidRPr="0055611D">
        <w:rPr>
          <w:rFonts w:ascii="Arial" w:hAnsi="Arial" w:cs="Arial"/>
          <w:bCs/>
          <w:iCs/>
          <w:sz w:val="26"/>
          <w:szCs w:val="26"/>
        </w:rPr>
        <w:t xml:space="preserve">de </w:t>
      </w:r>
      <w:r w:rsidR="0055611D">
        <w:rPr>
          <w:rFonts w:ascii="Arial" w:hAnsi="Arial" w:cs="Arial"/>
          <w:bCs/>
          <w:iCs/>
          <w:sz w:val="26"/>
          <w:szCs w:val="26"/>
        </w:rPr>
        <w:t xml:space="preserve">30 </w:t>
      </w:r>
      <w:r w:rsidR="001B26DA" w:rsidRPr="0055611D">
        <w:rPr>
          <w:rFonts w:ascii="Arial" w:hAnsi="Arial" w:cs="Arial"/>
          <w:bCs/>
          <w:iCs/>
          <w:sz w:val="26"/>
          <w:szCs w:val="26"/>
        </w:rPr>
        <w:t>treinta</w:t>
      </w:r>
      <w:r w:rsidR="004C4CAD" w:rsidRPr="0055611D">
        <w:rPr>
          <w:rFonts w:ascii="Arial" w:hAnsi="Arial" w:cs="Arial"/>
          <w:bCs/>
          <w:iCs/>
          <w:sz w:val="26"/>
          <w:szCs w:val="26"/>
        </w:rPr>
        <w:t xml:space="preserve"> de junio de </w:t>
      </w:r>
      <w:r w:rsidR="0055611D">
        <w:rPr>
          <w:rFonts w:ascii="Arial" w:hAnsi="Arial" w:cs="Arial"/>
          <w:bCs/>
          <w:iCs/>
          <w:sz w:val="26"/>
          <w:szCs w:val="26"/>
        </w:rPr>
        <w:t xml:space="preserve">2017 </w:t>
      </w:r>
      <w:r w:rsidR="004C4CAD" w:rsidRPr="0055611D">
        <w:rPr>
          <w:rFonts w:ascii="Arial" w:hAnsi="Arial" w:cs="Arial"/>
          <w:bCs/>
          <w:iCs/>
          <w:sz w:val="26"/>
          <w:szCs w:val="26"/>
        </w:rPr>
        <w:t>dos mil diecis</w:t>
      </w:r>
      <w:r w:rsidR="00DF06E3" w:rsidRPr="0055611D">
        <w:rPr>
          <w:rFonts w:ascii="Arial" w:hAnsi="Arial" w:cs="Arial"/>
          <w:bCs/>
          <w:iCs/>
          <w:sz w:val="26"/>
          <w:szCs w:val="26"/>
        </w:rPr>
        <w:t>i</w:t>
      </w:r>
      <w:r w:rsidR="004C4CAD" w:rsidRPr="0055611D">
        <w:rPr>
          <w:rFonts w:ascii="Arial" w:hAnsi="Arial" w:cs="Arial"/>
          <w:bCs/>
          <w:iCs/>
          <w:sz w:val="26"/>
          <w:szCs w:val="26"/>
        </w:rPr>
        <w:t>e</w:t>
      </w:r>
      <w:r w:rsidR="00DF06E3" w:rsidRPr="0055611D">
        <w:rPr>
          <w:rFonts w:ascii="Arial" w:hAnsi="Arial" w:cs="Arial"/>
          <w:bCs/>
          <w:iCs/>
          <w:sz w:val="26"/>
          <w:szCs w:val="26"/>
        </w:rPr>
        <w:t>te</w:t>
      </w:r>
      <w:r w:rsidR="001B0918" w:rsidRPr="0055611D">
        <w:rPr>
          <w:rFonts w:ascii="Arial" w:hAnsi="Arial" w:cs="Arial"/>
          <w:bCs/>
          <w:iCs/>
          <w:sz w:val="26"/>
          <w:szCs w:val="26"/>
        </w:rPr>
        <w:t xml:space="preserve"> </w:t>
      </w:r>
      <w:r w:rsidR="001B0918" w:rsidRPr="0055611D">
        <w:rPr>
          <w:rFonts w:ascii="Arial" w:hAnsi="Arial" w:cs="Arial"/>
          <w:sz w:val="26"/>
          <w:szCs w:val="26"/>
        </w:rPr>
        <w:t xml:space="preserve">(foja </w:t>
      </w:r>
      <w:r w:rsidR="00142D49" w:rsidRPr="0055611D">
        <w:rPr>
          <w:rFonts w:ascii="Arial" w:hAnsi="Arial" w:cs="Arial"/>
          <w:sz w:val="26"/>
          <w:szCs w:val="26"/>
        </w:rPr>
        <w:t>48</w:t>
      </w:r>
      <w:r w:rsidR="001B0918" w:rsidRPr="0055611D">
        <w:rPr>
          <w:rFonts w:ascii="Arial" w:hAnsi="Arial" w:cs="Arial"/>
          <w:sz w:val="26"/>
          <w:szCs w:val="26"/>
        </w:rPr>
        <w:t>)</w:t>
      </w:r>
      <w:r w:rsidR="001B0918" w:rsidRPr="0055611D">
        <w:rPr>
          <w:rFonts w:ascii="Arial" w:hAnsi="Arial" w:cs="Arial"/>
          <w:bCs/>
          <w:iCs/>
          <w:sz w:val="26"/>
          <w:szCs w:val="26"/>
        </w:rPr>
        <w:t xml:space="preserve">, dictada por la </w:t>
      </w:r>
      <w:r w:rsidR="00763B4E" w:rsidRPr="0055611D">
        <w:rPr>
          <w:rFonts w:ascii="Arial" w:hAnsi="Arial" w:cs="Arial"/>
          <w:bCs/>
          <w:iCs/>
          <w:sz w:val="26"/>
          <w:szCs w:val="26"/>
        </w:rPr>
        <w:lastRenderedPageBreak/>
        <w:t>Se</w:t>
      </w:r>
      <w:r w:rsidR="005D3458" w:rsidRPr="0055611D">
        <w:rPr>
          <w:rFonts w:ascii="Arial" w:hAnsi="Arial" w:cs="Arial"/>
          <w:bCs/>
          <w:iCs/>
          <w:sz w:val="26"/>
          <w:szCs w:val="26"/>
        </w:rPr>
        <w:t xml:space="preserve">gunda </w:t>
      </w:r>
      <w:r w:rsidR="001B0918" w:rsidRPr="0055611D">
        <w:rPr>
          <w:rFonts w:ascii="Arial" w:hAnsi="Arial" w:cs="Arial"/>
          <w:bCs/>
          <w:iCs/>
          <w:sz w:val="26"/>
          <w:szCs w:val="26"/>
        </w:rPr>
        <w:t xml:space="preserve">Sala Unitaria de Primera Instancia, en el expediente </w:t>
      </w:r>
      <w:r w:rsidR="000C7B66" w:rsidRPr="0055611D">
        <w:rPr>
          <w:rFonts w:ascii="Arial" w:hAnsi="Arial" w:cs="Arial"/>
          <w:b/>
          <w:bCs/>
          <w:iCs/>
          <w:sz w:val="26"/>
          <w:szCs w:val="26"/>
        </w:rPr>
        <w:t>372</w:t>
      </w:r>
      <w:r w:rsidR="001B0918" w:rsidRPr="0055611D">
        <w:rPr>
          <w:rFonts w:ascii="Arial" w:hAnsi="Arial" w:cs="Arial"/>
          <w:b/>
          <w:bCs/>
          <w:iCs/>
          <w:sz w:val="26"/>
          <w:szCs w:val="26"/>
        </w:rPr>
        <w:t>/2016</w:t>
      </w:r>
      <w:r w:rsidR="001B0918" w:rsidRPr="0055611D">
        <w:rPr>
          <w:rFonts w:ascii="Arial" w:hAnsi="Arial" w:cs="Arial"/>
          <w:bCs/>
          <w:iCs/>
          <w:sz w:val="26"/>
          <w:szCs w:val="26"/>
        </w:rPr>
        <w:t>.</w:t>
      </w:r>
    </w:p>
    <w:p w:rsidR="00DC6460" w:rsidRPr="0055611D" w:rsidRDefault="00237CA6" w:rsidP="00DC6460">
      <w:pPr>
        <w:spacing w:before="240" w:line="360" w:lineRule="auto"/>
        <w:ind w:firstLine="708"/>
        <w:jc w:val="both"/>
        <w:rPr>
          <w:rFonts w:ascii="Arial" w:hAnsi="Arial" w:cs="Arial"/>
          <w:sz w:val="26"/>
          <w:szCs w:val="26"/>
        </w:rPr>
      </w:pPr>
      <w:r w:rsidRPr="0055611D">
        <w:rPr>
          <w:rFonts w:ascii="Arial" w:hAnsi="Arial" w:cs="Arial"/>
          <w:b/>
          <w:sz w:val="26"/>
          <w:szCs w:val="26"/>
        </w:rPr>
        <w:t>SEGUNDO</w:t>
      </w:r>
      <w:r w:rsidRPr="0055611D">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w:t>
      </w:r>
      <w:r w:rsidR="00DC6460" w:rsidRPr="0055611D">
        <w:rPr>
          <w:rFonts w:ascii="Arial" w:hAnsi="Arial" w:cs="Arial"/>
          <w:sz w:val="26"/>
          <w:szCs w:val="26"/>
        </w:rPr>
        <w:t>esa que imponga tal obligación.</w:t>
      </w:r>
    </w:p>
    <w:p w:rsidR="00DC6460" w:rsidRPr="0055611D" w:rsidRDefault="007B1B8E" w:rsidP="00DC6460">
      <w:pPr>
        <w:spacing w:before="240" w:line="360" w:lineRule="auto"/>
        <w:ind w:firstLine="708"/>
        <w:jc w:val="both"/>
        <w:rPr>
          <w:rFonts w:ascii="Arial" w:hAnsi="Arial" w:cs="Arial"/>
          <w:sz w:val="26"/>
          <w:szCs w:val="26"/>
        </w:rPr>
      </w:pPr>
      <w:r w:rsidRPr="0055611D">
        <w:rPr>
          <w:rFonts w:ascii="Arial" w:hAnsi="Arial" w:cs="Arial"/>
          <w:b/>
          <w:bCs/>
          <w:sz w:val="26"/>
          <w:szCs w:val="26"/>
          <w:lang w:val="es-MX"/>
        </w:rPr>
        <w:t xml:space="preserve">TERCERO. </w:t>
      </w:r>
      <w:r w:rsidR="00DC6460" w:rsidRPr="0055611D">
        <w:rPr>
          <w:rFonts w:ascii="Arial" w:hAnsi="Arial" w:cs="Arial"/>
          <w:bCs/>
          <w:sz w:val="26"/>
          <w:szCs w:val="26"/>
        </w:rPr>
        <w:t>E</w:t>
      </w:r>
      <w:r w:rsidR="002813DD" w:rsidRPr="0055611D">
        <w:rPr>
          <w:rFonts w:ascii="Arial" w:hAnsi="Arial" w:cs="Arial"/>
          <w:bCs/>
          <w:sz w:val="26"/>
          <w:szCs w:val="26"/>
        </w:rPr>
        <w:t>n e</w:t>
      </w:r>
      <w:r w:rsidR="00DC6460" w:rsidRPr="0055611D">
        <w:rPr>
          <w:rFonts w:ascii="Arial" w:hAnsi="Arial" w:cs="Arial"/>
          <w:bCs/>
          <w:sz w:val="26"/>
          <w:szCs w:val="26"/>
        </w:rPr>
        <w:t xml:space="preserve">l agravio identificado como PRIMERO, </w:t>
      </w:r>
      <w:r w:rsidR="009C71B5" w:rsidRPr="0055611D">
        <w:rPr>
          <w:rFonts w:ascii="Arial" w:hAnsi="Arial" w:cs="Arial"/>
          <w:bCs/>
          <w:sz w:val="26"/>
          <w:szCs w:val="26"/>
        </w:rPr>
        <w:t xml:space="preserve">el recurrente expresa que el acuerdo </w:t>
      </w:r>
      <w:r w:rsidR="00DC6460" w:rsidRPr="0055611D">
        <w:rPr>
          <w:rFonts w:ascii="Arial" w:hAnsi="Arial" w:cs="Arial"/>
          <w:bCs/>
          <w:sz w:val="26"/>
          <w:szCs w:val="26"/>
        </w:rPr>
        <w:t xml:space="preserve">sujeto a revisión es ilegal porque contraviene lo dispuesto por el artículo 177, fracciones I y II de la Ley de Justicia Administrativa para el Estado de Oaxaca. </w:t>
      </w:r>
    </w:p>
    <w:p w:rsidR="00DC6460" w:rsidRPr="0055611D" w:rsidRDefault="00F60892" w:rsidP="00DC6460">
      <w:pPr>
        <w:pStyle w:val="Sinespaciado"/>
        <w:spacing w:before="240" w:line="360" w:lineRule="auto"/>
        <w:ind w:firstLine="708"/>
        <w:jc w:val="both"/>
        <w:rPr>
          <w:rFonts w:ascii="Arial" w:hAnsi="Arial" w:cs="Arial"/>
          <w:bCs/>
          <w:sz w:val="26"/>
          <w:szCs w:val="26"/>
          <w:lang w:val="es-MX"/>
        </w:rPr>
      </w:pPr>
      <w:r w:rsidRPr="0055611D">
        <w:rPr>
          <w:rFonts w:ascii="Arial" w:hAnsi="Arial" w:cs="Arial"/>
          <w:bCs/>
          <w:sz w:val="26"/>
          <w:szCs w:val="26"/>
          <w:lang w:val="es-MX"/>
        </w:rPr>
        <w:t xml:space="preserve">Lo anterior es </w:t>
      </w:r>
      <w:r w:rsidRPr="0055611D">
        <w:rPr>
          <w:rFonts w:ascii="Arial" w:hAnsi="Arial" w:cs="Arial"/>
          <w:b/>
          <w:bCs/>
          <w:sz w:val="26"/>
          <w:szCs w:val="26"/>
          <w:lang w:val="es-MX"/>
        </w:rPr>
        <w:t>infundado</w:t>
      </w:r>
      <w:r w:rsidR="00DC6460" w:rsidRPr="0055611D">
        <w:rPr>
          <w:rFonts w:ascii="Arial" w:hAnsi="Arial" w:cs="Arial"/>
          <w:bCs/>
          <w:sz w:val="26"/>
          <w:szCs w:val="26"/>
          <w:lang w:val="es-MX"/>
        </w:rPr>
        <w:t>, en virtud de que el artículo 177</w:t>
      </w:r>
      <w:r w:rsidR="005E3C3B" w:rsidRPr="0055611D">
        <w:rPr>
          <w:rFonts w:ascii="Arial" w:hAnsi="Arial" w:cs="Arial"/>
          <w:bCs/>
          <w:sz w:val="26"/>
          <w:szCs w:val="26"/>
          <w:lang w:val="es-MX"/>
        </w:rPr>
        <w:t>, fracción I,</w:t>
      </w:r>
      <w:r w:rsidR="00DC6460" w:rsidRPr="0055611D">
        <w:rPr>
          <w:rFonts w:ascii="Arial" w:hAnsi="Arial" w:cs="Arial"/>
          <w:bCs/>
          <w:sz w:val="26"/>
          <w:szCs w:val="26"/>
          <w:lang w:val="es-MX"/>
        </w:rPr>
        <w:t xml:space="preserve"> de la Ley de Justicia Administrativa para el Estado de Oaxaca, establece los requisitos que deben contener las </w:t>
      </w:r>
      <w:r w:rsidR="00DC6460" w:rsidRPr="0055611D">
        <w:rPr>
          <w:rFonts w:ascii="Arial" w:hAnsi="Arial" w:cs="Arial"/>
          <w:b/>
          <w:bCs/>
          <w:sz w:val="26"/>
          <w:szCs w:val="26"/>
          <w:lang w:val="es-MX"/>
        </w:rPr>
        <w:t xml:space="preserve">sentencias </w:t>
      </w:r>
      <w:r w:rsidR="00642CC3" w:rsidRPr="0055611D">
        <w:rPr>
          <w:rFonts w:ascii="Arial" w:hAnsi="Arial" w:cs="Arial"/>
          <w:bCs/>
          <w:sz w:val="26"/>
          <w:szCs w:val="26"/>
          <w:lang w:val="es-MX"/>
        </w:rPr>
        <w:t>que emita el Tribunal</w:t>
      </w:r>
      <w:r w:rsidR="00DC6460" w:rsidRPr="0055611D">
        <w:rPr>
          <w:rFonts w:ascii="Arial" w:hAnsi="Arial" w:cs="Arial"/>
          <w:bCs/>
          <w:sz w:val="26"/>
          <w:szCs w:val="26"/>
          <w:lang w:val="es-MX"/>
        </w:rPr>
        <w:t xml:space="preserve"> </w:t>
      </w:r>
      <w:r w:rsidR="00642CC3" w:rsidRPr="0055611D">
        <w:rPr>
          <w:rFonts w:ascii="Arial" w:hAnsi="Arial" w:cs="Arial"/>
          <w:bCs/>
          <w:sz w:val="26"/>
          <w:szCs w:val="26"/>
          <w:lang w:val="es-MX"/>
        </w:rPr>
        <w:t xml:space="preserve">y </w:t>
      </w:r>
      <w:r w:rsidR="00DC6460" w:rsidRPr="0055611D">
        <w:rPr>
          <w:rFonts w:ascii="Arial" w:hAnsi="Arial" w:cs="Arial"/>
          <w:bCs/>
          <w:sz w:val="26"/>
          <w:szCs w:val="26"/>
          <w:lang w:val="es-MX"/>
        </w:rPr>
        <w:t>la fijación de los puntos controvertidos, sólo es posible realizarla en esa etapa procesal, no así en los diversos proveídos; puntualizar los hechos que sustentan las pretensiones de las partes sobre los cuales existen discrepancias, mismos que debieron ser probados en el juicio, sólo es factible en el dictado de la sentencia.</w:t>
      </w:r>
    </w:p>
    <w:p w:rsidR="00586FFC" w:rsidRPr="0055611D" w:rsidRDefault="00DC6460" w:rsidP="00DC6460">
      <w:pPr>
        <w:pStyle w:val="Sinespaciado"/>
        <w:spacing w:before="240" w:line="360" w:lineRule="auto"/>
        <w:ind w:firstLine="708"/>
        <w:jc w:val="both"/>
        <w:rPr>
          <w:rFonts w:ascii="Arial" w:eastAsia="Calibri" w:hAnsi="Arial" w:cs="Arial"/>
          <w:bCs/>
          <w:sz w:val="26"/>
          <w:szCs w:val="26"/>
        </w:rPr>
      </w:pPr>
      <w:r w:rsidRPr="0055611D">
        <w:rPr>
          <w:rFonts w:ascii="Arial" w:eastAsia="Calibri" w:hAnsi="Arial" w:cs="Arial"/>
          <w:bCs/>
          <w:sz w:val="26"/>
          <w:szCs w:val="26"/>
        </w:rPr>
        <w:t xml:space="preserve">Por otra parte señala </w:t>
      </w:r>
      <w:r w:rsidR="00B12E62" w:rsidRPr="0055611D">
        <w:rPr>
          <w:rFonts w:ascii="Arial" w:eastAsia="Calibri" w:hAnsi="Arial" w:cs="Arial"/>
          <w:bCs/>
          <w:sz w:val="26"/>
          <w:szCs w:val="26"/>
        </w:rPr>
        <w:t xml:space="preserve">que de acuerdo a lo que dispone el </w:t>
      </w:r>
      <w:r w:rsidR="00B12E62" w:rsidRPr="0055611D">
        <w:rPr>
          <w:rFonts w:ascii="Arial" w:hAnsi="Arial" w:cs="Arial"/>
          <w:bCs/>
          <w:sz w:val="26"/>
          <w:szCs w:val="26"/>
          <w:lang w:val="es-MX"/>
        </w:rPr>
        <w:t xml:space="preserve">artículo 177, fracción </w:t>
      </w:r>
      <w:r w:rsidR="0029107F" w:rsidRPr="0055611D">
        <w:rPr>
          <w:rFonts w:ascii="Arial" w:hAnsi="Arial" w:cs="Arial"/>
          <w:bCs/>
          <w:sz w:val="26"/>
          <w:szCs w:val="26"/>
          <w:lang w:val="es-MX"/>
        </w:rPr>
        <w:t>I</w:t>
      </w:r>
      <w:r w:rsidR="00B12E62" w:rsidRPr="0055611D">
        <w:rPr>
          <w:rFonts w:ascii="Arial" w:hAnsi="Arial" w:cs="Arial"/>
          <w:bCs/>
          <w:sz w:val="26"/>
          <w:szCs w:val="26"/>
          <w:lang w:val="es-MX"/>
        </w:rPr>
        <w:t>I, de la Ley de Justicia Administrativa para el Estado de Oaxaca</w:t>
      </w:r>
      <w:r w:rsidR="00B12E62" w:rsidRPr="0055611D">
        <w:rPr>
          <w:rFonts w:ascii="Arial" w:eastAsia="Calibri" w:hAnsi="Arial" w:cs="Arial"/>
          <w:bCs/>
          <w:sz w:val="26"/>
          <w:szCs w:val="26"/>
        </w:rPr>
        <w:t xml:space="preserve">, </w:t>
      </w:r>
      <w:r w:rsidRPr="0055611D">
        <w:rPr>
          <w:rFonts w:ascii="Arial" w:eastAsia="Calibri" w:hAnsi="Arial" w:cs="Arial"/>
          <w:bCs/>
          <w:sz w:val="26"/>
          <w:szCs w:val="26"/>
        </w:rPr>
        <w:t>el auto recurrido, carece de una exposición fundada y motivada de las consideraciones en que se basó para tener por cumplida la sentencia</w:t>
      </w:r>
      <w:r w:rsidR="00586FFC" w:rsidRPr="0055611D">
        <w:rPr>
          <w:rFonts w:ascii="Arial" w:eastAsia="Calibri" w:hAnsi="Arial" w:cs="Arial"/>
          <w:bCs/>
          <w:sz w:val="26"/>
          <w:szCs w:val="26"/>
        </w:rPr>
        <w:t>.</w:t>
      </w:r>
    </w:p>
    <w:p w:rsidR="00B6584B" w:rsidRPr="0055611D" w:rsidRDefault="003A0443" w:rsidP="00DC6460">
      <w:pPr>
        <w:pStyle w:val="Sinespaciado"/>
        <w:spacing w:before="240" w:line="360" w:lineRule="auto"/>
        <w:ind w:firstLine="708"/>
        <w:jc w:val="both"/>
        <w:rPr>
          <w:rFonts w:ascii="Arial" w:eastAsia="Calibri" w:hAnsi="Arial" w:cs="Arial"/>
          <w:bCs/>
          <w:sz w:val="26"/>
          <w:szCs w:val="26"/>
        </w:rPr>
      </w:pPr>
      <w:r w:rsidRPr="0055611D">
        <w:rPr>
          <w:rFonts w:ascii="Arial" w:eastAsia="Calibri" w:hAnsi="Arial" w:cs="Arial"/>
          <w:bCs/>
          <w:sz w:val="26"/>
          <w:szCs w:val="26"/>
        </w:rPr>
        <w:t xml:space="preserve">Resulta </w:t>
      </w:r>
      <w:r w:rsidRPr="0055611D">
        <w:rPr>
          <w:rFonts w:ascii="Arial" w:eastAsia="Calibri" w:hAnsi="Arial" w:cs="Arial"/>
          <w:b/>
          <w:bCs/>
          <w:sz w:val="26"/>
          <w:szCs w:val="26"/>
        </w:rPr>
        <w:t xml:space="preserve">infundado </w:t>
      </w:r>
      <w:r w:rsidRPr="0055611D">
        <w:rPr>
          <w:rFonts w:ascii="Arial" w:eastAsia="Calibri" w:hAnsi="Arial" w:cs="Arial"/>
          <w:bCs/>
          <w:sz w:val="26"/>
          <w:szCs w:val="26"/>
        </w:rPr>
        <w:t>su agravio</w:t>
      </w:r>
      <w:r w:rsidR="00DC6460" w:rsidRPr="0055611D">
        <w:rPr>
          <w:rFonts w:ascii="Arial" w:eastAsia="Calibri" w:hAnsi="Arial" w:cs="Arial"/>
          <w:bCs/>
          <w:sz w:val="26"/>
          <w:szCs w:val="26"/>
        </w:rPr>
        <w:t xml:space="preserve">, </w:t>
      </w:r>
      <w:r w:rsidR="00334067" w:rsidRPr="0055611D">
        <w:rPr>
          <w:rFonts w:ascii="Arial" w:eastAsia="Calibri" w:hAnsi="Arial" w:cs="Arial"/>
          <w:bCs/>
          <w:sz w:val="26"/>
          <w:szCs w:val="26"/>
        </w:rPr>
        <w:t xml:space="preserve">ya </w:t>
      </w:r>
      <w:r w:rsidR="00DC6460" w:rsidRPr="0055611D">
        <w:rPr>
          <w:rFonts w:ascii="Arial" w:eastAsia="Calibri" w:hAnsi="Arial" w:cs="Arial"/>
          <w:bCs/>
          <w:sz w:val="26"/>
          <w:szCs w:val="26"/>
        </w:rPr>
        <w:t xml:space="preserve">que el magistrado para declarar cumplida la sentencia tomó en consideración que el </w:t>
      </w:r>
      <w:r w:rsidR="002B5885" w:rsidRPr="0055611D">
        <w:rPr>
          <w:rFonts w:ascii="Arial" w:eastAsia="Calibri" w:hAnsi="Arial" w:cs="Arial"/>
          <w:bCs/>
          <w:sz w:val="26"/>
          <w:szCs w:val="26"/>
        </w:rPr>
        <w:t xml:space="preserve">Gobernador Constitucional </w:t>
      </w:r>
      <w:r w:rsidR="00DC6460" w:rsidRPr="0055611D">
        <w:rPr>
          <w:rFonts w:ascii="Arial" w:eastAsia="Calibri" w:hAnsi="Arial" w:cs="Arial"/>
          <w:bCs/>
          <w:sz w:val="26"/>
          <w:szCs w:val="26"/>
        </w:rPr>
        <w:t xml:space="preserve">del </w:t>
      </w:r>
      <w:r w:rsidR="002B5885" w:rsidRPr="0055611D">
        <w:rPr>
          <w:rFonts w:ascii="Arial" w:eastAsia="Calibri" w:hAnsi="Arial" w:cs="Arial"/>
          <w:bCs/>
          <w:sz w:val="26"/>
          <w:szCs w:val="26"/>
        </w:rPr>
        <w:t>Estado</w:t>
      </w:r>
      <w:r w:rsidR="00045557" w:rsidRPr="0055611D">
        <w:rPr>
          <w:rFonts w:ascii="Arial" w:eastAsia="Calibri" w:hAnsi="Arial" w:cs="Arial"/>
          <w:bCs/>
          <w:sz w:val="26"/>
          <w:szCs w:val="26"/>
        </w:rPr>
        <w:t>, fundó</w:t>
      </w:r>
      <w:r w:rsidR="00DC6460" w:rsidRPr="0055611D">
        <w:rPr>
          <w:rFonts w:ascii="Arial" w:eastAsia="Calibri" w:hAnsi="Arial" w:cs="Arial"/>
          <w:bCs/>
          <w:sz w:val="26"/>
          <w:szCs w:val="26"/>
        </w:rPr>
        <w:t xml:space="preserve"> su </w:t>
      </w:r>
      <w:r w:rsidR="00346FDD" w:rsidRPr="0055611D">
        <w:rPr>
          <w:rFonts w:ascii="Arial" w:eastAsia="Calibri" w:hAnsi="Arial" w:cs="Arial"/>
          <w:bCs/>
          <w:sz w:val="26"/>
          <w:szCs w:val="26"/>
        </w:rPr>
        <w:t>resolución</w:t>
      </w:r>
      <w:r w:rsidR="00DC6460" w:rsidRPr="0055611D">
        <w:rPr>
          <w:rFonts w:ascii="Arial" w:eastAsia="Calibri" w:hAnsi="Arial" w:cs="Arial"/>
          <w:bCs/>
          <w:sz w:val="26"/>
          <w:szCs w:val="26"/>
        </w:rPr>
        <w:t xml:space="preserve"> en los artículos </w:t>
      </w:r>
      <w:r w:rsidR="005F45AF" w:rsidRPr="0055611D">
        <w:rPr>
          <w:rFonts w:ascii="Arial" w:eastAsia="Calibri" w:hAnsi="Arial" w:cs="Arial"/>
          <w:bCs/>
          <w:sz w:val="26"/>
          <w:szCs w:val="26"/>
        </w:rPr>
        <w:t>82, de la Constitución Política del</w:t>
      </w:r>
      <w:r w:rsidR="00B32C83" w:rsidRPr="0055611D">
        <w:rPr>
          <w:rFonts w:ascii="Arial" w:eastAsia="Calibri" w:hAnsi="Arial" w:cs="Arial"/>
          <w:bCs/>
          <w:sz w:val="26"/>
          <w:szCs w:val="26"/>
        </w:rPr>
        <w:t xml:space="preserve"> Estado</w:t>
      </w:r>
      <w:r w:rsidR="005F45AF" w:rsidRPr="0055611D">
        <w:rPr>
          <w:rFonts w:ascii="Arial" w:eastAsia="Calibri" w:hAnsi="Arial" w:cs="Arial"/>
          <w:bCs/>
          <w:sz w:val="26"/>
          <w:szCs w:val="26"/>
        </w:rPr>
        <w:t xml:space="preserve"> </w:t>
      </w:r>
      <w:r w:rsidR="00B32C83" w:rsidRPr="0055611D">
        <w:rPr>
          <w:rFonts w:ascii="Arial" w:eastAsia="Calibri" w:hAnsi="Arial" w:cs="Arial"/>
          <w:bCs/>
          <w:sz w:val="26"/>
          <w:szCs w:val="26"/>
        </w:rPr>
        <w:t>Libre y Soberano de Oaxaca</w:t>
      </w:r>
      <w:r w:rsidR="005F45AF" w:rsidRPr="0055611D">
        <w:rPr>
          <w:rFonts w:ascii="Arial" w:eastAsia="Calibri" w:hAnsi="Arial" w:cs="Arial"/>
          <w:bCs/>
          <w:sz w:val="26"/>
          <w:szCs w:val="26"/>
        </w:rPr>
        <w:t xml:space="preserve">; </w:t>
      </w:r>
      <w:r w:rsidR="00DC6460" w:rsidRPr="0055611D">
        <w:rPr>
          <w:rFonts w:ascii="Arial" w:eastAsia="Calibri" w:hAnsi="Arial" w:cs="Arial"/>
          <w:bCs/>
          <w:sz w:val="26"/>
          <w:szCs w:val="26"/>
        </w:rPr>
        <w:t xml:space="preserve">6 y 23 de la </w:t>
      </w:r>
      <w:r w:rsidR="00A74BD1" w:rsidRPr="0055611D">
        <w:rPr>
          <w:rFonts w:ascii="Arial" w:eastAsia="Calibri" w:hAnsi="Arial" w:cs="Arial"/>
          <w:bCs/>
          <w:sz w:val="26"/>
          <w:szCs w:val="26"/>
        </w:rPr>
        <w:t xml:space="preserve">Ley Orgánica </w:t>
      </w:r>
      <w:r w:rsidR="00DC6460" w:rsidRPr="0055611D">
        <w:rPr>
          <w:rFonts w:ascii="Arial" w:eastAsia="Calibri" w:hAnsi="Arial" w:cs="Arial"/>
          <w:bCs/>
          <w:sz w:val="26"/>
          <w:szCs w:val="26"/>
        </w:rPr>
        <w:t xml:space="preserve">del </w:t>
      </w:r>
      <w:r w:rsidR="00A74BD1" w:rsidRPr="0055611D">
        <w:rPr>
          <w:rFonts w:ascii="Arial" w:eastAsia="Calibri" w:hAnsi="Arial" w:cs="Arial"/>
          <w:bCs/>
          <w:sz w:val="26"/>
          <w:szCs w:val="26"/>
        </w:rPr>
        <w:t xml:space="preserve">Poder Ejecutivo </w:t>
      </w:r>
      <w:r w:rsidR="00DC6460" w:rsidRPr="0055611D">
        <w:rPr>
          <w:rFonts w:ascii="Arial" w:eastAsia="Calibri" w:hAnsi="Arial" w:cs="Arial"/>
          <w:bCs/>
          <w:sz w:val="26"/>
          <w:szCs w:val="26"/>
        </w:rPr>
        <w:t xml:space="preserve">del </w:t>
      </w:r>
      <w:r w:rsidR="00A74BD1" w:rsidRPr="0055611D">
        <w:rPr>
          <w:rFonts w:ascii="Arial" w:eastAsia="Calibri" w:hAnsi="Arial" w:cs="Arial"/>
          <w:bCs/>
          <w:sz w:val="26"/>
          <w:szCs w:val="26"/>
        </w:rPr>
        <w:t>Estado</w:t>
      </w:r>
      <w:r w:rsidR="00943AAD" w:rsidRPr="0055611D">
        <w:rPr>
          <w:rFonts w:ascii="Arial" w:eastAsia="Calibri" w:hAnsi="Arial" w:cs="Arial"/>
          <w:bCs/>
          <w:sz w:val="26"/>
          <w:szCs w:val="26"/>
        </w:rPr>
        <w:t>;</w:t>
      </w:r>
      <w:r w:rsidR="00DC6460" w:rsidRPr="0055611D">
        <w:rPr>
          <w:rFonts w:ascii="Arial" w:eastAsia="Calibri" w:hAnsi="Arial" w:cs="Arial"/>
          <w:bCs/>
          <w:sz w:val="26"/>
          <w:szCs w:val="26"/>
        </w:rPr>
        <w:t xml:space="preserve"> 7 fracción IV, 7 bis y 18, de la </w:t>
      </w:r>
      <w:r w:rsidR="003222C3" w:rsidRPr="0055611D">
        <w:rPr>
          <w:rFonts w:ascii="Arial" w:eastAsia="Calibri" w:hAnsi="Arial" w:cs="Arial"/>
          <w:bCs/>
          <w:sz w:val="26"/>
          <w:szCs w:val="26"/>
        </w:rPr>
        <w:t xml:space="preserve">Ley </w:t>
      </w:r>
      <w:r w:rsidR="00DC6460" w:rsidRPr="0055611D">
        <w:rPr>
          <w:rFonts w:ascii="Arial" w:eastAsia="Calibri" w:hAnsi="Arial" w:cs="Arial"/>
          <w:bCs/>
          <w:sz w:val="26"/>
          <w:szCs w:val="26"/>
        </w:rPr>
        <w:t xml:space="preserve">de </w:t>
      </w:r>
      <w:r w:rsidR="003222C3" w:rsidRPr="0055611D">
        <w:rPr>
          <w:rFonts w:ascii="Arial" w:eastAsia="Calibri" w:hAnsi="Arial" w:cs="Arial"/>
          <w:bCs/>
          <w:sz w:val="26"/>
          <w:szCs w:val="26"/>
        </w:rPr>
        <w:t xml:space="preserve">Tránsito </w:t>
      </w:r>
      <w:r w:rsidR="00DC6460" w:rsidRPr="0055611D">
        <w:rPr>
          <w:rFonts w:ascii="Arial" w:eastAsia="Calibri" w:hAnsi="Arial" w:cs="Arial"/>
          <w:bCs/>
          <w:sz w:val="26"/>
          <w:szCs w:val="26"/>
        </w:rPr>
        <w:t xml:space="preserve">vigente en el </w:t>
      </w:r>
      <w:r w:rsidR="003222C3" w:rsidRPr="0055611D">
        <w:rPr>
          <w:rFonts w:ascii="Arial" w:eastAsia="Calibri" w:hAnsi="Arial" w:cs="Arial"/>
          <w:bCs/>
          <w:sz w:val="26"/>
          <w:szCs w:val="26"/>
        </w:rPr>
        <w:t>Estado</w:t>
      </w:r>
      <w:r w:rsidR="00DC6460" w:rsidRPr="0055611D">
        <w:rPr>
          <w:rFonts w:ascii="Arial" w:eastAsia="Calibri" w:hAnsi="Arial" w:cs="Arial"/>
          <w:bCs/>
          <w:sz w:val="26"/>
          <w:szCs w:val="26"/>
        </w:rPr>
        <w:t xml:space="preserve">, </w:t>
      </w:r>
      <w:r w:rsidR="00D73582" w:rsidRPr="0055611D">
        <w:rPr>
          <w:rFonts w:ascii="Arial" w:eastAsia="Calibri" w:hAnsi="Arial" w:cs="Arial"/>
          <w:bCs/>
          <w:sz w:val="26"/>
          <w:szCs w:val="26"/>
        </w:rPr>
        <w:t>y determ</w:t>
      </w:r>
      <w:r w:rsidR="00E62D31" w:rsidRPr="0055611D">
        <w:rPr>
          <w:rFonts w:ascii="Arial" w:eastAsia="Calibri" w:hAnsi="Arial" w:cs="Arial"/>
          <w:bCs/>
          <w:sz w:val="26"/>
          <w:szCs w:val="26"/>
        </w:rPr>
        <w:t>inó</w:t>
      </w:r>
      <w:r w:rsidR="00D73582" w:rsidRPr="0055611D">
        <w:rPr>
          <w:rFonts w:ascii="Arial" w:eastAsia="Calibri" w:hAnsi="Arial" w:cs="Arial"/>
          <w:bCs/>
          <w:sz w:val="26"/>
          <w:szCs w:val="26"/>
        </w:rPr>
        <w:t xml:space="preserve"> no conceder la renovación de la </w:t>
      </w:r>
      <w:r w:rsidR="00DC6460" w:rsidRPr="0055611D">
        <w:rPr>
          <w:rFonts w:ascii="Arial" w:eastAsia="Calibri" w:hAnsi="Arial" w:cs="Arial"/>
          <w:bCs/>
          <w:sz w:val="26"/>
          <w:szCs w:val="26"/>
        </w:rPr>
        <w:t>concesión solicitada.</w:t>
      </w:r>
    </w:p>
    <w:p w:rsidR="0097017B" w:rsidRPr="0055611D" w:rsidRDefault="00B6584B" w:rsidP="00DC6460">
      <w:pPr>
        <w:pStyle w:val="Sinespaciado"/>
        <w:spacing w:before="240" w:line="360" w:lineRule="auto"/>
        <w:ind w:firstLine="708"/>
        <w:jc w:val="both"/>
        <w:rPr>
          <w:rFonts w:ascii="Arial" w:eastAsia="Calibri" w:hAnsi="Arial" w:cs="Arial"/>
          <w:bCs/>
          <w:sz w:val="26"/>
          <w:szCs w:val="26"/>
        </w:rPr>
      </w:pPr>
      <w:r w:rsidRPr="0055611D">
        <w:rPr>
          <w:rFonts w:ascii="Arial" w:eastAsia="Calibri" w:hAnsi="Arial" w:cs="Arial"/>
          <w:bCs/>
          <w:sz w:val="26"/>
          <w:szCs w:val="26"/>
        </w:rPr>
        <w:t xml:space="preserve">Lo </w:t>
      </w:r>
      <w:r w:rsidR="0097017B" w:rsidRPr="0055611D">
        <w:rPr>
          <w:rFonts w:ascii="Arial" w:eastAsia="Calibri" w:hAnsi="Arial" w:cs="Arial"/>
          <w:bCs/>
          <w:sz w:val="26"/>
          <w:szCs w:val="26"/>
        </w:rPr>
        <w:t xml:space="preserve">que antecede lo hizo en </w:t>
      </w:r>
      <w:r w:rsidR="00310869" w:rsidRPr="0055611D">
        <w:rPr>
          <w:rFonts w:ascii="Arial" w:eastAsia="Calibri" w:hAnsi="Arial" w:cs="Arial"/>
          <w:bCs/>
          <w:sz w:val="26"/>
          <w:szCs w:val="26"/>
        </w:rPr>
        <w:t xml:space="preserve">cumplimiento a la ejecutoria de </w:t>
      </w:r>
      <w:r w:rsidR="00B85F3A">
        <w:rPr>
          <w:rFonts w:ascii="Arial" w:eastAsia="Calibri" w:hAnsi="Arial" w:cs="Arial"/>
          <w:bCs/>
          <w:sz w:val="26"/>
          <w:szCs w:val="26"/>
        </w:rPr>
        <w:t xml:space="preserve">31 </w:t>
      </w:r>
      <w:r w:rsidR="00310869" w:rsidRPr="0055611D">
        <w:rPr>
          <w:rFonts w:ascii="Arial" w:eastAsia="Calibri" w:hAnsi="Arial" w:cs="Arial"/>
          <w:bCs/>
          <w:sz w:val="26"/>
          <w:szCs w:val="26"/>
        </w:rPr>
        <w:t xml:space="preserve">treinta y uno de marzo de </w:t>
      </w:r>
      <w:r w:rsidR="00B85F3A">
        <w:rPr>
          <w:rFonts w:ascii="Arial" w:eastAsia="Calibri" w:hAnsi="Arial" w:cs="Arial"/>
          <w:bCs/>
          <w:sz w:val="26"/>
          <w:szCs w:val="26"/>
        </w:rPr>
        <w:t xml:space="preserve">2015 </w:t>
      </w:r>
      <w:r w:rsidR="00310869" w:rsidRPr="0055611D">
        <w:rPr>
          <w:rFonts w:ascii="Arial" w:eastAsia="Calibri" w:hAnsi="Arial" w:cs="Arial"/>
          <w:bCs/>
          <w:sz w:val="26"/>
          <w:szCs w:val="26"/>
        </w:rPr>
        <w:t>dos mil quince</w:t>
      </w:r>
      <w:r w:rsidR="00B26665" w:rsidRPr="0055611D">
        <w:rPr>
          <w:rFonts w:ascii="Arial" w:eastAsia="Calibri" w:hAnsi="Arial" w:cs="Arial"/>
          <w:bCs/>
          <w:sz w:val="26"/>
          <w:szCs w:val="26"/>
        </w:rPr>
        <w:t>,</w:t>
      </w:r>
      <w:r w:rsidR="00310869" w:rsidRPr="0055611D">
        <w:rPr>
          <w:rFonts w:ascii="Arial" w:eastAsia="Calibri" w:hAnsi="Arial" w:cs="Arial"/>
          <w:bCs/>
          <w:sz w:val="26"/>
          <w:szCs w:val="26"/>
        </w:rPr>
        <w:t xml:space="preserve"> en la que se declaró la nulidad para el efecto de que el titular del Ejecutivo dictara otra </w:t>
      </w:r>
      <w:r w:rsidR="00D96929" w:rsidRPr="0055611D">
        <w:rPr>
          <w:rFonts w:ascii="Arial" w:eastAsia="Calibri" w:hAnsi="Arial" w:cs="Arial"/>
          <w:bCs/>
          <w:sz w:val="26"/>
          <w:szCs w:val="26"/>
        </w:rPr>
        <w:t xml:space="preserve">debidamente fundada y motivada en ejercicio de sus facultades </w:t>
      </w:r>
      <w:r w:rsidR="00D96929" w:rsidRPr="0055611D">
        <w:rPr>
          <w:rFonts w:ascii="Arial" w:eastAsia="Calibri" w:hAnsi="Arial" w:cs="Arial"/>
          <w:bCs/>
          <w:sz w:val="26"/>
          <w:szCs w:val="26"/>
        </w:rPr>
        <w:lastRenderedPageBreak/>
        <w:t>discrecionales</w:t>
      </w:r>
      <w:r w:rsidR="0059287B" w:rsidRPr="0055611D">
        <w:rPr>
          <w:rFonts w:ascii="Arial" w:eastAsia="Calibri" w:hAnsi="Arial" w:cs="Arial"/>
          <w:bCs/>
          <w:sz w:val="26"/>
          <w:szCs w:val="26"/>
        </w:rPr>
        <w:t xml:space="preserve"> partiendo de que la concesión gozaba de presunción de validez.</w:t>
      </w:r>
    </w:p>
    <w:p w:rsidR="00026D3A" w:rsidRPr="0055611D" w:rsidRDefault="00DC6460" w:rsidP="002008F8">
      <w:pPr>
        <w:pStyle w:val="Sinespaciado"/>
        <w:spacing w:line="360" w:lineRule="auto"/>
        <w:jc w:val="both"/>
        <w:rPr>
          <w:rFonts w:ascii="Arial" w:hAnsi="Arial" w:cs="Arial"/>
          <w:bCs/>
          <w:sz w:val="26"/>
          <w:szCs w:val="26"/>
          <w:lang w:val="es-MX"/>
        </w:rPr>
      </w:pPr>
      <w:r w:rsidRPr="0055611D">
        <w:rPr>
          <w:rFonts w:ascii="Arial" w:hAnsi="Arial" w:cs="Arial"/>
          <w:bCs/>
          <w:sz w:val="26"/>
          <w:szCs w:val="26"/>
          <w:lang w:val="es-MX"/>
        </w:rPr>
        <w:tab/>
      </w:r>
    </w:p>
    <w:p w:rsidR="00DC6460" w:rsidRPr="0055611D" w:rsidRDefault="004C554B" w:rsidP="00026D3A">
      <w:pPr>
        <w:pStyle w:val="Sinespaciado"/>
        <w:spacing w:line="360" w:lineRule="auto"/>
        <w:ind w:firstLine="708"/>
        <w:jc w:val="both"/>
        <w:rPr>
          <w:rFonts w:ascii="Arial" w:eastAsia="Calibri" w:hAnsi="Arial" w:cs="Arial"/>
          <w:b/>
          <w:bCs/>
          <w:sz w:val="26"/>
          <w:szCs w:val="26"/>
        </w:rPr>
      </w:pPr>
      <w:r w:rsidRPr="0055611D">
        <w:rPr>
          <w:rFonts w:ascii="Arial" w:hAnsi="Arial" w:cs="Arial"/>
          <w:bCs/>
          <w:sz w:val="26"/>
          <w:szCs w:val="26"/>
          <w:lang w:val="es-MX"/>
        </w:rPr>
        <w:t xml:space="preserve">Insiste el recurrente de que </w:t>
      </w:r>
      <w:r w:rsidR="000D0C5D" w:rsidRPr="0055611D">
        <w:rPr>
          <w:rFonts w:ascii="Arial" w:hAnsi="Arial" w:cs="Arial"/>
          <w:bCs/>
          <w:sz w:val="26"/>
          <w:szCs w:val="26"/>
          <w:lang w:val="es-MX"/>
        </w:rPr>
        <w:t xml:space="preserve">la autoridad demandada no fundó </w:t>
      </w:r>
      <w:r w:rsidR="00743DD4" w:rsidRPr="0055611D">
        <w:rPr>
          <w:rFonts w:ascii="Arial" w:hAnsi="Arial" w:cs="Arial"/>
          <w:bCs/>
          <w:sz w:val="26"/>
          <w:szCs w:val="26"/>
          <w:lang w:val="es-MX"/>
        </w:rPr>
        <w:t xml:space="preserve">su competencia para conocer y resolver </w:t>
      </w:r>
      <w:r w:rsidR="00362943" w:rsidRPr="0055611D">
        <w:rPr>
          <w:rFonts w:ascii="Arial" w:hAnsi="Arial" w:cs="Arial"/>
          <w:bCs/>
          <w:sz w:val="26"/>
          <w:szCs w:val="26"/>
          <w:lang w:val="es-MX"/>
        </w:rPr>
        <w:t xml:space="preserve">la negativa de la </w:t>
      </w:r>
      <w:r w:rsidR="00DC6460" w:rsidRPr="0055611D">
        <w:rPr>
          <w:rFonts w:ascii="Arial" w:hAnsi="Arial" w:cs="Arial"/>
          <w:bCs/>
          <w:sz w:val="26"/>
          <w:szCs w:val="26"/>
          <w:lang w:val="es-MX"/>
        </w:rPr>
        <w:t xml:space="preserve">renovación de la concesión </w:t>
      </w:r>
      <w:r w:rsidR="009F6A0B" w:rsidRPr="0055611D">
        <w:rPr>
          <w:rFonts w:ascii="Arial" w:hAnsi="Arial" w:cs="Arial"/>
          <w:bCs/>
          <w:sz w:val="26"/>
          <w:szCs w:val="26"/>
          <w:lang w:val="es-MX"/>
        </w:rPr>
        <w:t>de transporte</w:t>
      </w:r>
      <w:r w:rsidR="002008F8" w:rsidRPr="0055611D">
        <w:rPr>
          <w:rFonts w:ascii="Arial" w:hAnsi="Arial" w:cs="Arial"/>
          <w:bCs/>
          <w:sz w:val="26"/>
          <w:szCs w:val="26"/>
          <w:lang w:val="es-MX"/>
        </w:rPr>
        <w:t xml:space="preserve"> la cual no se desprende de los </w:t>
      </w:r>
      <w:r w:rsidR="00DC6460" w:rsidRPr="0055611D">
        <w:rPr>
          <w:rFonts w:ascii="Arial" w:hAnsi="Arial" w:cs="Arial"/>
          <w:bCs/>
          <w:sz w:val="26"/>
          <w:szCs w:val="26"/>
          <w:lang w:val="es-MX"/>
        </w:rPr>
        <w:t>artículos 6 y 23 de la Ley Orgánica del Poder Ejecutivo del Estado de Oaxaca</w:t>
      </w:r>
      <w:r w:rsidR="00D769B0" w:rsidRPr="0055611D">
        <w:rPr>
          <w:rFonts w:ascii="Arial" w:hAnsi="Arial" w:cs="Arial"/>
          <w:bCs/>
          <w:sz w:val="26"/>
          <w:szCs w:val="26"/>
          <w:lang w:val="es-MX"/>
        </w:rPr>
        <w:t>,</w:t>
      </w:r>
      <w:r w:rsidR="00153239" w:rsidRPr="0055611D">
        <w:rPr>
          <w:rFonts w:ascii="Arial" w:hAnsi="Arial" w:cs="Arial"/>
          <w:bCs/>
          <w:sz w:val="26"/>
          <w:szCs w:val="26"/>
          <w:lang w:val="es-MX"/>
        </w:rPr>
        <w:t xml:space="preserve"> para ello citó la Jurisprudencia de rubro </w:t>
      </w:r>
      <w:r w:rsidR="00DC6460" w:rsidRPr="0055611D">
        <w:rPr>
          <w:rFonts w:ascii="Arial" w:eastAsia="Calibri" w:hAnsi="Arial" w:cs="Arial"/>
          <w:bCs/>
          <w:i/>
          <w:sz w:val="26"/>
          <w:szCs w:val="26"/>
        </w:rPr>
        <w:t>“COMPETENCIA</w:t>
      </w:r>
      <w:r w:rsidR="001407EE" w:rsidRPr="0055611D">
        <w:rPr>
          <w:rFonts w:ascii="Arial" w:eastAsia="Calibri" w:hAnsi="Arial" w:cs="Arial"/>
          <w:bCs/>
          <w:i/>
          <w:sz w:val="26"/>
          <w:szCs w:val="26"/>
        </w:rPr>
        <w:t>.</w:t>
      </w:r>
      <w:r w:rsidR="00DC6460" w:rsidRPr="0055611D">
        <w:rPr>
          <w:rFonts w:ascii="Arial" w:eastAsia="Calibri" w:hAnsi="Arial" w:cs="Arial"/>
          <w:bCs/>
          <w:i/>
          <w:sz w:val="26"/>
          <w:szCs w:val="26"/>
        </w:rPr>
        <w:t xml:space="preserve"> SU FUNDAMENT</w:t>
      </w:r>
      <w:r w:rsidR="001407EE" w:rsidRPr="0055611D">
        <w:rPr>
          <w:rFonts w:ascii="Arial" w:eastAsia="Calibri" w:hAnsi="Arial" w:cs="Arial"/>
          <w:bCs/>
          <w:i/>
          <w:sz w:val="26"/>
          <w:szCs w:val="26"/>
        </w:rPr>
        <w:t>ACIÓN</w:t>
      </w:r>
      <w:r w:rsidR="00DC6460" w:rsidRPr="0055611D">
        <w:rPr>
          <w:rFonts w:ascii="Arial" w:eastAsia="Calibri" w:hAnsi="Arial" w:cs="Arial"/>
          <w:bCs/>
          <w:i/>
          <w:sz w:val="26"/>
          <w:szCs w:val="26"/>
        </w:rPr>
        <w:t xml:space="preserve"> ES REQUISITO ESENCIAL DEL ACTO DE AUTORIDAD”</w:t>
      </w:r>
      <w:r w:rsidR="00153239" w:rsidRPr="0055611D">
        <w:rPr>
          <w:rFonts w:ascii="Arial" w:eastAsia="Calibri" w:hAnsi="Arial" w:cs="Arial"/>
          <w:bCs/>
          <w:sz w:val="26"/>
          <w:szCs w:val="26"/>
        </w:rPr>
        <w:t>.</w:t>
      </w:r>
    </w:p>
    <w:p w:rsidR="00D25C87" w:rsidRPr="0055611D" w:rsidRDefault="00D25C87" w:rsidP="00DC6460">
      <w:pPr>
        <w:pStyle w:val="Sinespaciado"/>
        <w:spacing w:line="360" w:lineRule="auto"/>
        <w:jc w:val="both"/>
        <w:rPr>
          <w:rFonts w:ascii="Arial" w:eastAsia="Calibri" w:hAnsi="Arial" w:cs="Arial"/>
          <w:bCs/>
          <w:sz w:val="26"/>
          <w:szCs w:val="26"/>
        </w:rPr>
      </w:pPr>
    </w:p>
    <w:p w:rsidR="00550EDF" w:rsidRPr="0055611D" w:rsidRDefault="00DC6460" w:rsidP="00DC6460">
      <w:pPr>
        <w:pStyle w:val="Sinespaciado"/>
        <w:spacing w:line="360" w:lineRule="auto"/>
        <w:jc w:val="both"/>
        <w:rPr>
          <w:rFonts w:ascii="Arial" w:eastAsia="Calibri" w:hAnsi="Arial" w:cs="Arial"/>
          <w:bCs/>
          <w:sz w:val="26"/>
          <w:szCs w:val="26"/>
        </w:rPr>
      </w:pPr>
      <w:r w:rsidRPr="0055611D">
        <w:rPr>
          <w:rFonts w:ascii="Arial" w:eastAsia="Calibri" w:hAnsi="Arial" w:cs="Arial"/>
          <w:bCs/>
          <w:sz w:val="26"/>
          <w:szCs w:val="26"/>
        </w:rPr>
        <w:t xml:space="preserve">      </w:t>
      </w:r>
      <w:r w:rsidR="00D87713" w:rsidRPr="0055611D">
        <w:rPr>
          <w:rFonts w:ascii="Arial" w:eastAsia="Calibri" w:hAnsi="Arial" w:cs="Arial"/>
          <w:bCs/>
          <w:sz w:val="26"/>
          <w:szCs w:val="26"/>
        </w:rPr>
        <w:t xml:space="preserve">En </w:t>
      </w:r>
      <w:r w:rsidR="00D40574" w:rsidRPr="0055611D">
        <w:rPr>
          <w:rFonts w:ascii="Arial" w:eastAsia="Calibri" w:hAnsi="Arial" w:cs="Arial"/>
          <w:bCs/>
          <w:sz w:val="26"/>
          <w:szCs w:val="26"/>
        </w:rPr>
        <w:t xml:space="preserve">relación al análisis de la resolución emitida por la autoridad administrativa en cumplimiento a la ejecutoria </w:t>
      </w:r>
      <w:r w:rsidR="000D5620" w:rsidRPr="0055611D">
        <w:rPr>
          <w:rFonts w:ascii="Arial" w:eastAsia="Calibri" w:hAnsi="Arial" w:cs="Arial"/>
          <w:bCs/>
          <w:sz w:val="26"/>
          <w:szCs w:val="26"/>
        </w:rPr>
        <w:t xml:space="preserve">en la </w:t>
      </w:r>
      <w:r w:rsidR="00C85096" w:rsidRPr="0055611D">
        <w:rPr>
          <w:rFonts w:ascii="Arial" w:eastAsia="Calibri" w:hAnsi="Arial" w:cs="Arial"/>
          <w:bCs/>
          <w:sz w:val="26"/>
          <w:szCs w:val="26"/>
        </w:rPr>
        <w:t xml:space="preserve">cual se </w:t>
      </w:r>
      <w:r w:rsidR="000D5620" w:rsidRPr="0055611D">
        <w:rPr>
          <w:rFonts w:ascii="Arial" w:eastAsia="Calibri" w:hAnsi="Arial" w:cs="Arial"/>
          <w:bCs/>
          <w:sz w:val="26"/>
          <w:szCs w:val="26"/>
        </w:rPr>
        <w:t xml:space="preserve">resolvió no </w:t>
      </w:r>
      <w:r w:rsidR="00631D3F" w:rsidRPr="0055611D">
        <w:rPr>
          <w:rFonts w:ascii="Arial" w:eastAsia="Calibri" w:hAnsi="Arial" w:cs="Arial"/>
          <w:bCs/>
          <w:sz w:val="26"/>
          <w:szCs w:val="26"/>
        </w:rPr>
        <w:t>ser</w:t>
      </w:r>
      <w:r w:rsidR="000D5620" w:rsidRPr="0055611D">
        <w:rPr>
          <w:rFonts w:ascii="Arial" w:eastAsia="Calibri" w:hAnsi="Arial" w:cs="Arial"/>
          <w:bCs/>
          <w:sz w:val="26"/>
          <w:szCs w:val="26"/>
        </w:rPr>
        <w:t xml:space="preserve"> </w:t>
      </w:r>
      <w:r w:rsidRPr="0055611D">
        <w:rPr>
          <w:rFonts w:ascii="Arial" w:eastAsia="Calibri" w:hAnsi="Arial" w:cs="Arial"/>
          <w:bCs/>
          <w:sz w:val="26"/>
          <w:szCs w:val="26"/>
        </w:rPr>
        <w:t xml:space="preserve">procedente la renovación del acuerdo de concesión </w:t>
      </w:r>
      <w:r w:rsidR="00B850A6" w:rsidRPr="0055611D">
        <w:rPr>
          <w:rFonts w:ascii="Arial" w:eastAsia="Calibri" w:hAnsi="Arial" w:cs="Arial"/>
          <w:bCs/>
          <w:sz w:val="26"/>
          <w:szCs w:val="26"/>
        </w:rPr>
        <w:t>14900</w:t>
      </w:r>
      <w:r w:rsidR="00DB1E6E" w:rsidRPr="0055611D">
        <w:rPr>
          <w:rFonts w:ascii="Arial" w:eastAsia="Calibri" w:hAnsi="Arial" w:cs="Arial"/>
          <w:bCs/>
          <w:sz w:val="26"/>
          <w:szCs w:val="26"/>
        </w:rPr>
        <w:t xml:space="preserve"> </w:t>
      </w:r>
      <w:r w:rsidRPr="0055611D">
        <w:rPr>
          <w:rFonts w:ascii="Arial" w:eastAsia="Calibri" w:hAnsi="Arial" w:cs="Arial"/>
          <w:bCs/>
          <w:sz w:val="26"/>
          <w:szCs w:val="26"/>
        </w:rPr>
        <w:t xml:space="preserve">de </w:t>
      </w:r>
      <w:r w:rsidR="00DB1E6E" w:rsidRPr="0055611D">
        <w:rPr>
          <w:rFonts w:ascii="Arial" w:eastAsia="Calibri" w:hAnsi="Arial" w:cs="Arial"/>
          <w:bCs/>
          <w:sz w:val="26"/>
          <w:szCs w:val="26"/>
        </w:rPr>
        <w:t>veintitrés de agosto de dos mil cuatro</w:t>
      </w:r>
      <w:r w:rsidR="00BD6339" w:rsidRPr="0055611D">
        <w:rPr>
          <w:rFonts w:ascii="Arial" w:eastAsia="Calibri" w:hAnsi="Arial" w:cs="Arial"/>
          <w:bCs/>
          <w:sz w:val="26"/>
          <w:szCs w:val="26"/>
        </w:rPr>
        <w:t>, en razón de que su vigencia de cinco años culminó el veintitrés de agosto de dos mil nueve</w:t>
      </w:r>
      <w:r w:rsidR="00EC132A" w:rsidRPr="0055611D">
        <w:rPr>
          <w:rFonts w:ascii="Arial" w:eastAsia="Calibri" w:hAnsi="Arial" w:cs="Arial"/>
          <w:bCs/>
          <w:sz w:val="26"/>
          <w:szCs w:val="26"/>
        </w:rPr>
        <w:t>, es decir caducó de pleno derecho</w:t>
      </w:r>
      <w:r w:rsidR="00270191" w:rsidRPr="0055611D">
        <w:rPr>
          <w:rFonts w:ascii="Arial" w:eastAsia="Calibri" w:hAnsi="Arial" w:cs="Arial"/>
          <w:bCs/>
          <w:sz w:val="26"/>
          <w:szCs w:val="26"/>
        </w:rPr>
        <w:t>.</w:t>
      </w:r>
    </w:p>
    <w:p w:rsidR="00550EDF" w:rsidRPr="0055611D" w:rsidRDefault="00550EDF" w:rsidP="00DC6460">
      <w:pPr>
        <w:pStyle w:val="Sinespaciado"/>
        <w:spacing w:line="360" w:lineRule="auto"/>
        <w:jc w:val="both"/>
        <w:rPr>
          <w:rFonts w:ascii="Arial" w:eastAsia="Calibri" w:hAnsi="Arial" w:cs="Arial"/>
          <w:bCs/>
          <w:sz w:val="26"/>
          <w:szCs w:val="26"/>
        </w:rPr>
      </w:pPr>
    </w:p>
    <w:p w:rsidR="00675252" w:rsidRPr="0055611D" w:rsidRDefault="005B3D24" w:rsidP="00DC6460">
      <w:pPr>
        <w:pStyle w:val="Sinespaciado"/>
        <w:spacing w:line="360" w:lineRule="auto"/>
        <w:jc w:val="both"/>
        <w:rPr>
          <w:rFonts w:ascii="Arial" w:eastAsia="Calibri" w:hAnsi="Arial" w:cs="Arial"/>
          <w:bCs/>
          <w:sz w:val="26"/>
          <w:szCs w:val="26"/>
        </w:rPr>
      </w:pPr>
      <w:r>
        <w:rPr>
          <w:noProof/>
        </w:rPr>
        <mc:AlternateContent>
          <mc:Choice Requires="wps">
            <w:drawing>
              <wp:anchor distT="0" distB="0" distL="114300" distR="114300" simplePos="0" relativeHeight="251661312" behindDoc="0" locked="0" layoutInCell="1" allowOverlap="1" wp14:anchorId="4988E968" wp14:editId="246F0F61">
                <wp:simplePos x="0" y="0"/>
                <wp:positionH relativeFrom="column">
                  <wp:posOffset>5391785</wp:posOffset>
                </wp:positionH>
                <wp:positionV relativeFrom="paragraph">
                  <wp:posOffset>2225040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B3D24" w:rsidRPr="00A6596B" w:rsidRDefault="005B3D24" w:rsidP="005B3D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4.55pt;margin-top:175.2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">
                <v:textbox>
                  <w:txbxContent>
                    <w:p w:rsidR="005B3D24" w:rsidRPr="00A6596B" w:rsidRDefault="005B3D24" w:rsidP="005B3D24">
                      <w:pPr>
                        <w:rPr>
                          <w:sz w:val="16"/>
                          <w:szCs w:val="16"/>
                        </w:rPr>
                      </w:pPr>
                      <w:r>
                        <w:rPr>
                          <w:sz w:val="16"/>
                          <w:szCs w:val="16"/>
                        </w:rPr>
                        <w:t>Datos personales protegidos por el Art. 116 de la LGTAIP y el Art. 56 de la LTAIPEO</w:t>
                      </w:r>
                    </w:p>
                  </w:txbxContent>
                </v:textbox>
              </v:shape>
            </w:pict>
          </mc:Fallback>
        </mc:AlternateContent>
      </w:r>
      <w:r w:rsidR="00550EDF" w:rsidRPr="0055611D">
        <w:rPr>
          <w:rFonts w:ascii="Arial" w:eastAsia="Calibri" w:hAnsi="Arial" w:cs="Arial"/>
          <w:bCs/>
          <w:sz w:val="26"/>
          <w:szCs w:val="26"/>
        </w:rPr>
        <w:tab/>
        <w:t>Que la primera i</w:t>
      </w:r>
      <w:r w:rsidR="00737BFF" w:rsidRPr="0055611D">
        <w:rPr>
          <w:rFonts w:ascii="Arial" w:eastAsia="Calibri" w:hAnsi="Arial" w:cs="Arial"/>
          <w:bCs/>
          <w:sz w:val="26"/>
          <w:szCs w:val="26"/>
        </w:rPr>
        <w:t xml:space="preserve">nstancia </w:t>
      </w:r>
      <w:r w:rsidR="00DC6460" w:rsidRPr="0055611D">
        <w:rPr>
          <w:rFonts w:ascii="Arial" w:eastAsia="Calibri" w:hAnsi="Arial" w:cs="Arial"/>
          <w:bCs/>
          <w:sz w:val="26"/>
          <w:szCs w:val="26"/>
        </w:rPr>
        <w:t>comete un grave error substancial al tener por cumplida la sentencia, en virtud de que no advierte o no quiere advertir errores substanciale</w:t>
      </w:r>
      <w:r w:rsidR="00675252" w:rsidRPr="0055611D">
        <w:rPr>
          <w:rFonts w:ascii="Arial" w:eastAsia="Calibri" w:hAnsi="Arial" w:cs="Arial"/>
          <w:bCs/>
          <w:sz w:val="26"/>
          <w:szCs w:val="26"/>
        </w:rPr>
        <w:t xml:space="preserve">s en dicha resolución ya que </w:t>
      </w:r>
      <w:r w:rsidR="00E85A64" w:rsidRPr="0055611D">
        <w:rPr>
          <w:rFonts w:ascii="Arial" w:eastAsia="Calibri" w:hAnsi="Arial" w:cs="Arial"/>
          <w:bCs/>
          <w:sz w:val="26"/>
          <w:szCs w:val="26"/>
        </w:rPr>
        <w:t>el dieciséis y veintiocho de julio de dos mil nueve</w:t>
      </w:r>
      <w:r w:rsidR="003A5B01" w:rsidRPr="0055611D">
        <w:rPr>
          <w:rFonts w:ascii="Arial" w:eastAsia="Calibri" w:hAnsi="Arial" w:cs="Arial"/>
          <w:bCs/>
          <w:sz w:val="26"/>
          <w:szCs w:val="26"/>
        </w:rPr>
        <w:t>,</w:t>
      </w:r>
      <w:r w:rsidR="00E85A64" w:rsidRPr="0055611D">
        <w:rPr>
          <w:rFonts w:ascii="Arial" w:eastAsia="Calibri" w:hAnsi="Arial" w:cs="Arial"/>
          <w:bCs/>
          <w:sz w:val="26"/>
          <w:szCs w:val="26"/>
        </w:rPr>
        <w:t xml:space="preserve"> solicitó </w:t>
      </w:r>
      <w:r w:rsidR="002573B6" w:rsidRPr="0055611D">
        <w:rPr>
          <w:rFonts w:ascii="Arial" w:eastAsia="Calibri" w:hAnsi="Arial" w:cs="Arial"/>
          <w:bCs/>
          <w:sz w:val="26"/>
          <w:szCs w:val="26"/>
        </w:rPr>
        <w:t>la renovación de su concesión ante la Coordinación de Transporte</w:t>
      </w:r>
      <w:r w:rsidR="00964DC6" w:rsidRPr="0055611D">
        <w:rPr>
          <w:rFonts w:ascii="Arial" w:eastAsia="Calibri" w:hAnsi="Arial" w:cs="Arial"/>
          <w:bCs/>
          <w:sz w:val="26"/>
          <w:szCs w:val="26"/>
        </w:rPr>
        <w:t xml:space="preserve"> en el Estado y ante la Supervis</w:t>
      </w:r>
      <w:r w:rsidR="002573B6" w:rsidRPr="0055611D">
        <w:rPr>
          <w:rFonts w:ascii="Arial" w:eastAsia="Calibri" w:hAnsi="Arial" w:cs="Arial"/>
          <w:bCs/>
          <w:sz w:val="26"/>
          <w:szCs w:val="26"/>
        </w:rPr>
        <w:t>ión Regional</w:t>
      </w:r>
      <w:r w:rsidR="00964DC6" w:rsidRPr="0055611D">
        <w:rPr>
          <w:rFonts w:ascii="Arial" w:eastAsia="Calibri" w:hAnsi="Arial" w:cs="Arial"/>
          <w:bCs/>
          <w:sz w:val="26"/>
          <w:szCs w:val="26"/>
        </w:rPr>
        <w:t xml:space="preserve"> </w:t>
      </w:r>
      <w:r w:rsidR="00970623" w:rsidRPr="0055611D">
        <w:rPr>
          <w:rFonts w:ascii="Arial" w:eastAsia="Calibri" w:hAnsi="Arial" w:cs="Arial"/>
          <w:bCs/>
          <w:sz w:val="26"/>
          <w:szCs w:val="26"/>
        </w:rPr>
        <w:t xml:space="preserve">de Tránsito del Estado Delegación </w:t>
      </w:r>
      <w:r w:rsidR="00F13CC7" w:rsidRPr="0055611D">
        <w:rPr>
          <w:rFonts w:ascii="Arial" w:eastAsia="Calibri" w:hAnsi="Arial" w:cs="Arial"/>
          <w:bCs/>
          <w:sz w:val="26"/>
          <w:szCs w:val="26"/>
        </w:rPr>
        <w:t xml:space="preserve">dieciocho </w:t>
      </w:r>
      <w:proofErr w:type="spellStart"/>
      <w:r w:rsidR="00F13CC7" w:rsidRPr="0055611D">
        <w:rPr>
          <w:rFonts w:ascii="Arial" w:eastAsia="Calibri" w:hAnsi="Arial" w:cs="Arial"/>
          <w:bCs/>
          <w:sz w:val="26"/>
          <w:szCs w:val="26"/>
        </w:rPr>
        <w:t>Huaju</w:t>
      </w:r>
      <w:r w:rsidR="00C27692" w:rsidRPr="0055611D">
        <w:rPr>
          <w:rFonts w:ascii="Arial" w:eastAsia="Calibri" w:hAnsi="Arial" w:cs="Arial"/>
          <w:bCs/>
          <w:sz w:val="26"/>
          <w:szCs w:val="26"/>
        </w:rPr>
        <w:t>a</w:t>
      </w:r>
      <w:r w:rsidR="00F13CC7" w:rsidRPr="0055611D">
        <w:rPr>
          <w:rFonts w:ascii="Arial" w:eastAsia="Calibri" w:hAnsi="Arial" w:cs="Arial"/>
          <w:bCs/>
          <w:sz w:val="26"/>
          <w:szCs w:val="26"/>
        </w:rPr>
        <w:t>pan</w:t>
      </w:r>
      <w:proofErr w:type="spellEnd"/>
      <w:r w:rsidR="00F13CC7" w:rsidRPr="0055611D">
        <w:rPr>
          <w:rFonts w:ascii="Arial" w:eastAsia="Calibri" w:hAnsi="Arial" w:cs="Arial"/>
          <w:bCs/>
          <w:sz w:val="26"/>
          <w:szCs w:val="26"/>
        </w:rPr>
        <w:t xml:space="preserve"> de León, </w:t>
      </w:r>
      <w:r w:rsidR="00970623" w:rsidRPr="0055611D">
        <w:rPr>
          <w:rFonts w:ascii="Arial" w:eastAsia="Calibri" w:hAnsi="Arial" w:cs="Arial"/>
          <w:bCs/>
          <w:sz w:val="26"/>
          <w:szCs w:val="26"/>
        </w:rPr>
        <w:t>Oaxaca</w:t>
      </w:r>
      <w:r w:rsidR="007C62C8" w:rsidRPr="0055611D">
        <w:rPr>
          <w:rFonts w:ascii="Arial" w:eastAsia="Calibri" w:hAnsi="Arial" w:cs="Arial"/>
          <w:bCs/>
          <w:sz w:val="26"/>
          <w:szCs w:val="26"/>
        </w:rPr>
        <w:t xml:space="preserve"> de acuerdo al artículo 10, fracción IV, de la Ley de Tránsito Reformada y su Reglamento vigente al momento de la petición</w:t>
      </w:r>
      <w:r w:rsidR="00AE7F6A" w:rsidRPr="0055611D">
        <w:rPr>
          <w:rFonts w:ascii="Arial" w:eastAsia="Calibri" w:hAnsi="Arial" w:cs="Arial"/>
          <w:bCs/>
          <w:sz w:val="26"/>
          <w:szCs w:val="26"/>
        </w:rPr>
        <w:t xml:space="preserve">; es decir antes </w:t>
      </w:r>
      <w:r w:rsidR="002D46E3" w:rsidRPr="0055611D">
        <w:rPr>
          <w:rFonts w:ascii="Arial" w:eastAsia="Calibri" w:hAnsi="Arial" w:cs="Arial"/>
          <w:bCs/>
          <w:sz w:val="26"/>
          <w:szCs w:val="26"/>
        </w:rPr>
        <w:t xml:space="preserve">de que operara la caducidad </w:t>
      </w:r>
      <w:r w:rsidR="00AE7F6A" w:rsidRPr="0055611D">
        <w:rPr>
          <w:rFonts w:ascii="Arial" w:eastAsia="Calibri" w:hAnsi="Arial" w:cs="Arial"/>
          <w:bCs/>
          <w:sz w:val="26"/>
          <w:szCs w:val="26"/>
        </w:rPr>
        <w:t>el veintitrés de agosto</w:t>
      </w:r>
      <w:r w:rsidR="003A574B" w:rsidRPr="0055611D">
        <w:rPr>
          <w:rFonts w:ascii="Arial" w:eastAsia="Calibri" w:hAnsi="Arial" w:cs="Arial"/>
          <w:bCs/>
          <w:sz w:val="26"/>
          <w:szCs w:val="26"/>
        </w:rPr>
        <w:t xml:space="preserve"> de dos mil nueve</w:t>
      </w:r>
      <w:r w:rsidR="00620527" w:rsidRPr="0055611D">
        <w:rPr>
          <w:rFonts w:ascii="Arial" w:eastAsia="Calibri" w:hAnsi="Arial" w:cs="Arial"/>
          <w:bCs/>
          <w:sz w:val="26"/>
          <w:szCs w:val="26"/>
        </w:rPr>
        <w:t>.</w:t>
      </w:r>
      <w:r w:rsidR="002573B6" w:rsidRPr="0055611D">
        <w:rPr>
          <w:rFonts w:ascii="Arial" w:eastAsia="Calibri" w:hAnsi="Arial" w:cs="Arial"/>
          <w:bCs/>
          <w:sz w:val="26"/>
          <w:szCs w:val="26"/>
        </w:rPr>
        <w:t xml:space="preserve"> </w:t>
      </w:r>
    </w:p>
    <w:p w:rsidR="00675252" w:rsidRPr="0055611D" w:rsidRDefault="00675252" w:rsidP="00DC6460">
      <w:pPr>
        <w:pStyle w:val="Sinespaciado"/>
        <w:spacing w:line="360" w:lineRule="auto"/>
        <w:jc w:val="both"/>
        <w:rPr>
          <w:rFonts w:ascii="Arial" w:eastAsia="Calibri" w:hAnsi="Arial" w:cs="Arial"/>
          <w:bCs/>
          <w:sz w:val="26"/>
          <w:szCs w:val="26"/>
        </w:rPr>
      </w:pPr>
    </w:p>
    <w:p w:rsidR="009300F9" w:rsidRPr="0055611D" w:rsidRDefault="00DC6460" w:rsidP="00660AAC">
      <w:pPr>
        <w:pStyle w:val="Sinespaciado"/>
        <w:spacing w:line="360" w:lineRule="auto"/>
        <w:jc w:val="both"/>
        <w:rPr>
          <w:rFonts w:ascii="Arial" w:eastAsia="Calibri" w:hAnsi="Arial" w:cs="Arial"/>
          <w:bCs/>
          <w:sz w:val="26"/>
          <w:szCs w:val="26"/>
        </w:rPr>
      </w:pPr>
      <w:r w:rsidRPr="0055611D">
        <w:rPr>
          <w:rFonts w:ascii="Arial" w:eastAsia="Calibri" w:hAnsi="Arial" w:cs="Arial"/>
          <w:bCs/>
          <w:sz w:val="26"/>
          <w:szCs w:val="26"/>
          <w:lang w:val="es-MX"/>
        </w:rPr>
        <w:t xml:space="preserve">       </w:t>
      </w:r>
      <w:r w:rsidR="00DD1D94" w:rsidRPr="0055611D">
        <w:rPr>
          <w:rFonts w:ascii="Arial" w:eastAsia="Calibri" w:hAnsi="Arial" w:cs="Arial"/>
          <w:bCs/>
          <w:sz w:val="26"/>
          <w:szCs w:val="26"/>
          <w:lang w:val="es-MX"/>
        </w:rPr>
        <w:t xml:space="preserve">Son </w:t>
      </w:r>
      <w:r w:rsidR="00DD1D94" w:rsidRPr="0055611D">
        <w:rPr>
          <w:rFonts w:ascii="Arial" w:eastAsia="Calibri" w:hAnsi="Arial" w:cs="Arial"/>
          <w:b/>
          <w:bCs/>
          <w:sz w:val="26"/>
          <w:szCs w:val="26"/>
          <w:lang w:val="es-MX"/>
        </w:rPr>
        <w:t>in</w:t>
      </w:r>
      <w:r w:rsidR="004F2E99" w:rsidRPr="0055611D">
        <w:rPr>
          <w:rFonts w:ascii="Arial" w:eastAsia="Calibri" w:hAnsi="Arial" w:cs="Arial"/>
          <w:b/>
          <w:bCs/>
          <w:sz w:val="26"/>
          <w:szCs w:val="26"/>
          <w:lang w:val="es-MX"/>
        </w:rPr>
        <w:t xml:space="preserve">operantes </w:t>
      </w:r>
      <w:r w:rsidR="00B92B49" w:rsidRPr="0055611D">
        <w:rPr>
          <w:rFonts w:ascii="Arial" w:eastAsia="Calibri" w:hAnsi="Arial" w:cs="Arial"/>
          <w:bCs/>
          <w:sz w:val="26"/>
          <w:szCs w:val="26"/>
          <w:lang w:val="es-MX"/>
        </w:rPr>
        <w:t xml:space="preserve">sus agravios, </w:t>
      </w:r>
      <w:r w:rsidRPr="0055611D">
        <w:rPr>
          <w:rFonts w:ascii="Arial" w:eastAsia="Calibri" w:hAnsi="Arial" w:cs="Arial"/>
          <w:bCs/>
          <w:sz w:val="26"/>
          <w:szCs w:val="26"/>
        </w:rPr>
        <w:t xml:space="preserve">porque está controvirtiendo </w:t>
      </w:r>
      <w:r w:rsidR="00FB31EE" w:rsidRPr="0055611D">
        <w:rPr>
          <w:rFonts w:ascii="Arial" w:eastAsia="Calibri" w:hAnsi="Arial" w:cs="Arial"/>
          <w:bCs/>
          <w:sz w:val="26"/>
          <w:szCs w:val="26"/>
        </w:rPr>
        <w:t>la</w:t>
      </w:r>
      <w:r w:rsidRPr="0055611D">
        <w:rPr>
          <w:rFonts w:ascii="Arial" w:eastAsia="Calibri" w:hAnsi="Arial" w:cs="Arial"/>
          <w:bCs/>
          <w:sz w:val="26"/>
          <w:szCs w:val="26"/>
        </w:rPr>
        <w:t xml:space="preserve"> nueva determinación de la autoridad demandada y el recurso de revisión no es la vía legal para hacerlo, </w:t>
      </w:r>
      <w:r w:rsidR="00386FE5" w:rsidRPr="0055611D">
        <w:rPr>
          <w:rFonts w:ascii="Arial" w:eastAsia="Calibri" w:hAnsi="Arial" w:cs="Arial"/>
          <w:bCs/>
          <w:sz w:val="26"/>
          <w:szCs w:val="26"/>
        </w:rPr>
        <w:t xml:space="preserve">al ser este </w:t>
      </w:r>
      <w:r w:rsidRPr="0055611D">
        <w:rPr>
          <w:rFonts w:ascii="Arial" w:eastAsia="Calibri" w:hAnsi="Arial" w:cs="Arial"/>
          <w:bCs/>
          <w:sz w:val="26"/>
          <w:szCs w:val="26"/>
        </w:rPr>
        <w:t xml:space="preserve">un medio de defensa que tiene por objetivo analizar si la actuación de la jurisdicción en primera instancia es legal y no corresponde un análisis sobre un acto distinto que no formó parte de la </w:t>
      </w:r>
      <w:proofErr w:type="spellStart"/>
      <w:r w:rsidRPr="0055611D">
        <w:rPr>
          <w:rFonts w:ascii="Arial" w:eastAsia="Calibri" w:hAnsi="Arial" w:cs="Arial"/>
          <w:bCs/>
          <w:sz w:val="26"/>
          <w:szCs w:val="26"/>
        </w:rPr>
        <w:t>litis</w:t>
      </w:r>
      <w:proofErr w:type="spellEnd"/>
      <w:r w:rsidRPr="0055611D">
        <w:rPr>
          <w:rFonts w:ascii="Arial" w:eastAsia="Calibri" w:hAnsi="Arial" w:cs="Arial"/>
          <w:bCs/>
          <w:sz w:val="26"/>
          <w:szCs w:val="26"/>
        </w:rPr>
        <w:t xml:space="preserve"> sometida a la consideración de la sala primigenia.</w:t>
      </w:r>
    </w:p>
    <w:p w:rsidR="000D5A35" w:rsidRPr="0055611D" w:rsidRDefault="000D5A35" w:rsidP="009300F9">
      <w:pPr>
        <w:pStyle w:val="Sinespaciado"/>
        <w:spacing w:line="360" w:lineRule="auto"/>
        <w:ind w:firstLine="708"/>
        <w:jc w:val="both"/>
        <w:rPr>
          <w:rFonts w:ascii="Arial" w:eastAsia="Calibri" w:hAnsi="Arial" w:cs="Arial"/>
          <w:bCs/>
          <w:sz w:val="26"/>
          <w:szCs w:val="26"/>
        </w:rPr>
      </w:pPr>
    </w:p>
    <w:p w:rsidR="001B0DC0" w:rsidRPr="0055611D" w:rsidRDefault="00CC1211" w:rsidP="009300F9">
      <w:pPr>
        <w:pStyle w:val="Sinespaciado"/>
        <w:spacing w:line="360" w:lineRule="auto"/>
        <w:ind w:firstLine="708"/>
        <w:jc w:val="both"/>
        <w:rPr>
          <w:rFonts w:ascii="Arial" w:eastAsia="Calibri" w:hAnsi="Arial" w:cs="Arial"/>
          <w:bCs/>
          <w:sz w:val="26"/>
          <w:szCs w:val="26"/>
        </w:rPr>
      </w:pPr>
      <w:r w:rsidRPr="0055611D">
        <w:rPr>
          <w:rFonts w:ascii="Arial" w:eastAsia="Calibri" w:hAnsi="Arial" w:cs="Arial"/>
          <w:bCs/>
          <w:sz w:val="26"/>
          <w:szCs w:val="26"/>
        </w:rPr>
        <w:lastRenderedPageBreak/>
        <w:t xml:space="preserve">Además </w:t>
      </w:r>
      <w:r w:rsidR="00BB5AAF" w:rsidRPr="0055611D">
        <w:rPr>
          <w:rFonts w:ascii="Arial" w:eastAsia="Calibri" w:hAnsi="Arial" w:cs="Arial"/>
          <w:bCs/>
          <w:sz w:val="26"/>
          <w:szCs w:val="26"/>
        </w:rPr>
        <w:t xml:space="preserve">en el presente caso </w:t>
      </w:r>
      <w:r w:rsidR="006578D8" w:rsidRPr="0055611D">
        <w:rPr>
          <w:rFonts w:ascii="Arial" w:eastAsia="Calibri" w:hAnsi="Arial" w:cs="Arial"/>
          <w:bCs/>
          <w:sz w:val="26"/>
          <w:szCs w:val="26"/>
        </w:rPr>
        <w:t xml:space="preserve">combate </w:t>
      </w:r>
      <w:r w:rsidR="00D310C2" w:rsidRPr="0055611D">
        <w:rPr>
          <w:rFonts w:ascii="Arial" w:eastAsia="Calibri" w:hAnsi="Arial" w:cs="Arial"/>
          <w:bCs/>
          <w:sz w:val="26"/>
          <w:szCs w:val="26"/>
        </w:rPr>
        <w:t xml:space="preserve">el fondo de la resolución </w:t>
      </w:r>
      <w:r w:rsidR="00A26C64" w:rsidRPr="0055611D">
        <w:rPr>
          <w:rFonts w:ascii="Arial" w:eastAsia="Calibri" w:hAnsi="Arial" w:cs="Arial"/>
          <w:bCs/>
          <w:sz w:val="26"/>
          <w:szCs w:val="26"/>
        </w:rPr>
        <w:t>materia del cumplimiento</w:t>
      </w:r>
      <w:r w:rsidR="00DE1194" w:rsidRPr="0055611D">
        <w:rPr>
          <w:rFonts w:ascii="Arial" w:eastAsia="Calibri" w:hAnsi="Arial" w:cs="Arial"/>
          <w:bCs/>
          <w:sz w:val="26"/>
          <w:szCs w:val="26"/>
        </w:rPr>
        <w:t xml:space="preserve"> lo cual no forma parte de los lineamientos de la ejecutoria</w:t>
      </w:r>
      <w:r w:rsidR="00DC6460" w:rsidRPr="0055611D">
        <w:rPr>
          <w:rFonts w:ascii="Arial" w:eastAsia="Calibri" w:hAnsi="Arial" w:cs="Arial"/>
          <w:bCs/>
          <w:sz w:val="26"/>
          <w:szCs w:val="26"/>
        </w:rPr>
        <w:t xml:space="preserve">. </w:t>
      </w:r>
    </w:p>
    <w:p w:rsidR="000D5A35" w:rsidRPr="0055611D" w:rsidRDefault="000D5A35" w:rsidP="009300F9">
      <w:pPr>
        <w:pStyle w:val="Sinespaciado"/>
        <w:spacing w:line="360" w:lineRule="auto"/>
        <w:ind w:firstLine="708"/>
        <w:jc w:val="both"/>
        <w:rPr>
          <w:rFonts w:ascii="Arial" w:eastAsia="Calibri" w:hAnsi="Arial" w:cs="Arial"/>
          <w:bCs/>
          <w:sz w:val="26"/>
          <w:szCs w:val="26"/>
        </w:rPr>
      </w:pPr>
    </w:p>
    <w:p w:rsidR="00DC6460" w:rsidRPr="0055611D" w:rsidRDefault="00DC6460" w:rsidP="009300F9">
      <w:pPr>
        <w:pStyle w:val="Sinespaciado"/>
        <w:spacing w:line="360" w:lineRule="auto"/>
        <w:ind w:firstLine="708"/>
        <w:jc w:val="both"/>
        <w:rPr>
          <w:rFonts w:ascii="Arial" w:hAnsi="Arial" w:cs="Arial"/>
          <w:sz w:val="26"/>
          <w:szCs w:val="26"/>
        </w:rPr>
      </w:pPr>
      <w:r w:rsidRPr="0055611D">
        <w:rPr>
          <w:rFonts w:ascii="Arial" w:eastAsia="Calibri" w:hAnsi="Arial" w:cs="Arial"/>
          <w:bCs/>
          <w:sz w:val="26"/>
          <w:szCs w:val="26"/>
        </w:rPr>
        <w:t xml:space="preserve">Estas consideraciones encuentran apoyo en la jurisprudencia </w:t>
      </w:r>
      <w:r w:rsidRPr="0055611D">
        <w:rPr>
          <w:rFonts w:ascii="Arial" w:hAnsi="Arial" w:cs="Arial"/>
          <w:sz w:val="26"/>
          <w:szCs w:val="26"/>
        </w:rPr>
        <w:t xml:space="preserve">1a./J. 121/2013 (10a.) de la Primera Sala pronunciada en la décima época, y publicada en la Gaceta del Semanario Judicial de la Federación, en el Libro 2 de enero de 2014, bajo el tomo II, y consultable a página 786, bajo el rubro y texto siguientes: </w:t>
      </w:r>
    </w:p>
    <w:p w:rsidR="00DC6460" w:rsidRPr="0055611D" w:rsidRDefault="00DC6460" w:rsidP="00DC6460">
      <w:pPr>
        <w:rPr>
          <w:rFonts w:ascii="Arial" w:hAnsi="Arial" w:cs="Arial"/>
          <w:sz w:val="26"/>
          <w:szCs w:val="26"/>
        </w:rPr>
      </w:pPr>
    </w:p>
    <w:p w:rsidR="00DC6460" w:rsidRPr="0055611D" w:rsidRDefault="00DC6460" w:rsidP="006A2574">
      <w:pPr>
        <w:spacing w:line="240" w:lineRule="auto"/>
        <w:ind w:left="851" w:right="618"/>
        <w:jc w:val="both"/>
        <w:rPr>
          <w:rFonts w:ascii="Arial" w:hAnsi="Arial" w:cs="Arial"/>
          <w:i/>
        </w:rPr>
      </w:pPr>
      <w:r w:rsidRPr="0055611D">
        <w:rPr>
          <w:rFonts w:ascii="Arial" w:hAnsi="Arial" w:cs="Arial"/>
          <w:i/>
        </w:rPr>
        <w:t>“</w:t>
      </w:r>
      <w:r w:rsidRPr="0055611D">
        <w:rPr>
          <w:rFonts w:ascii="Arial" w:hAnsi="Arial" w:cs="Arial"/>
          <w:b/>
          <w:i/>
        </w:rPr>
        <w:t>RECURSO DE INCONFORMIDAD. SON INOPERANTES LOS AGRAVIOS QUE NO CONTROVIERTEN LO RESUELTO POR EL ÓRGANO DE AMPARO EN RELACIÓN CON EL CUMPLIMIENTO DEL FALLO PROTECTOR.</w:t>
      </w:r>
      <w:r w:rsidRPr="0055611D">
        <w:rPr>
          <w:rFonts w:ascii="Arial" w:hAnsi="Arial" w:cs="Arial"/>
          <w:i/>
        </w:rPr>
        <w:t xml:space="preserve"> El hecho de que el artículo 196 de la Ley de Amparo, publicada en el Diario Oficial de la Federación el 2 de abril de 2013, establezca que la ejecutoria de amparo se entiende cumplida cuando lo sea en su totalidad, sin excesos ni defectos, no implica el estudio de aspectos que no fueron materia de análisis en el juicio de amparo, sino exclusivamente del exacto cumplimiento de las cuestiones que sí lo fueron, concretamente, de aquellas que dieron lugar a la concesión de la protección de la Justicia Federal. Por tanto, los agravios expuestos en el recurso de inconformidad resultan inoperantes cuando no controvierten lo resuelto por el órgano de amparo en relación con el cumplimiento del fallo dictado en el juicio, sino la forma en que la autoridad responsable cumplió con la sentencia protectora, con la pretensión de analizar aspectos ajenos a la materia del recurso de inconformidad hecho valer.”</w:t>
      </w:r>
    </w:p>
    <w:p w:rsidR="00DC6460" w:rsidRPr="0055611D" w:rsidRDefault="00DC6460" w:rsidP="00DC6460">
      <w:pPr>
        <w:pStyle w:val="Sinespaciado"/>
        <w:spacing w:line="360" w:lineRule="auto"/>
        <w:ind w:firstLine="705"/>
        <w:jc w:val="both"/>
        <w:rPr>
          <w:rFonts w:ascii="Arial" w:eastAsia="Calibri" w:hAnsi="Arial" w:cs="Arial"/>
          <w:bCs/>
          <w:sz w:val="26"/>
          <w:szCs w:val="26"/>
          <w:lang w:val="es-MX"/>
        </w:rPr>
      </w:pPr>
    </w:p>
    <w:p w:rsidR="00DC6460" w:rsidRPr="0055611D" w:rsidRDefault="00283DC0" w:rsidP="0079730E">
      <w:pPr>
        <w:pStyle w:val="Sinespaciado"/>
        <w:spacing w:line="360" w:lineRule="auto"/>
        <w:ind w:firstLine="705"/>
        <w:jc w:val="both"/>
        <w:rPr>
          <w:rFonts w:ascii="Arial" w:eastAsia="Calibri" w:hAnsi="Arial" w:cs="Arial"/>
          <w:bCs/>
          <w:sz w:val="26"/>
          <w:szCs w:val="26"/>
          <w:lang w:val="es-MX"/>
        </w:rPr>
      </w:pPr>
      <w:r w:rsidRPr="0055611D">
        <w:rPr>
          <w:rFonts w:ascii="Arial" w:eastAsia="Calibri" w:hAnsi="Arial" w:cs="Arial"/>
          <w:bCs/>
          <w:sz w:val="26"/>
          <w:szCs w:val="26"/>
          <w:lang w:val="es-MX"/>
        </w:rPr>
        <w:t>Por</w:t>
      </w:r>
      <w:r w:rsidR="00DC6460" w:rsidRPr="0055611D">
        <w:rPr>
          <w:rFonts w:ascii="Arial" w:eastAsia="Calibri" w:hAnsi="Arial" w:cs="Arial"/>
          <w:b/>
          <w:bCs/>
          <w:sz w:val="26"/>
          <w:szCs w:val="26"/>
          <w:lang w:val="es-MX"/>
        </w:rPr>
        <w:t xml:space="preserve"> </w:t>
      </w:r>
      <w:r w:rsidR="00DC6460" w:rsidRPr="0055611D">
        <w:rPr>
          <w:rFonts w:ascii="Arial" w:eastAsia="Calibri" w:hAnsi="Arial" w:cs="Arial"/>
          <w:bCs/>
          <w:sz w:val="26"/>
          <w:szCs w:val="26"/>
          <w:lang w:val="es-MX"/>
        </w:rPr>
        <w:t>otra parte,</w:t>
      </w:r>
      <w:r w:rsidR="00DC6460" w:rsidRPr="0055611D">
        <w:rPr>
          <w:rFonts w:ascii="Arial" w:eastAsia="Calibri" w:hAnsi="Arial" w:cs="Arial"/>
          <w:b/>
          <w:bCs/>
          <w:sz w:val="26"/>
          <w:szCs w:val="26"/>
          <w:lang w:val="es-MX"/>
        </w:rPr>
        <w:t xml:space="preserve"> </w:t>
      </w:r>
      <w:r w:rsidR="00DC6460" w:rsidRPr="0055611D">
        <w:rPr>
          <w:rFonts w:ascii="Arial" w:eastAsia="Calibri" w:hAnsi="Arial" w:cs="Arial"/>
          <w:bCs/>
          <w:sz w:val="26"/>
          <w:szCs w:val="26"/>
          <w:lang w:val="es-MX"/>
        </w:rPr>
        <w:t xml:space="preserve">indica que el gobernador no puede argumentar la caducidad de la concesión, para negar el otorgamiento de la renovación, porque de acuerdo al artículo 127 bis del </w:t>
      </w:r>
      <w:r w:rsidR="00BE715D" w:rsidRPr="0055611D">
        <w:rPr>
          <w:rFonts w:ascii="Arial" w:eastAsia="Calibri" w:hAnsi="Arial" w:cs="Arial"/>
          <w:bCs/>
          <w:sz w:val="26"/>
          <w:szCs w:val="26"/>
          <w:lang w:val="es-MX"/>
        </w:rPr>
        <w:t xml:space="preserve">Código </w:t>
      </w:r>
      <w:r w:rsidR="00DC6460" w:rsidRPr="0055611D">
        <w:rPr>
          <w:rFonts w:ascii="Arial" w:eastAsia="Calibri" w:hAnsi="Arial" w:cs="Arial"/>
          <w:bCs/>
          <w:sz w:val="26"/>
          <w:szCs w:val="26"/>
          <w:lang w:val="es-MX"/>
        </w:rPr>
        <w:t xml:space="preserve">de </w:t>
      </w:r>
      <w:r w:rsidR="00BE715D" w:rsidRPr="0055611D">
        <w:rPr>
          <w:rFonts w:ascii="Arial" w:eastAsia="Calibri" w:hAnsi="Arial" w:cs="Arial"/>
          <w:bCs/>
          <w:sz w:val="26"/>
          <w:szCs w:val="26"/>
          <w:lang w:val="es-MX"/>
        </w:rPr>
        <w:t xml:space="preserve">Procedimientos Civiles </w:t>
      </w:r>
      <w:r w:rsidR="00DC6460" w:rsidRPr="0055611D">
        <w:rPr>
          <w:rFonts w:ascii="Arial" w:eastAsia="Calibri" w:hAnsi="Arial" w:cs="Arial"/>
          <w:bCs/>
          <w:sz w:val="26"/>
          <w:szCs w:val="26"/>
          <w:lang w:val="es-MX"/>
        </w:rPr>
        <w:t xml:space="preserve">para el </w:t>
      </w:r>
      <w:r w:rsidR="004C0052" w:rsidRPr="0055611D">
        <w:rPr>
          <w:rFonts w:ascii="Arial" w:eastAsia="Calibri" w:hAnsi="Arial" w:cs="Arial"/>
          <w:bCs/>
          <w:sz w:val="26"/>
          <w:szCs w:val="26"/>
          <w:lang w:val="es-MX"/>
        </w:rPr>
        <w:t xml:space="preserve">Estado </w:t>
      </w:r>
      <w:r w:rsidR="00DC6460" w:rsidRPr="0055611D">
        <w:rPr>
          <w:rFonts w:ascii="Arial" w:eastAsia="Calibri" w:hAnsi="Arial" w:cs="Arial"/>
          <w:bCs/>
          <w:sz w:val="26"/>
          <w:szCs w:val="26"/>
          <w:lang w:val="es-MX"/>
        </w:rPr>
        <w:t xml:space="preserve">de Oaxaca aplicado supletoriamente  en materia administrativa y de acuerdo a los artículos 3 y 116 de la </w:t>
      </w:r>
      <w:r w:rsidR="00927B18" w:rsidRPr="0055611D">
        <w:rPr>
          <w:rFonts w:ascii="Arial" w:eastAsia="Calibri" w:hAnsi="Arial" w:cs="Arial"/>
          <w:bCs/>
          <w:sz w:val="26"/>
          <w:szCs w:val="26"/>
          <w:lang w:val="es-MX"/>
        </w:rPr>
        <w:t xml:space="preserve">Ley </w:t>
      </w:r>
      <w:r w:rsidR="00DC6460" w:rsidRPr="0055611D">
        <w:rPr>
          <w:rFonts w:ascii="Arial" w:eastAsia="Calibri" w:hAnsi="Arial" w:cs="Arial"/>
          <w:bCs/>
          <w:sz w:val="26"/>
          <w:szCs w:val="26"/>
          <w:lang w:val="es-MX"/>
        </w:rPr>
        <w:t xml:space="preserve">de </w:t>
      </w:r>
      <w:r w:rsidR="00927B18" w:rsidRPr="0055611D">
        <w:rPr>
          <w:rFonts w:ascii="Arial" w:eastAsia="Calibri" w:hAnsi="Arial" w:cs="Arial"/>
          <w:bCs/>
          <w:sz w:val="26"/>
          <w:szCs w:val="26"/>
          <w:lang w:val="es-MX"/>
        </w:rPr>
        <w:t xml:space="preserve">Justicia Administrativa </w:t>
      </w:r>
      <w:r w:rsidR="00DC6460" w:rsidRPr="0055611D">
        <w:rPr>
          <w:rFonts w:ascii="Arial" w:eastAsia="Calibri" w:hAnsi="Arial" w:cs="Arial"/>
          <w:bCs/>
          <w:sz w:val="26"/>
          <w:szCs w:val="26"/>
          <w:lang w:val="es-MX"/>
        </w:rPr>
        <w:t xml:space="preserve">para el </w:t>
      </w:r>
      <w:r w:rsidR="00611B50" w:rsidRPr="0055611D">
        <w:rPr>
          <w:rFonts w:ascii="Arial" w:eastAsia="Calibri" w:hAnsi="Arial" w:cs="Arial"/>
          <w:bCs/>
          <w:sz w:val="26"/>
          <w:szCs w:val="26"/>
          <w:lang w:val="es-MX"/>
        </w:rPr>
        <w:t xml:space="preserve">Estado </w:t>
      </w:r>
      <w:r w:rsidR="00DC6460" w:rsidRPr="0055611D">
        <w:rPr>
          <w:rFonts w:ascii="Arial" w:eastAsia="Calibri" w:hAnsi="Arial" w:cs="Arial"/>
          <w:bCs/>
          <w:sz w:val="26"/>
          <w:szCs w:val="26"/>
          <w:lang w:val="es-MX"/>
        </w:rPr>
        <w:t xml:space="preserve">de Oaxaca, la caducidad consiste en la existencia de un derecho cuando no se ejerza dentro de plazo establecido por la ley, entonces el plazo para solicitar la renovación de esa concesión puede realizarse dentro de los cinco años o en tanto este vigente la concesión por no existir disposición en contrario, </w:t>
      </w:r>
      <w:r w:rsidR="008F3580" w:rsidRPr="0055611D">
        <w:rPr>
          <w:rFonts w:ascii="Arial" w:eastAsia="Calibri" w:hAnsi="Arial" w:cs="Arial"/>
          <w:bCs/>
          <w:sz w:val="26"/>
          <w:szCs w:val="26"/>
          <w:lang w:val="es-MX"/>
        </w:rPr>
        <w:t xml:space="preserve">ya que al momento de presentar </w:t>
      </w:r>
      <w:r w:rsidR="00DC6460" w:rsidRPr="0055611D">
        <w:rPr>
          <w:rFonts w:ascii="Arial" w:eastAsia="Calibri" w:hAnsi="Arial" w:cs="Arial"/>
          <w:bCs/>
          <w:sz w:val="26"/>
          <w:szCs w:val="26"/>
          <w:lang w:val="es-MX"/>
        </w:rPr>
        <w:t>l</w:t>
      </w:r>
      <w:r w:rsidR="008F3580" w:rsidRPr="0055611D">
        <w:rPr>
          <w:rFonts w:ascii="Arial" w:eastAsia="Calibri" w:hAnsi="Arial" w:cs="Arial"/>
          <w:bCs/>
          <w:sz w:val="26"/>
          <w:szCs w:val="26"/>
          <w:lang w:val="es-MX"/>
        </w:rPr>
        <w:t>os</w:t>
      </w:r>
      <w:r w:rsidR="00DC6460" w:rsidRPr="0055611D">
        <w:rPr>
          <w:rFonts w:ascii="Arial" w:eastAsia="Calibri" w:hAnsi="Arial" w:cs="Arial"/>
          <w:bCs/>
          <w:sz w:val="26"/>
          <w:szCs w:val="26"/>
          <w:lang w:val="es-MX"/>
        </w:rPr>
        <w:t xml:space="preserve"> escrito</w:t>
      </w:r>
      <w:r w:rsidR="008F3580" w:rsidRPr="0055611D">
        <w:rPr>
          <w:rFonts w:ascii="Arial" w:eastAsia="Calibri" w:hAnsi="Arial" w:cs="Arial"/>
          <w:bCs/>
          <w:sz w:val="26"/>
          <w:szCs w:val="26"/>
          <w:lang w:val="es-MX"/>
        </w:rPr>
        <w:t>s</w:t>
      </w:r>
      <w:r w:rsidR="00DC6460" w:rsidRPr="0055611D">
        <w:rPr>
          <w:rFonts w:ascii="Arial" w:eastAsia="Calibri" w:hAnsi="Arial" w:cs="Arial"/>
          <w:bCs/>
          <w:sz w:val="26"/>
          <w:szCs w:val="26"/>
          <w:lang w:val="es-MX"/>
        </w:rPr>
        <w:t xml:space="preserve"> de renovación de concesión, dicha concesión estaba vigente. </w:t>
      </w:r>
    </w:p>
    <w:p w:rsidR="00DC6460" w:rsidRPr="0055611D" w:rsidRDefault="00DC6460" w:rsidP="00DC6460">
      <w:pPr>
        <w:pStyle w:val="Sinespaciado"/>
        <w:spacing w:line="360" w:lineRule="auto"/>
        <w:ind w:firstLine="705"/>
        <w:jc w:val="both"/>
        <w:rPr>
          <w:rFonts w:ascii="Arial" w:eastAsia="Calibri" w:hAnsi="Arial" w:cs="Arial"/>
          <w:bCs/>
          <w:sz w:val="26"/>
          <w:szCs w:val="26"/>
          <w:lang w:val="es-MX"/>
        </w:rPr>
      </w:pPr>
    </w:p>
    <w:p w:rsidR="00DC6460" w:rsidRPr="0055611D" w:rsidRDefault="00DC6460" w:rsidP="00DC6460">
      <w:pPr>
        <w:pStyle w:val="Sinespaciado"/>
        <w:spacing w:line="360" w:lineRule="auto"/>
        <w:ind w:firstLine="705"/>
        <w:jc w:val="both"/>
        <w:rPr>
          <w:rFonts w:ascii="Arial" w:eastAsia="Calibri" w:hAnsi="Arial" w:cs="Arial"/>
          <w:bCs/>
          <w:sz w:val="26"/>
          <w:szCs w:val="26"/>
        </w:rPr>
      </w:pPr>
      <w:r w:rsidRPr="0055611D">
        <w:rPr>
          <w:rFonts w:ascii="Arial" w:eastAsia="Calibri" w:hAnsi="Arial" w:cs="Arial"/>
          <w:bCs/>
          <w:sz w:val="26"/>
          <w:szCs w:val="26"/>
        </w:rPr>
        <w:t>Es</w:t>
      </w:r>
      <w:r w:rsidR="00C72799" w:rsidRPr="0055611D">
        <w:rPr>
          <w:rFonts w:ascii="Arial" w:eastAsia="Calibri" w:hAnsi="Arial" w:cs="Arial"/>
          <w:bCs/>
          <w:sz w:val="26"/>
          <w:szCs w:val="26"/>
        </w:rPr>
        <w:t xml:space="preserve"> </w:t>
      </w:r>
      <w:r w:rsidR="00C72799" w:rsidRPr="0055611D">
        <w:rPr>
          <w:rFonts w:ascii="Arial" w:eastAsia="Calibri" w:hAnsi="Arial" w:cs="Arial"/>
          <w:b/>
          <w:bCs/>
          <w:sz w:val="26"/>
          <w:szCs w:val="26"/>
        </w:rPr>
        <w:t>in</w:t>
      </w:r>
      <w:r w:rsidR="00B6516D" w:rsidRPr="0055611D">
        <w:rPr>
          <w:rFonts w:ascii="Arial" w:eastAsia="Calibri" w:hAnsi="Arial" w:cs="Arial"/>
          <w:b/>
          <w:bCs/>
          <w:sz w:val="26"/>
          <w:szCs w:val="26"/>
        </w:rPr>
        <w:t xml:space="preserve">operante </w:t>
      </w:r>
      <w:r w:rsidR="00C72799" w:rsidRPr="0055611D">
        <w:rPr>
          <w:rFonts w:ascii="Arial" w:eastAsia="Calibri" w:hAnsi="Arial" w:cs="Arial"/>
          <w:b/>
          <w:bCs/>
          <w:sz w:val="26"/>
          <w:szCs w:val="26"/>
        </w:rPr>
        <w:t xml:space="preserve">su agravio </w:t>
      </w:r>
      <w:r w:rsidRPr="0055611D">
        <w:rPr>
          <w:rFonts w:ascii="Arial" w:eastAsia="Calibri" w:hAnsi="Arial" w:cs="Arial"/>
          <w:bCs/>
          <w:sz w:val="26"/>
          <w:szCs w:val="26"/>
        </w:rPr>
        <w:t>porque controv</w:t>
      </w:r>
      <w:r w:rsidR="00E86C5C" w:rsidRPr="0055611D">
        <w:rPr>
          <w:rFonts w:ascii="Arial" w:eastAsia="Calibri" w:hAnsi="Arial" w:cs="Arial"/>
          <w:bCs/>
          <w:sz w:val="26"/>
          <w:szCs w:val="26"/>
        </w:rPr>
        <w:t xml:space="preserve">ierte </w:t>
      </w:r>
      <w:r w:rsidRPr="0055611D">
        <w:rPr>
          <w:rFonts w:ascii="Arial" w:eastAsia="Calibri" w:hAnsi="Arial" w:cs="Arial"/>
          <w:bCs/>
          <w:sz w:val="26"/>
          <w:szCs w:val="26"/>
        </w:rPr>
        <w:t xml:space="preserve">cuestiones que no son parte de la </w:t>
      </w:r>
      <w:proofErr w:type="spellStart"/>
      <w:r w:rsidRPr="0055611D">
        <w:rPr>
          <w:rFonts w:ascii="Arial" w:eastAsia="Calibri" w:hAnsi="Arial" w:cs="Arial"/>
          <w:bCs/>
          <w:sz w:val="26"/>
          <w:szCs w:val="26"/>
        </w:rPr>
        <w:t>litis</w:t>
      </w:r>
      <w:proofErr w:type="spellEnd"/>
      <w:r w:rsidRPr="0055611D">
        <w:rPr>
          <w:rFonts w:ascii="Arial" w:eastAsia="Calibri" w:hAnsi="Arial" w:cs="Arial"/>
          <w:bCs/>
          <w:sz w:val="26"/>
          <w:szCs w:val="26"/>
        </w:rPr>
        <w:t xml:space="preserve"> planteada en el juicio de nulidad. Es así, porque el análisis de la primera instancia versó sobre </w:t>
      </w:r>
      <w:r w:rsidR="001121E5" w:rsidRPr="0055611D">
        <w:rPr>
          <w:rFonts w:ascii="Arial" w:eastAsia="Calibri" w:hAnsi="Arial" w:cs="Arial"/>
          <w:bCs/>
          <w:sz w:val="26"/>
          <w:szCs w:val="26"/>
        </w:rPr>
        <w:t>fundamentación y motivación de su resolución</w:t>
      </w:r>
      <w:r w:rsidRPr="0055611D">
        <w:rPr>
          <w:rFonts w:ascii="Arial" w:eastAsia="Calibri" w:hAnsi="Arial" w:cs="Arial"/>
          <w:bCs/>
          <w:sz w:val="26"/>
          <w:szCs w:val="26"/>
        </w:rPr>
        <w:t>.</w:t>
      </w:r>
    </w:p>
    <w:p w:rsidR="00DC6460" w:rsidRPr="0055611D" w:rsidRDefault="00DC6460" w:rsidP="00DC6460">
      <w:pPr>
        <w:pStyle w:val="Sinespaciado"/>
        <w:spacing w:line="360" w:lineRule="auto"/>
        <w:ind w:firstLine="705"/>
        <w:jc w:val="both"/>
        <w:rPr>
          <w:rFonts w:ascii="Arial" w:eastAsia="Calibri" w:hAnsi="Arial" w:cs="Arial"/>
          <w:bCs/>
          <w:sz w:val="26"/>
          <w:szCs w:val="26"/>
        </w:rPr>
      </w:pPr>
    </w:p>
    <w:p w:rsidR="00B4126D" w:rsidRPr="0055611D" w:rsidRDefault="00BD3F58" w:rsidP="00DC6460">
      <w:pPr>
        <w:pStyle w:val="Sinespaciado"/>
        <w:spacing w:line="360" w:lineRule="auto"/>
        <w:ind w:firstLine="705"/>
        <w:jc w:val="both"/>
        <w:rPr>
          <w:rFonts w:ascii="Arial" w:eastAsia="Calibri" w:hAnsi="Arial" w:cs="Arial"/>
          <w:bCs/>
          <w:sz w:val="26"/>
          <w:szCs w:val="26"/>
        </w:rPr>
      </w:pPr>
      <w:r w:rsidRPr="0055611D">
        <w:rPr>
          <w:rFonts w:ascii="Arial" w:eastAsia="Calibri" w:hAnsi="Arial" w:cs="Arial"/>
          <w:bCs/>
          <w:sz w:val="26"/>
          <w:szCs w:val="26"/>
        </w:rPr>
        <w:t xml:space="preserve"> Así la</w:t>
      </w:r>
      <w:r w:rsidR="00DC6460" w:rsidRPr="0055611D">
        <w:rPr>
          <w:rFonts w:ascii="Arial" w:eastAsia="Calibri" w:hAnsi="Arial" w:cs="Arial"/>
          <w:bCs/>
          <w:sz w:val="26"/>
          <w:szCs w:val="26"/>
        </w:rPr>
        <w:t xml:space="preserve"> determinaci</w:t>
      </w:r>
      <w:r w:rsidRPr="0055611D">
        <w:rPr>
          <w:rFonts w:ascii="Arial" w:eastAsia="Calibri" w:hAnsi="Arial" w:cs="Arial"/>
          <w:bCs/>
          <w:sz w:val="26"/>
          <w:szCs w:val="26"/>
        </w:rPr>
        <w:t xml:space="preserve">ón </w:t>
      </w:r>
      <w:r w:rsidR="00DC6460" w:rsidRPr="0055611D">
        <w:rPr>
          <w:rFonts w:ascii="Arial" w:eastAsia="Calibri" w:hAnsi="Arial" w:cs="Arial"/>
          <w:bCs/>
          <w:sz w:val="26"/>
          <w:szCs w:val="26"/>
        </w:rPr>
        <w:t xml:space="preserve">del Gobernador </w:t>
      </w:r>
      <w:r w:rsidR="00E94274" w:rsidRPr="0055611D">
        <w:rPr>
          <w:rFonts w:ascii="Arial" w:eastAsia="Calibri" w:hAnsi="Arial" w:cs="Arial"/>
          <w:bCs/>
          <w:sz w:val="26"/>
          <w:szCs w:val="26"/>
        </w:rPr>
        <w:t xml:space="preserve">Constitucional </w:t>
      </w:r>
      <w:r w:rsidR="00EC653E" w:rsidRPr="0055611D">
        <w:rPr>
          <w:rFonts w:ascii="Arial" w:eastAsia="Calibri" w:hAnsi="Arial" w:cs="Arial"/>
          <w:bCs/>
          <w:sz w:val="26"/>
          <w:szCs w:val="26"/>
        </w:rPr>
        <w:t xml:space="preserve">con la que cumple la ejecutoria </w:t>
      </w:r>
      <w:r w:rsidR="00566FD1" w:rsidRPr="0055611D">
        <w:rPr>
          <w:rFonts w:ascii="Arial" w:eastAsia="Calibri" w:hAnsi="Arial" w:cs="Arial"/>
          <w:bCs/>
          <w:sz w:val="26"/>
          <w:szCs w:val="26"/>
        </w:rPr>
        <w:t xml:space="preserve">se requiere de </w:t>
      </w:r>
      <w:r w:rsidR="00DC6460" w:rsidRPr="0055611D">
        <w:rPr>
          <w:rFonts w:ascii="Arial" w:eastAsia="Calibri" w:hAnsi="Arial" w:cs="Arial"/>
          <w:bCs/>
          <w:sz w:val="26"/>
          <w:szCs w:val="26"/>
        </w:rPr>
        <w:t xml:space="preserve">un estudio </w:t>
      </w:r>
      <w:r w:rsidR="00566FD1" w:rsidRPr="0055611D">
        <w:rPr>
          <w:rFonts w:ascii="Arial" w:eastAsia="Calibri" w:hAnsi="Arial" w:cs="Arial"/>
          <w:bCs/>
          <w:sz w:val="26"/>
          <w:szCs w:val="26"/>
        </w:rPr>
        <w:t xml:space="preserve">por </w:t>
      </w:r>
      <w:r w:rsidR="00DC6460" w:rsidRPr="0055611D">
        <w:rPr>
          <w:rFonts w:ascii="Arial" w:eastAsia="Calibri" w:hAnsi="Arial" w:cs="Arial"/>
          <w:bCs/>
          <w:sz w:val="26"/>
          <w:szCs w:val="26"/>
        </w:rPr>
        <w:t xml:space="preserve">separado, </w:t>
      </w:r>
      <w:r w:rsidR="00FC199C" w:rsidRPr="0055611D">
        <w:rPr>
          <w:rFonts w:ascii="Arial" w:eastAsia="Calibri" w:hAnsi="Arial" w:cs="Arial"/>
          <w:bCs/>
          <w:sz w:val="26"/>
          <w:szCs w:val="26"/>
        </w:rPr>
        <w:t xml:space="preserve">ya que se trata </w:t>
      </w:r>
      <w:r w:rsidR="00DC6460" w:rsidRPr="0055611D">
        <w:rPr>
          <w:rFonts w:ascii="Arial" w:eastAsia="Calibri" w:hAnsi="Arial" w:cs="Arial"/>
          <w:bCs/>
          <w:sz w:val="26"/>
          <w:szCs w:val="26"/>
        </w:rPr>
        <w:t xml:space="preserve">de un acto </w:t>
      </w:r>
      <w:r w:rsidR="00FC199C" w:rsidRPr="0055611D">
        <w:rPr>
          <w:rFonts w:ascii="Arial" w:eastAsia="Calibri" w:hAnsi="Arial" w:cs="Arial"/>
          <w:bCs/>
          <w:sz w:val="26"/>
          <w:szCs w:val="26"/>
        </w:rPr>
        <w:t xml:space="preserve">nuevo </w:t>
      </w:r>
      <w:r w:rsidR="00DC6460" w:rsidRPr="0055611D">
        <w:rPr>
          <w:rFonts w:ascii="Arial" w:eastAsia="Calibri" w:hAnsi="Arial" w:cs="Arial"/>
          <w:bCs/>
          <w:sz w:val="26"/>
          <w:szCs w:val="26"/>
        </w:rPr>
        <w:t xml:space="preserve">que no ha sido </w:t>
      </w:r>
      <w:r w:rsidR="00E9253F" w:rsidRPr="0055611D">
        <w:rPr>
          <w:rFonts w:ascii="Arial" w:eastAsia="Calibri" w:hAnsi="Arial" w:cs="Arial"/>
          <w:bCs/>
          <w:sz w:val="26"/>
          <w:szCs w:val="26"/>
        </w:rPr>
        <w:t>controvertido</w:t>
      </w:r>
      <w:r w:rsidR="00DC6460" w:rsidRPr="0055611D">
        <w:rPr>
          <w:rFonts w:ascii="Arial" w:eastAsia="Calibri" w:hAnsi="Arial" w:cs="Arial"/>
          <w:bCs/>
          <w:sz w:val="26"/>
          <w:szCs w:val="26"/>
        </w:rPr>
        <w:t xml:space="preserve"> </w:t>
      </w:r>
      <w:r w:rsidR="00E9253F" w:rsidRPr="0055611D">
        <w:rPr>
          <w:rFonts w:ascii="Arial" w:eastAsia="Calibri" w:hAnsi="Arial" w:cs="Arial"/>
          <w:bCs/>
          <w:sz w:val="26"/>
          <w:szCs w:val="26"/>
        </w:rPr>
        <w:t xml:space="preserve">ni </w:t>
      </w:r>
      <w:r w:rsidR="00DC6460" w:rsidRPr="0055611D">
        <w:rPr>
          <w:rFonts w:ascii="Arial" w:eastAsia="Calibri" w:hAnsi="Arial" w:cs="Arial"/>
          <w:bCs/>
          <w:sz w:val="26"/>
          <w:szCs w:val="26"/>
        </w:rPr>
        <w:t xml:space="preserve">analizado en la primera instancia, menos aún puede ser motivo de análisis por esta Sala Superior, ya que se reitera, esta instancia tiene por objeto analizar que las actuaciones de la </w:t>
      </w:r>
      <w:proofErr w:type="spellStart"/>
      <w:r w:rsidR="00DC6460" w:rsidRPr="0055611D">
        <w:rPr>
          <w:rFonts w:ascii="Arial" w:eastAsia="Calibri" w:hAnsi="Arial" w:cs="Arial"/>
          <w:bCs/>
          <w:sz w:val="26"/>
          <w:szCs w:val="26"/>
        </w:rPr>
        <w:t>resolutora</w:t>
      </w:r>
      <w:proofErr w:type="spellEnd"/>
      <w:r w:rsidR="00DC6460" w:rsidRPr="0055611D">
        <w:rPr>
          <w:rFonts w:ascii="Arial" w:eastAsia="Calibri" w:hAnsi="Arial" w:cs="Arial"/>
          <w:bCs/>
          <w:sz w:val="26"/>
          <w:szCs w:val="26"/>
        </w:rPr>
        <w:t xml:space="preserve"> primigenia estén conforme al principio de legalidad y su estudio no abarca el análisis de actos que no han sido ni siquiera conocidos por la primera instancia. </w:t>
      </w:r>
    </w:p>
    <w:p w:rsidR="00B4126D" w:rsidRPr="0055611D" w:rsidRDefault="00B4126D" w:rsidP="00DC6460">
      <w:pPr>
        <w:pStyle w:val="Sinespaciado"/>
        <w:spacing w:line="360" w:lineRule="auto"/>
        <w:ind w:firstLine="705"/>
        <w:jc w:val="both"/>
        <w:rPr>
          <w:rFonts w:ascii="Arial" w:eastAsia="Calibri" w:hAnsi="Arial" w:cs="Arial"/>
          <w:bCs/>
          <w:sz w:val="26"/>
          <w:szCs w:val="26"/>
        </w:rPr>
      </w:pPr>
    </w:p>
    <w:p w:rsidR="00DC6460" w:rsidRPr="0055611D" w:rsidRDefault="00DC6460" w:rsidP="00DC6460">
      <w:pPr>
        <w:pStyle w:val="Sinespaciado"/>
        <w:spacing w:line="360" w:lineRule="auto"/>
        <w:ind w:firstLine="708"/>
        <w:jc w:val="both"/>
        <w:rPr>
          <w:rFonts w:ascii="Arial" w:hAnsi="Arial" w:cs="Arial"/>
          <w:sz w:val="26"/>
          <w:szCs w:val="26"/>
        </w:rPr>
      </w:pPr>
      <w:r w:rsidRPr="0055611D">
        <w:rPr>
          <w:rFonts w:ascii="Arial" w:eastAsia="Calibri" w:hAnsi="Arial" w:cs="Arial"/>
          <w:b/>
          <w:bCs/>
          <w:sz w:val="26"/>
          <w:szCs w:val="26"/>
        </w:rPr>
        <w:t xml:space="preserve">Por las narradas consideraciones, </w:t>
      </w:r>
      <w:r w:rsidRPr="0055611D">
        <w:rPr>
          <w:rFonts w:ascii="Arial" w:eastAsia="Calibri" w:hAnsi="Arial" w:cs="Arial"/>
          <w:bCs/>
          <w:sz w:val="26"/>
          <w:szCs w:val="26"/>
        </w:rPr>
        <w:t xml:space="preserve">procede </w:t>
      </w:r>
      <w:r w:rsidRPr="0055611D">
        <w:rPr>
          <w:rFonts w:ascii="Arial" w:eastAsia="Calibri" w:hAnsi="Arial" w:cs="Arial"/>
          <w:b/>
          <w:bCs/>
          <w:sz w:val="26"/>
          <w:szCs w:val="26"/>
        </w:rPr>
        <w:t xml:space="preserve">confirmar </w:t>
      </w:r>
      <w:r w:rsidRPr="0055611D">
        <w:rPr>
          <w:rFonts w:ascii="Arial" w:eastAsia="Calibri" w:hAnsi="Arial" w:cs="Arial"/>
          <w:bCs/>
          <w:sz w:val="26"/>
          <w:szCs w:val="26"/>
        </w:rPr>
        <w:t xml:space="preserve">el </w:t>
      </w:r>
      <w:r w:rsidR="00621770" w:rsidRPr="0055611D">
        <w:rPr>
          <w:rFonts w:ascii="Arial" w:eastAsia="Calibri" w:hAnsi="Arial" w:cs="Arial"/>
          <w:bCs/>
          <w:sz w:val="26"/>
          <w:szCs w:val="26"/>
        </w:rPr>
        <w:t>acuerdo recurrido</w:t>
      </w:r>
      <w:r w:rsidRPr="0055611D">
        <w:rPr>
          <w:rFonts w:ascii="Arial" w:hAnsi="Arial" w:cs="Arial"/>
          <w:b/>
          <w:sz w:val="26"/>
          <w:szCs w:val="26"/>
        </w:rPr>
        <w:t>,</w:t>
      </w:r>
      <w:r w:rsidRPr="0055611D">
        <w:rPr>
          <w:rFonts w:ascii="Arial" w:eastAsia="Calibri" w:hAnsi="Arial" w:cs="Arial"/>
          <w:sz w:val="26"/>
          <w:szCs w:val="26"/>
        </w:rPr>
        <w:t xml:space="preserve"> con fundamento en los artículos </w:t>
      </w:r>
      <w:r w:rsidRPr="0055611D">
        <w:rPr>
          <w:rFonts w:ascii="Arial" w:hAnsi="Arial" w:cs="Arial"/>
          <w:sz w:val="26"/>
          <w:szCs w:val="26"/>
        </w:rPr>
        <w:t>207 y 208 de la Ley de Justicia Administrativa para el Estado,</w:t>
      </w:r>
      <w:r w:rsidR="00B85F3A">
        <w:rPr>
          <w:rFonts w:ascii="Arial" w:hAnsi="Arial" w:cs="Arial"/>
          <w:sz w:val="26"/>
          <w:szCs w:val="26"/>
        </w:rPr>
        <w:t xml:space="preserve"> vigente hasta el 20 veinte de octubre de 2017 dos mil diecisiete, </w:t>
      </w:r>
      <w:r w:rsidRPr="0055611D">
        <w:rPr>
          <w:rFonts w:ascii="Arial" w:hAnsi="Arial" w:cs="Arial"/>
          <w:sz w:val="26"/>
          <w:szCs w:val="26"/>
        </w:rPr>
        <w:t>se:</w:t>
      </w:r>
    </w:p>
    <w:p w:rsidR="0055611D" w:rsidRDefault="0055611D" w:rsidP="00DC6460">
      <w:pPr>
        <w:pStyle w:val="Estilo"/>
        <w:spacing w:line="360" w:lineRule="auto"/>
        <w:jc w:val="center"/>
        <w:rPr>
          <w:rFonts w:cs="Arial"/>
          <w:b/>
          <w:sz w:val="26"/>
          <w:szCs w:val="26"/>
        </w:rPr>
      </w:pPr>
    </w:p>
    <w:p w:rsidR="00DC6460" w:rsidRPr="0055611D" w:rsidRDefault="00DC6460" w:rsidP="00DC6460">
      <w:pPr>
        <w:pStyle w:val="Estilo"/>
        <w:spacing w:line="360" w:lineRule="auto"/>
        <w:jc w:val="center"/>
        <w:rPr>
          <w:rFonts w:cs="Arial"/>
          <w:b/>
          <w:sz w:val="26"/>
          <w:szCs w:val="26"/>
        </w:rPr>
      </w:pPr>
      <w:r w:rsidRPr="0055611D">
        <w:rPr>
          <w:rFonts w:cs="Arial"/>
          <w:b/>
          <w:sz w:val="26"/>
          <w:szCs w:val="26"/>
        </w:rPr>
        <w:t>R E S U E L V E</w:t>
      </w:r>
    </w:p>
    <w:p w:rsidR="00DC6460" w:rsidRPr="0055611D" w:rsidRDefault="00DC6460" w:rsidP="00DC6460">
      <w:pPr>
        <w:pStyle w:val="Estilo"/>
        <w:spacing w:line="360" w:lineRule="auto"/>
        <w:rPr>
          <w:rFonts w:cs="Arial"/>
          <w:sz w:val="26"/>
          <w:szCs w:val="26"/>
        </w:rPr>
      </w:pPr>
    </w:p>
    <w:p w:rsidR="00DC6460" w:rsidRPr="0055611D" w:rsidRDefault="00DC6460" w:rsidP="00DC6460">
      <w:pPr>
        <w:pStyle w:val="Textoindependiente21"/>
        <w:tabs>
          <w:tab w:val="left" w:pos="-1985"/>
          <w:tab w:val="left" w:pos="7938"/>
        </w:tabs>
        <w:spacing w:line="360" w:lineRule="auto"/>
        <w:ind w:right="17" w:firstLine="0"/>
        <w:rPr>
          <w:rFonts w:ascii="Arial" w:hAnsi="Arial" w:cs="Arial"/>
          <w:sz w:val="26"/>
          <w:szCs w:val="26"/>
        </w:rPr>
      </w:pPr>
      <w:r w:rsidRPr="0055611D">
        <w:rPr>
          <w:rFonts w:ascii="Arial" w:hAnsi="Arial" w:cs="Arial"/>
          <w:b/>
          <w:sz w:val="26"/>
          <w:szCs w:val="26"/>
        </w:rPr>
        <w:t xml:space="preserve">         PRIMERO</w:t>
      </w:r>
      <w:r w:rsidRPr="0055611D">
        <w:rPr>
          <w:rFonts w:ascii="Arial" w:hAnsi="Arial" w:cs="Arial"/>
          <w:sz w:val="26"/>
          <w:szCs w:val="26"/>
        </w:rPr>
        <w:t xml:space="preserve">. Se </w:t>
      </w:r>
      <w:r w:rsidRPr="0055611D">
        <w:rPr>
          <w:rFonts w:ascii="Arial" w:hAnsi="Arial" w:cs="Arial"/>
          <w:b/>
          <w:sz w:val="26"/>
          <w:szCs w:val="26"/>
        </w:rPr>
        <w:t xml:space="preserve">CONFIRMA </w:t>
      </w:r>
      <w:r w:rsidRPr="0055611D">
        <w:rPr>
          <w:rFonts w:ascii="Arial" w:hAnsi="Arial" w:cs="Arial"/>
          <w:sz w:val="26"/>
          <w:szCs w:val="26"/>
        </w:rPr>
        <w:t xml:space="preserve">el </w:t>
      </w:r>
      <w:r w:rsidR="00CE0AD3" w:rsidRPr="0055611D">
        <w:rPr>
          <w:rFonts w:ascii="Arial" w:hAnsi="Arial" w:cs="Arial"/>
          <w:sz w:val="26"/>
          <w:szCs w:val="26"/>
        </w:rPr>
        <w:t xml:space="preserve">acuerdo de </w:t>
      </w:r>
      <w:r w:rsidR="00B85F3A">
        <w:rPr>
          <w:rFonts w:ascii="Arial" w:hAnsi="Arial" w:cs="Arial"/>
          <w:sz w:val="26"/>
          <w:szCs w:val="26"/>
        </w:rPr>
        <w:t xml:space="preserve">30 </w:t>
      </w:r>
      <w:r w:rsidR="00CE0AD3" w:rsidRPr="0055611D">
        <w:rPr>
          <w:rFonts w:ascii="Arial" w:hAnsi="Arial" w:cs="Arial"/>
          <w:sz w:val="26"/>
          <w:szCs w:val="26"/>
        </w:rPr>
        <w:t xml:space="preserve">treinta de junio de </w:t>
      </w:r>
      <w:r w:rsidR="00B85F3A">
        <w:rPr>
          <w:rFonts w:ascii="Arial" w:hAnsi="Arial" w:cs="Arial"/>
          <w:sz w:val="26"/>
          <w:szCs w:val="26"/>
        </w:rPr>
        <w:t xml:space="preserve">2017 </w:t>
      </w:r>
      <w:r w:rsidR="00CE0AD3" w:rsidRPr="0055611D">
        <w:rPr>
          <w:rFonts w:ascii="Arial" w:hAnsi="Arial" w:cs="Arial"/>
          <w:sz w:val="26"/>
          <w:szCs w:val="26"/>
        </w:rPr>
        <w:t>dos mil diecisiete</w:t>
      </w:r>
      <w:r w:rsidRPr="0055611D">
        <w:rPr>
          <w:rFonts w:ascii="Arial" w:hAnsi="Arial" w:cs="Arial"/>
          <w:sz w:val="26"/>
          <w:szCs w:val="26"/>
        </w:rPr>
        <w:t>, tal como quedó precisado en el considerando que antecede.</w:t>
      </w:r>
    </w:p>
    <w:p w:rsidR="00C56EB0" w:rsidRPr="0055611D" w:rsidRDefault="00C56EB0" w:rsidP="00DC6460">
      <w:pPr>
        <w:pStyle w:val="Sinespaciado"/>
        <w:spacing w:line="360" w:lineRule="auto"/>
        <w:ind w:firstLine="708"/>
        <w:jc w:val="both"/>
        <w:rPr>
          <w:rFonts w:ascii="Arial" w:hAnsi="Arial" w:cs="Arial"/>
          <w:sz w:val="26"/>
          <w:szCs w:val="26"/>
          <w:lang w:val="es-MX"/>
        </w:rPr>
      </w:pPr>
    </w:p>
    <w:p w:rsidR="0094765D" w:rsidRPr="0055611D" w:rsidRDefault="0094765D" w:rsidP="00C56EB0">
      <w:pPr>
        <w:pStyle w:val="Textoindependiente21"/>
        <w:tabs>
          <w:tab w:val="left" w:pos="7938"/>
        </w:tabs>
        <w:spacing w:before="240" w:after="240" w:line="360" w:lineRule="auto"/>
        <w:ind w:right="17" w:firstLine="709"/>
        <w:rPr>
          <w:rFonts w:ascii="Arial" w:hAnsi="Arial" w:cs="Arial"/>
          <w:sz w:val="26"/>
          <w:szCs w:val="26"/>
        </w:rPr>
      </w:pPr>
      <w:r w:rsidRPr="0055611D">
        <w:rPr>
          <w:rFonts w:ascii="Arial" w:hAnsi="Arial" w:cs="Arial"/>
          <w:b/>
          <w:sz w:val="26"/>
          <w:szCs w:val="26"/>
        </w:rPr>
        <w:t>SEGUNDO. NOTIFÍQUESE Y CÚMPLASE,</w:t>
      </w:r>
      <w:r w:rsidRPr="0055611D">
        <w:rPr>
          <w:rFonts w:ascii="Arial" w:hAnsi="Arial" w:cs="Arial"/>
          <w:sz w:val="26"/>
          <w:szCs w:val="26"/>
        </w:rPr>
        <w:t xml:space="preserve"> </w:t>
      </w:r>
      <w:r w:rsidR="00C25389" w:rsidRPr="0055611D">
        <w:rPr>
          <w:rFonts w:ascii="Arial" w:hAnsi="Arial" w:cs="Arial"/>
          <w:sz w:val="26"/>
          <w:szCs w:val="26"/>
        </w:rPr>
        <w:t xml:space="preserve">con copia certificada de la presente resolución, vuelvan las constancias remitidas a la </w:t>
      </w:r>
      <w:r w:rsidR="00130335" w:rsidRPr="0055611D">
        <w:rPr>
          <w:rFonts w:ascii="Arial" w:hAnsi="Arial" w:cs="Arial"/>
          <w:sz w:val="26"/>
          <w:szCs w:val="26"/>
        </w:rPr>
        <w:t>Segunda</w:t>
      </w:r>
      <w:r w:rsidR="00D961A6" w:rsidRPr="0055611D">
        <w:rPr>
          <w:rFonts w:ascii="Arial" w:hAnsi="Arial" w:cs="Arial"/>
          <w:sz w:val="26"/>
          <w:szCs w:val="26"/>
        </w:rPr>
        <w:t xml:space="preserve"> </w:t>
      </w:r>
      <w:r w:rsidR="00C25389" w:rsidRPr="0055611D">
        <w:rPr>
          <w:rFonts w:ascii="Arial" w:hAnsi="Arial" w:cs="Arial"/>
          <w:sz w:val="26"/>
          <w:szCs w:val="26"/>
        </w:rPr>
        <w:t>Sala Unitaria de Primera Instancia, y en su oportunidad archívese el cuaderno de revisión como concluido.</w:t>
      </w:r>
      <w:r w:rsidR="00C56EB0" w:rsidRPr="0055611D">
        <w:rPr>
          <w:rFonts w:ascii="Arial" w:hAnsi="Arial" w:cs="Arial"/>
          <w:sz w:val="26"/>
          <w:szCs w:val="26"/>
        </w:rPr>
        <w:t xml:space="preserve"> </w:t>
      </w:r>
    </w:p>
    <w:p w:rsidR="0055611D" w:rsidRPr="00867286" w:rsidRDefault="005B3D24" w:rsidP="0055611D">
      <w:pPr>
        <w:spacing w:before="240" w:after="0" w:line="360" w:lineRule="auto"/>
        <w:ind w:firstLine="708"/>
        <w:jc w:val="both"/>
        <w:rPr>
          <w:rFonts w:ascii="Arial" w:eastAsia="Calibri" w:hAnsi="Arial" w:cs="Arial"/>
          <w:sz w:val="26"/>
          <w:szCs w:val="26"/>
        </w:rPr>
      </w:pPr>
      <w:r>
        <w:rPr>
          <w:noProof/>
        </w:rPr>
        <mc:AlternateContent>
          <mc:Choice Requires="wps">
            <w:drawing>
              <wp:anchor distT="0" distB="0" distL="114300" distR="114300" simplePos="0" relativeHeight="251663360" behindDoc="0" locked="0" layoutInCell="1" allowOverlap="1" wp14:anchorId="155846BD" wp14:editId="769E6A9E">
                <wp:simplePos x="0" y="0"/>
                <wp:positionH relativeFrom="column">
                  <wp:posOffset>5467985</wp:posOffset>
                </wp:positionH>
                <wp:positionV relativeFrom="paragraph">
                  <wp:posOffset>183515</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B3D24" w:rsidRPr="00A6596B" w:rsidRDefault="005B3D24" w:rsidP="005B3D24">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0.55pt;margin-top:14.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">
                <v:textbox>
                  <w:txbxContent>
                    <w:p w:rsidR="005B3D24" w:rsidRPr="00A6596B" w:rsidRDefault="005B3D24" w:rsidP="005B3D2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55611D" w:rsidRPr="00867286">
        <w:rPr>
          <w:rFonts w:ascii="Arial" w:eastAsia="Calibri" w:hAnsi="Arial" w:cs="Arial"/>
          <w:sz w:val="26"/>
          <w:szCs w:val="26"/>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0055611D" w:rsidRPr="00867286">
        <w:rPr>
          <w:rFonts w:ascii="Arial" w:eastAsia="Calibri" w:hAnsi="Arial" w:cs="Arial"/>
          <w:sz w:val="26"/>
          <w:szCs w:val="26"/>
        </w:rPr>
        <w:t>Jarquín</w:t>
      </w:r>
      <w:proofErr w:type="spellEnd"/>
      <w:r w:rsidR="0055611D" w:rsidRPr="00867286">
        <w:rPr>
          <w:rFonts w:ascii="Arial" w:eastAsia="Calibri" w:hAnsi="Arial" w:cs="Arial"/>
          <w:sz w:val="26"/>
          <w:szCs w:val="26"/>
        </w:rPr>
        <w:t xml:space="preserve">, quien se encuentra de vacaciones; quienes actúan con la Secretaria General de Acuerdos de este Tribunal, que autoriza y da fe. </w:t>
      </w:r>
    </w:p>
    <w:p w:rsidR="0055611D" w:rsidRPr="00867286" w:rsidRDefault="0055611D" w:rsidP="0055611D">
      <w:pPr>
        <w:spacing w:after="0" w:line="240" w:lineRule="auto"/>
        <w:jc w:val="center"/>
        <w:rPr>
          <w:rFonts w:ascii="Arial" w:eastAsia="Calibri" w:hAnsi="Arial" w:cs="Arial"/>
          <w:sz w:val="26"/>
          <w:szCs w:val="26"/>
        </w:rPr>
      </w:pPr>
      <w:r w:rsidRPr="00867286">
        <w:rPr>
          <w:rFonts w:ascii="Arial" w:eastAsia="Calibri" w:hAnsi="Arial" w:cs="Arial"/>
          <w:sz w:val="26"/>
          <w:szCs w:val="26"/>
        </w:rPr>
        <w:t>MAGISTRADA MARÍA EUGENIA VILLANUEVA ABRAJÁN</w:t>
      </w:r>
    </w:p>
    <w:p w:rsidR="0055611D" w:rsidRPr="00867286" w:rsidRDefault="0055611D" w:rsidP="0055611D">
      <w:pPr>
        <w:spacing w:after="0" w:line="240" w:lineRule="auto"/>
        <w:jc w:val="center"/>
        <w:rPr>
          <w:rFonts w:ascii="Arial" w:eastAsia="Calibri" w:hAnsi="Arial" w:cs="Arial"/>
          <w:sz w:val="26"/>
          <w:szCs w:val="26"/>
        </w:rPr>
      </w:pPr>
      <w:r w:rsidRPr="00867286">
        <w:rPr>
          <w:rFonts w:ascii="Arial" w:eastAsia="Calibri" w:hAnsi="Arial" w:cs="Arial"/>
          <w:sz w:val="26"/>
          <w:szCs w:val="26"/>
        </w:rPr>
        <w:t>PRESIDENTA</w:t>
      </w:r>
    </w:p>
    <w:p w:rsidR="0055611D" w:rsidRPr="00867286" w:rsidRDefault="0055611D" w:rsidP="0055611D">
      <w:pPr>
        <w:spacing w:after="0" w:line="240" w:lineRule="auto"/>
        <w:jc w:val="center"/>
        <w:rPr>
          <w:rFonts w:ascii="Arial" w:eastAsia="Calibri" w:hAnsi="Arial" w:cs="Arial"/>
          <w:sz w:val="26"/>
          <w:szCs w:val="26"/>
        </w:rPr>
      </w:pPr>
    </w:p>
    <w:p w:rsidR="0055611D" w:rsidRPr="00867286" w:rsidRDefault="0055611D" w:rsidP="0055611D">
      <w:pPr>
        <w:spacing w:after="0" w:line="240" w:lineRule="auto"/>
        <w:rPr>
          <w:rFonts w:ascii="Arial" w:eastAsia="Calibri" w:hAnsi="Arial" w:cs="Arial"/>
          <w:b/>
          <w:sz w:val="26"/>
          <w:szCs w:val="26"/>
        </w:rPr>
      </w:pPr>
    </w:p>
    <w:p w:rsidR="0055611D" w:rsidRPr="00867286" w:rsidRDefault="0055611D" w:rsidP="0055611D">
      <w:pPr>
        <w:spacing w:after="0" w:line="240" w:lineRule="auto"/>
        <w:jc w:val="center"/>
        <w:rPr>
          <w:rFonts w:ascii="Arial" w:eastAsia="Calibri" w:hAnsi="Arial" w:cs="Arial"/>
          <w:b/>
          <w:sz w:val="26"/>
          <w:szCs w:val="26"/>
        </w:rPr>
      </w:pPr>
    </w:p>
    <w:p w:rsidR="0055611D" w:rsidRDefault="0055611D" w:rsidP="0055611D">
      <w:pPr>
        <w:spacing w:after="0" w:line="240" w:lineRule="auto"/>
        <w:jc w:val="center"/>
        <w:rPr>
          <w:rFonts w:ascii="Arial" w:eastAsia="Calibri" w:hAnsi="Arial" w:cs="Arial"/>
          <w:b/>
          <w:sz w:val="26"/>
          <w:szCs w:val="26"/>
        </w:rPr>
      </w:pPr>
    </w:p>
    <w:p w:rsidR="00B40DC1" w:rsidRPr="00867286" w:rsidRDefault="00B40DC1" w:rsidP="0055611D">
      <w:pPr>
        <w:spacing w:after="0" w:line="240" w:lineRule="auto"/>
        <w:jc w:val="center"/>
        <w:rPr>
          <w:rFonts w:ascii="Arial" w:eastAsia="Calibri" w:hAnsi="Arial" w:cs="Arial"/>
          <w:b/>
          <w:sz w:val="26"/>
          <w:szCs w:val="26"/>
        </w:rPr>
      </w:pPr>
    </w:p>
    <w:p w:rsidR="0055611D" w:rsidRPr="00867286" w:rsidRDefault="0055611D" w:rsidP="0055611D">
      <w:pPr>
        <w:spacing w:after="0" w:line="240" w:lineRule="auto"/>
        <w:jc w:val="center"/>
        <w:rPr>
          <w:rFonts w:ascii="Arial" w:eastAsia="Calibri" w:hAnsi="Arial" w:cs="Arial"/>
          <w:b/>
          <w:sz w:val="26"/>
          <w:szCs w:val="26"/>
        </w:rPr>
      </w:pPr>
    </w:p>
    <w:p w:rsidR="0055611D" w:rsidRPr="00867286" w:rsidRDefault="0055611D" w:rsidP="0055611D">
      <w:pPr>
        <w:spacing w:line="360" w:lineRule="auto"/>
        <w:jc w:val="center"/>
        <w:rPr>
          <w:rFonts w:ascii="Arial" w:eastAsia="Calibri" w:hAnsi="Arial" w:cs="Arial"/>
          <w:sz w:val="26"/>
          <w:szCs w:val="26"/>
        </w:rPr>
      </w:pPr>
      <w:r w:rsidRPr="00867286">
        <w:rPr>
          <w:rFonts w:ascii="Arial" w:eastAsia="Calibri" w:hAnsi="Arial" w:cs="Arial"/>
          <w:sz w:val="26"/>
          <w:szCs w:val="26"/>
        </w:rPr>
        <w:t>MAGISTRADO HUGO VILLEGAS AQUINO</w:t>
      </w:r>
    </w:p>
    <w:p w:rsidR="0055611D" w:rsidRPr="00B40DC1" w:rsidRDefault="00B40DC1" w:rsidP="00B40DC1">
      <w:pPr>
        <w:spacing w:line="360" w:lineRule="auto"/>
        <w:jc w:val="center"/>
        <w:rPr>
          <w:rFonts w:ascii="Arial" w:eastAsia="Calibri" w:hAnsi="Arial" w:cs="Arial"/>
          <w:b/>
          <w:sz w:val="16"/>
          <w:szCs w:val="16"/>
        </w:rPr>
      </w:pPr>
      <w:r w:rsidRPr="00B40DC1">
        <w:rPr>
          <w:rFonts w:ascii="Arial" w:eastAsia="Calibri" w:hAnsi="Arial" w:cs="Arial"/>
          <w:b/>
          <w:sz w:val="16"/>
          <w:szCs w:val="16"/>
        </w:rPr>
        <w:lastRenderedPageBreak/>
        <w:t>LAS PRESENTES  FIRMAS CORRESPONEN AL RECURSO DE REVISIÓN 555/2017</w:t>
      </w:r>
    </w:p>
    <w:p w:rsidR="0055611D" w:rsidRPr="00867286" w:rsidRDefault="0055611D" w:rsidP="0055611D">
      <w:pPr>
        <w:spacing w:line="360" w:lineRule="auto"/>
        <w:rPr>
          <w:rFonts w:ascii="Arial" w:eastAsia="Calibri" w:hAnsi="Arial" w:cs="Arial"/>
          <w:sz w:val="26"/>
          <w:szCs w:val="26"/>
        </w:rPr>
      </w:pPr>
    </w:p>
    <w:p w:rsidR="0055611D" w:rsidRDefault="0055611D" w:rsidP="0055611D">
      <w:pPr>
        <w:spacing w:after="0" w:line="240" w:lineRule="auto"/>
        <w:jc w:val="center"/>
        <w:rPr>
          <w:rFonts w:ascii="Arial" w:eastAsia="Calibri" w:hAnsi="Arial" w:cs="Arial"/>
          <w:b/>
        </w:rPr>
      </w:pPr>
    </w:p>
    <w:p w:rsidR="00B40DC1" w:rsidRDefault="00B40DC1" w:rsidP="0055611D">
      <w:pPr>
        <w:spacing w:after="0" w:line="240" w:lineRule="auto"/>
        <w:jc w:val="center"/>
        <w:rPr>
          <w:rFonts w:ascii="Arial" w:eastAsia="Calibri" w:hAnsi="Arial" w:cs="Arial"/>
          <w:b/>
        </w:rPr>
      </w:pPr>
    </w:p>
    <w:p w:rsidR="00B40DC1" w:rsidRDefault="00B40DC1" w:rsidP="0055611D">
      <w:pPr>
        <w:spacing w:after="0" w:line="240" w:lineRule="auto"/>
        <w:jc w:val="center"/>
        <w:rPr>
          <w:rFonts w:ascii="Arial" w:eastAsia="Calibri" w:hAnsi="Arial" w:cs="Arial"/>
          <w:b/>
        </w:rPr>
      </w:pPr>
    </w:p>
    <w:p w:rsidR="00B40DC1" w:rsidRDefault="00B40DC1" w:rsidP="0055611D">
      <w:pPr>
        <w:spacing w:after="0" w:line="240" w:lineRule="auto"/>
        <w:jc w:val="center"/>
        <w:rPr>
          <w:rFonts w:ascii="Arial" w:eastAsia="Calibri" w:hAnsi="Arial" w:cs="Arial"/>
          <w:b/>
        </w:rPr>
      </w:pPr>
    </w:p>
    <w:p w:rsidR="00B40DC1" w:rsidRPr="00867286" w:rsidRDefault="00B40DC1" w:rsidP="0055611D">
      <w:pPr>
        <w:spacing w:after="0" w:line="240" w:lineRule="auto"/>
        <w:jc w:val="center"/>
        <w:rPr>
          <w:rFonts w:ascii="Arial" w:eastAsia="Calibri" w:hAnsi="Arial" w:cs="Arial"/>
          <w:b/>
        </w:rPr>
      </w:pPr>
    </w:p>
    <w:p w:rsidR="0055611D" w:rsidRPr="00867286" w:rsidRDefault="0055611D" w:rsidP="0055611D">
      <w:pPr>
        <w:spacing w:line="360" w:lineRule="auto"/>
        <w:jc w:val="center"/>
        <w:rPr>
          <w:rFonts w:ascii="Arial" w:eastAsia="Calibri" w:hAnsi="Arial" w:cs="Arial"/>
          <w:sz w:val="26"/>
          <w:szCs w:val="26"/>
        </w:rPr>
      </w:pPr>
      <w:r w:rsidRPr="00867286">
        <w:rPr>
          <w:rFonts w:ascii="Arial" w:eastAsia="Calibri" w:hAnsi="Arial" w:cs="Arial"/>
          <w:sz w:val="26"/>
          <w:szCs w:val="26"/>
        </w:rPr>
        <w:t xml:space="preserve">MAGISTRADO ADRIÁN QUIROGA AVENDAÑO </w:t>
      </w:r>
    </w:p>
    <w:p w:rsidR="0055611D" w:rsidRPr="00867286" w:rsidRDefault="0055611D" w:rsidP="0055611D">
      <w:pPr>
        <w:spacing w:line="360" w:lineRule="auto"/>
        <w:rPr>
          <w:rFonts w:ascii="Arial" w:eastAsia="Calibri" w:hAnsi="Arial" w:cs="Arial"/>
          <w:sz w:val="26"/>
          <w:szCs w:val="26"/>
        </w:rPr>
      </w:pPr>
    </w:p>
    <w:p w:rsidR="0055611D" w:rsidRPr="00867286" w:rsidRDefault="0055611D" w:rsidP="0055611D">
      <w:pPr>
        <w:spacing w:line="360" w:lineRule="auto"/>
        <w:rPr>
          <w:rFonts w:ascii="Arial" w:eastAsia="Calibri" w:hAnsi="Arial" w:cs="Arial"/>
          <w:sz w:val="26"/>
          <w:szCs w:val="26"/>
        </w:rPr>
      </w:pPr>
    </w:p>
    <w:p w:rsidR="0055611D" w:rsidRPr="00867286" w:rsidRDefault="0055611D" w:rsidP="0055611D">
      <w:pPr>
        <w:spacing w:line="360" w:lineRule="auto"/>
        <w:rPr>
          <w:rFonts w:ascii="Arial" w:eastAsia="Calibri" w:hAnsi="Arial" w:cs="Arial"/>
          <w:sz w:val="26"/>
          <w:szCs w:val="26"/>
        </w:rPr>
      </w:pPr>
    </w:p>
    <w:p w:rsidR="0055611D" w:rsidRPr="00867286" w:rsidRDefault="0055611D" w:rsidP="0055611D">
      <w:pPr>
        <w:spacing w:line="360" w:lineRule="auto"/>
        <w:jc w:val="center"/>
        <w:rPr>
          <w:rFonts w:ascii="Arial" w:eastAsia="Calibri" w:hAnsi="Arial" w:cs="Arial"/>
          <w:sz w:val="26"/>
          <w:szCs w:val="26"/>
        </w:rPr>
      </w:pPr>
      <w:r w:rsidRPr="00867286">
        <w:rPr>
          <w:rFonts w:ascii="Arial" w:eastAsia="Calibri" w:hAnsi="Arial" w:cs="Arial"/>
          <w:sz w:val="26"/>
          <w:szCs w:val="26"/>
        </w:rPr>
        <w:t>MAGISTRADO ENRIQUE PACHECO MARTÍNEZ</w:t>
      </w:r>
    </w:p>
    <w:p w:rsidR="0055611D" w:rsidRDefault="0055611D" w:rsidP="0055611D">
      <w:pPr>
        <w:spacing w:line="360" w:lineRule="auto"/>
        <w:rPr>
          <w:rFonts w:ascii="Arial" w:eastAsia="Calibri" w:hAnsi="Arial" w:cs="Arial"/>
          <w:sz w:val="26"/>
          <w:szCs w:val="26"/>
        </w:rPr>
      </w:pPr>
    </w:p>
    <w:p w:rsidR="00B40DC1" w:rsidRPr="00867286" w:rsidRDefault="00B40DC1" w:rsidP="0055611D">
      <w:pPr>
        <w:spacing w:line="360" w:lineRule="auto"/>
        <w:rPr>
          <w:rFonts w:ascii="Arial" w:eastAsia="Calibri" w:hAnsi="Arial" w:cs="Arial"/>
          <w:sz w:val="26"/>
          <w:szCs w:val="26"/>
        </w:rPr>
      </w:pPr>
    </w:p>
    <w:p w:rsidR="0055611D" w:rsidRPr="00867286" w:rsidRDefault="0055611D" w:rsidP="0055611D">
      <w:pPr>
        <w:spacing w:line="360" w:lineRule="auto"/>
        <w:rPr>
          <w:rFonts w:ascii="Arial" w:eastAsia="Calibri" w:hAnsi="Arial" w:cs="Arial"/>
          <w:sz w:val="26"/>
          <w:szCs w:val="26"/>
        </w:rPr>
      </w:pPr>
    </w:p>
    <w:p w:rsidR="0055611D" w:rsidRPr="00867286" w:rsidRDefault="0055611D" w:rsidP="0055611D">
      <w:pPr>
        <w:spacing w:after="0" w:line="240" w:lineRule="auto"/>
        <w:jc w:val="center"/>
        <w:rPr>
          <w:rFonts w:ascii="Arial" w:eastAsia="Calibri" w:hAnsi="Arial" w:cs="Arial"/>
          <w:sz w:val="26"/>
          <w:szCs w:val="26"/>
        </w:rPr>
      </w:pPr>
      <w:r w:rsidRPr="00867286">
        <w:rPr>
          <w:rFonts w:ascii="Arial" w:eastAsia="Calibri" w:hAnsi="Arial" w:cs="Arial"/>
          <w:sz w:val="26"/>
          <w:szCs w:val="26"/>
        </w:rPr>
        <w:t>LICENCIADA SANDRA PÉREZ CRUZ,</w:t>
      </w:r>
    </w:p>
    <w:p w:rsidR="0055611D" w:rsidRPr="00867286" w:rsidRDefault="0055611D" w:rsidP="0055611D">
      <w:pPr>
        <w:spacing w:after="0" w:line="240" w:lineRule="auto"/>
        <w:jc w:val="center"/>
        <w:rPr>
          <w:rFonts w:ascii="Arial" w:eastAsia="Calibri" w:hAnsi="Arial" w:cs="Arial"/>
          <w:sz w:val="26"/>
          <w:szCs w:val="26"/>
        </w:rPr>
      </w:pPr>
      <w:r w:rsidRPr="00867286">
        <w:rPr>
          <w:rFonts w:ascii="Arial" w:eastAsia="Calibri" w:hAnsi="Arial" w:cs="Arial"/>
          <w:sz w:val="26"/>
          <w:szCs w:val="26"/>
        </w:rPr>
        <w:t>SECRETARIA GENERAL DE ACUERDOS</w:t>
      </w:r>
    </w:p>
    <w:p w:rsidR="0055611D" w:rsidRDefault="0055611D" w:rsidP="0055611D"/>
    <w:p w:rsidR="000A1BF3" w:rsidRPr="009F4685" w:rsidRDefault="000A1BF3" w:rsidP="0055611D">
      <w:pPr>
        <w:spacing w:line="360" w:lineRule="auto"/>
        <w:ind w:firstLine="708"/>
        <w:jc w:val="both"/>
        <w:rPr>
          <w:sz w:val="32"/>
          <w:szCs w:val="32"/>
        </w:rPr>
      </w:pPr>
    </w:p>
    <w:sectPr w:rsidR="000A1BF3" w:rsidRPr="009F4685" w:rsidSect="0055611D">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5E" w:rsidRDefault="002D615E">
      <w:pPr>
        <w:spacing w:after="0" w:line="240" w:lineRule="auto"/>
      </w:pPr>
      <w:r>
        <w:separator/>
      </w:r>
    </w:p>
  </w:endnote>
  <w:endnote w:type="continuationSeparator" w:id="0">
    <w:p w:rsidR="002D615E" w:rsidRDefault="002D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5E" w:rsidRDefault="002D615E">
      <w:pPr>
        <w:spacing w:after="0" w:line="240" w:lineRule="auto"/>
      </w:pPr>
      <w:r>
        <w:separator/>
      </w:r>
    </w:p>
  </w:footnote>
  <w:footnote w:type="continuationSeparator" w:id="0">
    <w:p w:rsidR="002D615E" w:rsidRDefault="002D6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5B3D24">
          <w:rPr>
            <w:noProof/>
          </w:rPr>
          <w:t>6</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5B3D24"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B3D24" w:rsidRPr="00A6596B" w:rsidRDefault="005B3D24" w:rsidP="005B3D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5B3D24" w:rsidRPr="00A6596B" w:rsidRDefault="005B3D24" w:rsidP="005B3D24">
                        <w:pPr>
                          <w:rPr>
                            <w:sz w:val="16"/>
                            <w:szCs w:val="16"/>
                          </w:rPr>
                        </w:pPr>
                        <w:r>
                          <w:rPr>
                            <w:sz w:val="16"/>
                            <w:szCs w:val="16"/>
                          </w:rPr>
                          <w:t>Datos personales protegidos por el Art. 116 de la LGTAIP y el Art. 56 de la LTAIPEO</w:t>
                        </w:r>
                      </w:p>
                    </w:txbxContent>
                  </v:textbox>
                </v:shape>
              </w:pict>
            </mc:Fallback>
          </mc:AlternateContent>
        </w:r>
        <w:r w:rsidR="00655BA3">
          <w:fldChar w:fldCharType="begin"/>
        </w:r>
        <w:r w:rsidR="00655BA3">
          <w:instrText xml:space="preserve"> PAGE   \* MERGEFORMAT </w:instrText>
        </w:r>
        <w:r w:rsidR="00655BA3">
          <w:fldChar w:fldCharType="separate"/>
        </w:r>
        <w:r>
          <w:rPr>
            <w:noProof/>
          </w:rPr>
          <w:t>7</w:t>
        </w:r>
        <w:r w:rsidR="00655BA3">
          <w:rPr>
            <w:noProof/>
          </w:rPr>
          <w:fldChar w:fldCharType="end"/>
        </w:r>
      </w:p>
      <w:p w:rsidR="00655BA3" w:rsidRDefault="005B3D24" w:rsidP="00206B99">
        <w:pPr>
          <w:pStyle w:val="Encabezado"/>
          <w:jc w:val="center"/>
        </w:pP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62D172B"/>
    <w:multiLevelType w:val="hybridMultilevel"/>
    <w:tmpl w:val="C1AC6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BC3D68"/>
    <w:multiLevelType w:val="hybridMultilevel"/>
    <w:tmpl w:val="896A14CE"/>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2DA553CD"/>
    <w:multiLevelType w:val="hybridMultilevel"/>
    <w:tmpl w:val="756E897A"/>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0295A34"/>
    <w:multiLevelType w:val="hybridMultilevel"/>
    <w:tmpl w:val="25A811DE"/>
    <w:lvl w:ilvl="0" w:tplc="E96095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43654F12"/>
    <w:multiLevelType w:val="hybridMultilevel"/>
    <w:tmpl w:val="16BEE524"/>
    <w:lvl w:ilvl="0" w:tplc="F684AC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74B7726A"/>
    <w:multiLevelType w:val="hybridMultilevel"/>
    <w:tmpl w:val="1EDA0B5E"/>
    <w:lvl w:ilvl="0" w:tplc="08CA99C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7"/>
  </w:num>
  <w:num w:numId="2">
    <w:abstractNumId w:val="2"/>
  </w:num>
  <w:num w:numId="3">
    <w:abstractNumId w:val="0"/>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304"/>
    <w:rsid w:val="00003D6A"/>
    <w:rsid w:val="000115FF"/>
    <w:rsid w:val="00016ECA"/>
    <w:rsid w:val="00026C11"/>
    <w:rsid w:val="00026D3A"/>
    <w:rsid w:val="000271D6"/>
    <w:rsid w:val="000318F1"/>
    <w:rsid w:val="000330FB"/>
    <w:rsid w:val="0004184C"/>
    <w:rsid w:val="000428B6"/>
    <w:rsid w:val="00042B04"/>
    <w:rsid w:val="00045557"/>
    <w:rsid w:val="00046464"/>
    <w:rsid w:val="0005199E"/>
    <w:rsid w:val="000536B0"/>
    <w:rsid w:val="00054D06"/>
    <w:rsid w:val="000616B5"/>
    <w:rsid w:val="0006260C"/>
    <w:rsid w:val="00063D32"/>
    <w:rsid w:val="00065B71"/>
    <w:rsid w:val="00070777"/>
    <w:rsid w:val="00070DD5"/>
    <w:rsid w:val="000737BF"/>
    <w:rsid w:val="00075BC1"/>
    <w:rsid w:val="00075D16"/>
    <w:rsid w:val="00076CEA"/>
    <w:rsid w:val="00080480"/>
    <w:rsid w:val="0008323F"/>
    <w:rsid w:val="00085132"/>
    <w:rsid w:val="00087167"/>
    <w:rsid w:val="0008752E"/>
    <w:rsid w:val="000904D4"/>
    <w:rsid w:val="000920E0"/>
    <w:rsid w:val="00095D38"/>
    <w:rsid w:val="00095F23"/>
    <w:rsid w:val="000A0904"/>
    <w:rsid w:val="000A1BF3"/>
    <w:rsid w:val="000A511A"/>
    <w:rsid w:val="000B19F3"/>
    <w:rsid w:val="000B1A06"/>
    <w:rsid w:val="000B3B3B"/>
    <w:rsid w:val="000B46C7"/>
    <w:rsid w:val="000B4C03"/>
    <w:rsid w:val="000B4FA7"/>
    <w:rsid w:val="000B70D9"/>
    <w:rsid w:val="000C570A"/>
    <w:rsid w:val="000C5EC3"/>
    <w:rsid w:val="000C7B66"/>
    <w:rsid w:val="000D0C5D"/>
    <w:rsid w:val="000D1D27"/>
    <w:rsid w:val="000D47E7"/>
    <w:rsid w:val="000D5620"/>
    <w:rsid w:val="000D5A35"/>
    <w:rsid w:val="000E1F3F"/>
    <w:rsid w:val="000E32F2"/>
    <w:rsid w:val="000E78A1"/>
    <w:rsid w:val="000F05CA"/>
    <w:rsid w:val="000F3BD6"/>
    <w:rsid w:val="000F54B0"/>
    <w:rsid w:val="000F62C3"/>
    <w:rsid w:val="000F674B"/>
    <w:rsid w:val="001010B6"/>
    <w:rsid w:val="00105A1D"/>
    <w:rsid w:val="0010644A"/>
    <w:rsid w:val="00106A30"/>
    <w:rsid w:val="00111765"/>
    <w:rsid w:val="00111BFC"/>
    <w:rsid w:val="001121E5"/>
    <w:rsid w:val="001148A6"/>
    <w:rsid w:val="00114AC5"/>
    <w:rsid w:val="00116579"/>
    <w:rsid w:val="00122F5E"/>
    <w:rsid w:val="0012442E"/>
    <w:rsid w:val="00124515"/>
    <w:rsid w:val="00126F80"/>
    <w:rsid w:val="00130335"/>
    <w:rsid w:val="00130500"/>
    <w:rsid w:val="00131CDF"/>
    <w:rsid w:val="00136897"/>
    <w:rsid w:val="001407EE"/>
    <w:rsid w:val="00142D49"/>
    <w:rsid w:val="001441D3"/>
    <w:rsid w:val="00144AC9"/>
    <w:rsid w:val="00146509"/>
    <w:rsid w:val="00150CBA"/>
    <w:rsid w:val="001519B4"/>
    <w:rsid w:val="00151F40"/>
    <w:rsid w:val="0015292C"/>
    <w:rsid w:val="00153239"/>
    <w:rsid w:val="0015351E"/>
    <w:rsid w:val="00153D93"/>
    <w:rsid w:val="00154B46"/>
    <w:rsid w:val="0016029F"/>
    <w:rsid w:val="00161D09"/>
    <w:rsid w:val="00172205"/>
    <w:rsid w:val="0017448F"/>
    <w:rsid w:val="0017587B"/>
    <w:rsid w:val="001761CB"/>
    <w:rsid w:val="001801D8"/>
    <w:rsid w:val="00184E1D"/>
    <w:rsid w:val="00191C8B"/>
    <w:rsid w:val="00192287"/>
    <w:rsid w:val="001A0B1C"/>
    <w:rsid w:val="001A0CCD"/>
    <w:rsid w:val="001A3755"/>
    <w:rsid w:val="001A52BF"/>
    <w:rsid w:val="001A62B0"/>
    <w:rsid w:val="001B00A0"/>
    <w:rsid w:val="001B0918"/>
    <w:rsid w:val="001B0DC0"/>
    <w:rsid w:val="001B1C39"/>
    <w:rsid w:val="001B26DA"/>
    <w:rsid w:val="001B29A0"/>
    <w:rsid w:val="001B3BF6"/>
    <w:rsid w:val="001C3786"/>
    <w:rsid w:val="001C4022"/>
    <w:rsid w:val="001C4C3B"/>
    <w:rsid w:val="001C55DC"/>
    <w:rsid w:val="001C6BF3"/>
    <w:rsid w:val="001D0EAA"/>
    <w:rsid w:val="001D3B81"/>
    <w:rsid w:val="001D694C"/>
    <w:rsid w:val="001E3B11"/>
    <w:rsid w:val="001E4E67"/>
    <w:rsid w:val="001F0186"/>
    <w:rsid w:val="001F12C6"/>
    <w:rsid w:val="001F34BF"/>
    <w:rsid w:val="001F72DF"/>
    <w:rsid w:val="002008F8"/>
    <w:rsid w:val="00200D8E"/>
    <w:rsid w:val="0020247E"/>
    <w:rsid w:val="00203FD3"/>
    <w:rsid w:val="00206222"/>
    <w:rsid w:val="00206B99"/>
    <w:rsid w:val="00207572"/>
    <w:rsid w:val="00214B96"/>
    <w:rsid w:val="00216595"/>
    <w:rsid w:val="00223F75"/>
    <w:rsid w:val="00237CA6"/>
    <w:rsid w:val="00241032"/>
    <w:rsid w:val="0024133F"/>
    <w:rsid w:val="00243576"/>
    <w:rsid w:val="0024497C"/>
    <w:rsid w:val="00246915"/>
    <w:rsid w:val="00247875"/>
    <w:rsid w:val="00247D11"/>
    <w:rsid w:val="002573B6"/>
    <w:rsid w:val="00257571"/>
    <w:rsid w:val="00261B39"/>
    <w:rsid w:val="00262666"/>
    <w:rsid w:val="00262DED"/>
    <w:rsid w:val="00263720"/>
    <w:rsid w:val="002678AC"/>
    <w:rsid w:val="00270191"/>
    <w:rsid w:val="00271A53"/>
    <w:rsid w:val="00272307"/>
    <w:rsid w:val="00272C41"/>
    <w:rsid w:val="00273171"/>
    <w:rsid w:val="00275C31"/>
    <w:rsid w:val="002805AC"/>
    <w:rsid w:val="002813DD"/>
    <w:rsid w:val="00283B3F"/>
    <w:rsid w:val="00283DC0"/>
    <w:rsid w:val="002844AF"/>
    <w:rsid w:val="00285CBF"/>
    <w:rsid w:val="00286457"/>
    <w:rsid w:val="002870B4"/>
    <w:rsid w:val="0028791F"/>
    <w:rsid w:val="00287E96"/>
    <w:rsid w:val="0029107F"/>
    <w:rsid w:val="00291333"/>
    <w:rsid w:val="00292F79"/>
    <w:rsid w:val="00296748"/>
    <w:rsid w:val="002A2985"/>
    <w:rsid w:val="002A4088"/>
    <w:rsid w:val="002A6EF0"/>
    <w:rsid w:val="002B207B"/>
    <w:rsid w:val="002B5885"/>
    <w:rsid w:val="002B5C82"/>
    <w:rsid w:val="002B79C4"/>
    <w:rsid w:val="002C087C"/>
    <w:rsid w:val="002C7C79"/>
    <w:rsid w:val="002D049C"/>
    <w:rsid w:val="002D11DC"/>
    <w:rsid w:val="002D1979"/>
    <w:rsid w:val="002D2C7E"/>
    <w:rsid w:val="002D40E7"/>
    <w:rsid w:val="002D46E3"/>
    <w:rsid w:val="002D615E"/>
    <w:rsid w:val="002E1132"/>
    <w:rsid w:val="002E6783"/>
    <w:rsid w:val="002E7DD2"/>
    <w:rsid w:val="002F19AF"/>
    <w:rsid w:val="002F1FA5"/>
    <w:rsid w:val="002F2497"/>
    <w:rsid w:val="002F292F"/>
    <w:rsid w:val="002F31AE"/>
    <w:rsid w:val="002F4F72"/>
    <w:rsid w:val="002F6AE9"/>
    <w:rsid w:val="002F7173"/>
    <w:rsid w:val="002F7484"/>
    <w:rsid w:val="002F7596"/>
    <w:rsid w:val="00304999"/>
    <w:rsid w:val="00305466"/>
    <w:rsid w:val="00307E06"/>
    <w:rsid w:val="00310869"/>
    <w:rsid w:val="00312470"/>
    <w:rsid w:val="00316A3F"/>
    <w:rsid w:val="00320146"/>
    <w:rsid w:val="00321D60"/>
    <w:rsid w:val="003222C3"/>
    <w:rsid w:val="00323C25"/>
    <w:rsid w:val="003253CA"/>
    <w:rsid w:val="00331836"/>
    <w:rsid w:val="003337B0"/>
    <w:rsid w:val="00334067"/>
    <w:rsid w:val="00334DDD"/>
    <w:rsid w:val="00337583"/>
    <w:rsid w:val="0034180B"/>
    <w:rsid w:val="00342CE5"/>
    <w:rsid w:val="00346D11"/>
    <w:rsid w:val="00346FBC"/>
    <w:rsid w:val="00346FDD"/>
    <w:rsid w:val="00347DB4"/>
    <w:rsid w:val="00351AFB"/>
    <w:rsid w:val="00351BBA"/>
    <w:rsid w:val="00352C13"/>
    <w:rsid w:val="003551CB"/>
    <w:rsid w:val="00355CD1"/>
    <w:rsid w:val="00355E72"/>
    <w:rsid w:val="00361729"/>
    <w:rsid w:val="00362943"/>
    <w:rsid w:val="003633B9"/>
    <w:rsid w:val="00363625"/>
    <w:rsid w:val="003646B9"/>
    <w:rsid w:val="003665BF"/>
    <w:rsid w:val="003668B2"/>
    <w:rsid w:val="003708D3"/>
    <w:rsid w:val="00371471"/>
    <w:rsid w:val="00374D0D"/>
    <w:rsid w:val="00380378"/>
    <w:rsid w:val="00381DC3"/>
    <w:rsid w:val="0038337B"/>
    <w:rsid w:val="003861E1"/>
    <w:rsid w:val="00386FE5"/>
    <w:rsid w:val="00390103"/>
    <w:rsid w:val="00393728"/>
    <w:rsid w:val="00394F02"/>
    <w:rsid w:val="003A0443"/>
    <w:rsid w:val="003A1DEF"/>
    <w:rsid w:val="003A4C91"/>
    <w:rsid w:val="003A574B"/>
    <w:rsid w:val="003A5B01"/>
    <w:rsid w:val="003A6758"/>
    <w:rsid w:val="003B00BC"/>
    <w:rsid w:val="003B373B"/>
    <w:rsid w:val="003B4BAF"/>
    <w:rsid w:val="003B6C7E"/>
    <w:rsid w:val="003B7342"/>
    <w:rsid w:val="003E0F2A"/>
    <w:rsid w:val="003E19D7"/>
    <w:rsid w:val="003E7801"/>
    <w:rsid w:val="003F0310"/>
    <w:rsid w:val="003F39D6"/>
    <w:rsid w:val="003F4138"/>
    <w:rsid w:val="003F57F4"/>
    <w:rsid w:val="0040013E"/>
    <w:rsid w:val="004015BC"/>
    <w:rsid w:val="00402759"/>
    <w:rsid w:val="0040448D"/>
    <w:rsid w:val="004062CD"/>
    <w:rsid w:val="00411707"/>
    <w:rsid w:val="0042132B"/>
    <w:rsid w:val="004219B9"/>
    <w:rsid w:val="00423727"/>
    <w:rsid w:val="00424138"/>
    <w:rsid w:val="00431F40"/>
    <w:rsid w:val="00442BDA"/>
    <w:rsid w:val="004455C4"/>
    <w:rsid w:val="00445E22"/>
    <w:rsid w:val="00450E5F"/>
    <w:rsid w:val="0045172E"/>
    <w:rsid w:val="00453216"/>
    <w:rsid w:val="00453A12"/>
    <w:rsid w:val="004572F9"/>
    <w:rsid w:val="004610C6"/>
    <w:rsid w:val="00463FE8"/>
    <w:rsid w:val="0047759F"/>
    <w:rsid w:val="004806B3"/>
    <w:rsid w:val="00486EEA"/>
    <w:rsid w:val="0049264A"/>
    <w:rsid w:val="0049422A"/>
    <w:rsid w:val="004961AD"/>
    <w:rsid w:val="00497339"/>
    <w:rsid w:val="004A1E57"/>
    <w:rsid w:val="004A2326"/>
    <w:rsid w:val="004A3166"/>
    <w:rsid w:val="004A319F"/>
    <w:rsid w:val="004A3AD0"/>
    <w:rsid w:val="004B536D"/>
    <w:rsid w:val="004B582F"/>
    <w:rsid w:val="004B587E"/>
    <w:rsid w:val="004B67A5"/>
    <w:rsid w:val="004B748E"/>
    <w:rsid w:val="004B7DAD"/>
    <w:rsid w:val="004C0052"/>
    <w:rsid w:val="004C0BAC"/>
    <w:rsid w:val="004C4CAD"/>
    <w:rsid w:val="004C554B"/>
    <w:rsid w:val="004C645F"/>
    <w:rsid w:val="004C6882"/>
    <w:rsid w:val="004D0A1B"/>
    <w:rsid w:val="004D3ADD"/>
    <w:rsid w:val="004D3E73"/>
    <w:rsid w:val="004D4539"/>
    <w:rsid w:val="004D48F8"/>
    <w:rsid w:val="004D5713"/>
    <w:rsid w:val="004D5934"/>
    <w:rsid w:val="004D6F13"/>
    <w:rsid w:val="004E0439"/>
    <w:rsid w:val="004E0CC9"/>
    <w:rsid w:val="004E1565"/>
    <w:rsid w:val="004F03B7"/>
    <w:rsid w:val="004F0818"/>
    <w:rsid w:val="004F2E99"/>
    <w:rsid w:val="004F5821"/>
    <w:rsid w:val="004F674E"/>
    <w:rsid w:val="004F6D0C"/>
    <w:rsid w:val="004F7F5E"/>
    <w:rsid w:val="005059DD"/>
    <w:rsid w:val="00510956"/>
    <w:rsid w:val="005115C3"/>
    <w:rsid w:val="00511CCC"/>
    <w:rsid w:val="00513114"/>
    <w:rsid w:val="00526DC4"/>
    <w:rsid w:val="00527585"/>
    <w:rsid w:val="00527D3B"/>
    <w:rsid w:val="005300DF"/>
    <w:rsid w:val="00531B2A"/>
    <w:rsid w:val="00531B69"/>
    <w:rsid w:val="00532EE6"/>
    <w:rsid w:val="00533EBE"/>
    <w:rsid w:val="0053715D"/>
    <w:rsid w:val="005408C1"/>
    <w:rsid w:val="005419BA"/>
    <w:rsid w:val="00541B18"/>
    <w:rsid w:val="0054241E"/>
    <w:rsid w:val="0054393D"/>
    <w:rsid w:val="00550EDF"/>
    <w:rsid w:val="00550F0D"/>
    <w:rsid w:val="00551A17"/>
    <w:rsid w:val="00553578"/>
    <w:rsid w:val="0055611D"/>
    <w:rsid w:val="00557727"/>
    <w:rsid w:val="005609AA"/>
    <w:rsid w:val="00560E78"/>
    <w:rsid w:val="005621F5"/>
    <w:rsid w:val="00563860"/>
    <w:rsid w:val="00563B9C"/>
    <w:rsid w:val="00566FD1"/>
    <w:rsid w:val="00567BDB"/>
    <w:rsid w:val="005707BD"/>
    <w:rsid w:val="005720EB"/>
    <w:rsid w:val="00574172"/>
    <w:rsid w:val="00574700"/>
    <w:rsid w:val="00574891"/>
    <w:rsid w:val="00575B59"/>
    <w:rsid w:val="00576008"/>
    <w:rsid w:val="005817AB"/>
    <w:rsid w:val="00583A2A"/>
    <w:rsid w:val="00586FFC"/>
    <w:rsid w:val="00591715"/>
    <w:rsid w:val="005924CD"/>
    <w:rsid w:val="0059287B"/>
    <w:rsid w:val="00593333"/>
    <w:rsid w:val="005937B3"/>
    <w:rsid w:val="005A039C"/>
    <w:rsid w:val="005A2F9C"/>
    <w:rsid w:val="005A2FD8"/>
    <w:rsid w:val="005A4480"/>
    <w:rsid w:val="005A493F"/>
    <w:rsid w:val="005B2365"/>
    <w:rsid w:val="005B39B0"/>
    <w:rsid w:val="005B3D24"/>
    <w:rsid w:val="005B67EB"/>
    <w:rsid w:val="005C5968"/>
    <w:rsid w:val="005D3458"/>
    <w:rsid w:val="005D5772"/>
    <w:rsid w:val="005D65FC"/>
    <w:rsid w:val="005E0A0C"/>
    <w:rsid w:val="005E35D9"/>
    <w:rsid w:val="005E3C3B"/>
    <w:rsid w:val="005E40A8"/>
    <w:rsid w:val="005F2126"/>
    <w:rsid w:val="005F2FD6"/>
    <w:rsid w:val="005F3A35"/>
    <w:rsid w:val="005F45AF"/>
    <w:rsid w:val="006012BD"/>
    <w:rsid w:val="00602086"/>
    <w:rsid w:val="006031E8"/>
    <w:rsid w:val="00606B93"/>
    <w:rsid w:val="00607309"/>
    <w:rsid w:val="00607F3D"/>
    <w:rsid w:val="00610C46"/>
    <w:rsid w:val="00611B50"/>
    <w:rsid w:val="00611D94"/>
    <w:rsid w:val="00614EE6"/>
    <w:rsid w:val="006159A1"/>
    <w:rsid w:val="00615C90"/>
    <w:rsid w:val="00620527"/>
    <w:rsid w:val="00621770"/>
    <w:rsid w:val="006267B2"/>
    <w:rsid w:val="00627B17"/>
    <w:rsid w:val="00630C62"/>
    <w:rsid w:val="00631D3F"/>
    <w:rsid w:val="00633271"/>
    <w:rsid w:val="00633FA0"/>
    <w:rsid w:val="00634325"/>
    <w:rsid w:val="00637DCC"/>
    <w:rsid w:val="00641159"/>
    <w:rsid w:val="006418C8"/>
    <w:rsid w:val="00641A05"/>
    <w:rsid w:val="006427D9"/>
    <w:rsid w:val="00642CC3"/>
    <w:rsid w:val="00643498"/>
    <w:rsid w:val="00643DDE"/>
    <w:rsid w:val="00645E2A"/>
    <w:rsid w:val="006461AC"/>
    <w:rsid w:val="00651462"/>
    <w:rsid w:val="00652D4F"/>
    <w:rsid w:val="00655BA3"/>
    <w:rsid w:val="006578D8"/>
    <w:rsid w:val="006607D3"/>
    <w:rsid w:val="00660AAC"/>
    <w:rsid w:val="00662D8D"/>
    <w:rsid w:val="0066398D"/>
    <w:rsid w:val="00664EA2"/>
    <w:rsid w:val="0066645A"/>
    <w:rsid w:val="00673878"/>
    <w:rsid w:val="00675252"/>
    <w:rsid w:val="00676D68"/>
    <w:rsid w:val="006811D8"/>
    <w:rsid w:val="0068325D"/>
    <w:rsid w:val="00692286"/>
    <w:rsid w:val="006923E7"/>
    <w:rsid w:val="00692778"/>
    <w:rsid w:val="00696616"/>
    <w:rsid w:val="006969C3"/>
    <w:rsid w:val="00696F11"/>
    <w:rsid w:val="006A2574"/>
    <w:rsid w:val="006B0B08"/>
    <w:rsid w:val="006B0D53"/>
    <w:rsid w:val="006B10A8"/>
    <w:rsid w:val="006B112B"/>
    <w:rsid w:val="006B3194"/>
    <w:rsid w:val="006B3F6F"/>
    <w:rsid w:val="006B4FD6"/>
    <w:rsid w:val="006C0FE6"/>
    <w:rsid w:val="006C17E3"/>
    <w:rsid w:val="006C1C6A"/>
    <w:rsid w:val="006C2F23"/>
    <w:rsid w:val="006C371A"/>
    <w:rsid w:val="006D0B53"/>
    <w:rsid w:val="006E1F6E"/>
    <w:rsid w:val="006F2412"/>
    <w:rsid w:val="006F698D"/>
    <w:rsid w:val="00700013"/>
    <w:rsid w:val="00702862"/>
    <w:rsid w:val="00702EDB"/>
    <w:rsid w:val="007056D4"/>
    <w:rsid w:val="0070573D"/>
    <w:rsid w:val="00707245"/>
    <w:rsid w:val="00711044"/>
    <w:rsid w:val="00713E3D"/>
    <w:rsid w:val="00715B68"/>
    <w:rsid w:val="00721F4A"/>
    <w:rsid w:val="0072215B"/>
    <w:rsid w:val="007253AD"/>
    <w:rsid w:val="00726630"/>
    <w:rsid w:val="00727C09"/>
    <w:rsid w:val="007312BF"/>
    <w:rsid w:val="00733EF5"/>
    <w:rsid w:val="00737BFF"/>
    <w:rsid w:val="00743DD4"/>
    <w:rsid w:val="007561B2"/>
    <w:rsid w:val="00763180"/>
    <w:rsid w:val="00763B4E"/>
    <w:rsid w:val="00763F99"/>
    <w:rsid w:val="00766389"/>
    <w:rsid w:val="00766A7C"/>
    <w:rsid w:val="007722A1"/>
    <w:rsid w:val="007722F9"/>
    <w:rsid w:val="007758EE"/>
    <w:rsid w:val="007806D4"/>
    <w:rsid w:val="00781768"/>
    <w:rsid w:val="00782019"/>
    <w:rsid w:val="00782692"/>
    <w:rsid w:val="00785998"/>
    <w:rsid w:val="007862A4"/>
    <w:rsid w:val="0078696C"/>
    <w:rsid w:val="00792E46"/>
    <w:rsid w:val="0079638C"/>
    <w:rsid w:val="007972D4"/>
    <w:rsid w:val="0079730E"/>
    <w:rsid w:val="00797925"/>
    <w:rsid w:val="007A021A"/>
    <w:rsid w:val="007A0DD5"/>
    <w:rsid w:val="007A3DEA"/>
    <w:rsid w:val="007B1B8E"/>
    <w:rsid w:val="007B50B4"/>
    <w:rsid w:val="007C0A40"/>
    <w:rsid w:val="007C1F9F"/>
    <w:rsid w:val="007C2D5D"/>
    <w:rsid w:val="007C4680"/>
    <w:rsid w:val="007C4BB3"/>
    <w:rsid w:val="007C4D7C"/>
    <w:rsid w:val="007C5AED"/>
    <w:rsid w:val="007C62C8"/>
    <w:rsid w:val="007C70FC"/>
    <w:rsid w:val="007D2879"/>
    <w:rsid w:val="007D4645"/>
    <w:rsid w:val="007D7899"/>
    <w:rsid w:val="007D7F93"/>
    <w:rsid w:val="007E0170"/>
    <w:rsid w:val="007E085B"/>
    <w:rsid w:val="007E2F0F"/>
    <w:rsid w:val="007E32FC"/>
    <w:rsid w:val="007E4B12"/>
    <w:rsid w:val="007E4C74"/>
    <w:rsid w:val="007E555E"/>
    <w:rsid w:val="007F18CF"/>
    <w:rsid w:val="007F4289"/>
    <w:rsid w:val="007F4B5D"/>
    <w:rsid w:val="007F57B0"/>
    <w:rsid w:val="007F7F91"/>
    <w:rsid w:val="00801F35"/>
    <w:rsid w:val="00803302"/>
    <w:rsid w:val="008048A6"/>
    <w:rsid w:val="008057EE"/>
    <w:rsid w:val="0080650B"/>
    <w:rsid w:val="0081196E"/>
    <w:rsid w:val="008136A5"/>
    <w:rsid w:val="008138FC"/>
    <w:rsid w:val="00813FB4"/>
    <w:rsid w:val="0082416B"/>
    <w:rsid w:val="00831B55"/>
    <w:rsid w:val="008343DC"/>
    <w:rsid w:val="00834ED8"/>
    <w:rsid w:val="00835B21"/>
    <w:rsid w:val="0084114B"/>
    <w:rsid w:val="00842B2A"/>
    <w:rsid w:val="00851650"/>
    <w:rsid w:val="00852373"/>
    <w:rsid w:val="00860510"/>
    <w:rsid w:val="008613FD"/>
    <w:rsid w:val="00864F72"/>
    <w:rsid w:val="00865BF4"/>
    <w:rsid w:val="00867705"/>
    <w:rsid w:val="008707C3"/>
    <w:rsid w:val="00870B2F"/>
    <w:rsid w:val="008736E5"/>
    <w:rsid w:val="008738DA"/>
    <w:rsid w:val="00873D60"/>
    <w:rsid w:val="0088383C"/>
    <w:rsid w:val="00883F80"/>
    <w:rsid w:val="00884A4E"/>
    <w:rsid w:val="0088617A"/>
    <w:rsid w:val="00887316"/>
    <w:rsid w:val="008903C1"/>
    <w:rsid w:val="008904BC"/>
    <w:rsid w:val="008946EA"/>
    <w:rsid w:val="00894D4A"/>
    <w:rsid w:val="00896593"/>
    <w:rsid w:val="008A089E"/>
    <w:rsid w:val="008A223E"/>
    <w:rsid w:val="008A6559"/>
    <w:rsid w:val="008B1D4F"/>
    <w:rsid w:val="008B4EBC"/>
    <w:rsid w:val="008C174D"/>
    <w:rsid w:val="008C238A"/>
    <w:rsid w:val="008C508D"/>
    <w:rsid w:val="008C567D"/>
    <w:rsid w:val="008D1236"/>
    <w:rsid w:val="008D67FA"/>
    <w:rsid w:val="008E0958"/>
    <w:rsid w:val="008E1980"/>
    <w:rsid w:val="008E2616"/>
    <w:rsid w:val="008E6557"/>
    <w:rsid w:val="008E7368"/>
    <w:rsid w:val="008E79F9"/>
    <w:rsid w:val="008F34BB"/>
    <w:rsid w:val="008F3580"/>
    <w:rsid w:val="008F52F4"/>
    <w:rsid w:val="0090150B"/>
    <w:rsid w:val="00910DD9"/>
    <w:rsid w:val="0091170B"/>
    <w:rsid w:val="00912F1F"/>
    <w:rsid w:val="009133A9"/>
    <w:rsid w:val="0091460D"/>
    <w:rsid w:val="00915B75"/>
    <w:rsid w:val="00917277"/>
    <w:rsid w:val="009211D2"/>
    <w:rsid w:val="009237B5"/>
    <w:rsid w:val="009246B7"/>
    <w:rsid w:val="00924BA9"/>
    <w:rsid w:val="00925D9D"/>
    <w:rsid w:val="00926FCD"/>
    <w:rsid w:val="00927607"/>
    <w:rsid w:val="00927B18"/>
    <w:rsid w:val="009300F9"/>
    <w:rsid w:val="00933838"/>
    <w:rsid w:val="00941C45"/>
    <w:rsid w:val="00943AAD"/>
    <w:rsid w:val="00945AB7"/>
    <w:rsid w:val="00946A60"/>
    <w:rsid w:val="0094765D"/>
    <w:rsid w:val="00947785"/>
    <w:rsid w:val="00951270"/>
    <w:rsid w:val="00952BCF"/>
    <w:rsid w:val="00957289"/>
    <w:rsid w:val="009636E8"/>
    <w:rsid w:val="00964A87"/>
    <w:rsid w:val="00964DC6"/>
    <w:rsid w:val="00965545"/>
    <w:rsid w:val="00966E74"/>
    <w:rsid w:val="00967A2B"/>
    <w:rsid w:val="0097017B"/>
    <w:rsid w:val="00970623"/>
    <w:rsid w:val="00970F97"/>
    <w:rsid w:val="00974204"/>
    <w:rsid w:val="00976B04"/>
    <w:rsid w:val="0097768E"/>
    <w:rsid w:val="00992AA1"/>
    <w:rsid w:val="00997944"/>
    <w:rsid w:val="009A1D36"/>
    <w:rsid w:val="009A33BE"/>
    <w:rsid w:val="009A42A3"/>
    <w:rsid w:val="009A4836"/>
    <w:rsid w:val="009A5E00"/>
    <w:rsid w:val="009B089F"/>
    <w:rsid w:val="009B1EAF"/>
    <w:rsid w:val="009B1EDE"/>
    <w:rsid w:val="009B38C8"/>
    <w:rsid w:val="009B739E"/>
    <w:rsid w:val="009C1C47"/>
    <w:rsid w:val="009C2BE3"/>
    <w:rsid w:val="009C2DE9"/>
    <w:rsid w:val="009C398C"/>
    <w:rsid w:val="009C71B5"/>
    <w:rsid w:val="009C74E5"/>
    <w:rsid w:val="009D4658"/>
    <w:rsid w:val="009D4797"/>
    <w:rsid w:val="009D7058"/>
    <w:rsid w:val="009D7A48"/>
    <w:rsid w:val="009E0336"/>
    <w:rsid w:val="009E10EC"/>
    <w:rsid w:val="009E51CC"/>
    <w:rsid w:val="009E7C80"/>
    <w:rsid w:val="009F4685"/>
    <w:rsid w:val="009F4FFD"/>
    <w:rsid w:val="009F6A0B"/>
    <w:rsid w:val="00A01E09"/>
    <w:rsid w:val="00A022D9"/>
    <w:rsid w:val="00A0357E"/>
    <w:rsid w:val="00A03C0D"/>
    <w:rsid w:val="00A12769"/>
    <w:rsid w:val="00A16FF2"/>
    <w:rsid w:val="00A21B13"/>
    <w:rsid w:val="00A22F6D"/>
    <w:rsid w:val="00A2549D"/>
    <w:rsid w:val="00A26C64"/>
    <w:rsid w:val="00A27138"/>
    <w:rsid w:val="00A3156F"/>
    <w:rsid w:val="00A325D0"/>
    <w:rsid w:val="00A3359F"/>
    <w:rsid w:val="00A34553"/>
    <w:rsid w:val="00A4105D"/>
    <w:rsid w:val="00A41AB5"/>
    <w:rsid w:val="00A4319A"/>
    <w:rsid w:val="00A4628E"/>
    <w:rsid w:val="00A57F0C"/>
    <w:rsid w:val="00A668CB"/>
    <w:rsid w:val="00A66D4D"/>
    <w:rsid w:val="00A73351"/>
    <w:rsid w:val="00A73AD0"/>
    <w:rsid w:val="00A74BD1"/>
    <w:rsid w:val="00A8007D"/>
    <w:rsid w:val="00A83D36"/>
    <w:rsid w:val="00A87174"/>
    <w:rsid w:val="00A94E2C"/>
    <w:rsid w:val="00A951D8"/>
    <w:rsid w:val="00AA484A"/>
    <w:rsid w:val="00AA7D83"/>
    <w:rsid w:val="00AB00F1"/>
    <w:rsid w:val="00AB077C"/>
    <w:rsid w:val="00AB628D"/>
    <w:rsid w:val="00AC0201"/>
    <w:rsid w:val="00AC2E94"/>
    <w:rsid w:val="00AC62DE"/>
    <w:rsid w:val="00AC6703"/>
    <w:rsid w:val="00AD055D"/>
    <w:rsid w:val="00AD1952"/>
    <w:rsid w:val="00AD2DDF"/>
    <w:rsid w:val="00AD38ED"/>
    <w:rsid w:val="00AD3914"/>
    <w:rsid w:val="00AD4282"/>
    <w:rsid w:val="00AD77FD"/>
    <w:rsid w:val="00AE3FE6"/>
    <w:rsid w:val="00AE4308"/>
    <w:rsid w:val="00AE59B9"/>
    <w:rsid w:val="00AE5B99"/>
    <w:rsid w:val="00AE6825"/>
    <w:rsid w:val="00AE7F6A"/>
    <w:rsid w:val="00AF25DA"/>
    <w:rsid w:val="00AF3485"/>
    <w:rsid w:val="00B01ECC"/>
    <w:rsid w:val="00B03A39"/>
    <w:rsid w:val="00B044F2"/>
    <w:rsid w:val="00B049EC"/>
    <w:rsid w:val="00B04B0D"/>
    <w:rsid w:val="00B04DD6"/>
    <w:rsid w:val="00B07772"/>
    <w:rsid w:val="00B10264"/>
    <w:rsid w:val="00B1212B"/>
    <w:rsid w:val="00B12979"/>
    <w:rsid w:val="00B12E62"/>
    <w:rsid w:val="00B1403D"/>
    <w:rsid w:val="00B22B83"/>
    <w:rsid w:val="00B265DA"/>
    <w:rsid w:val="00B26665"/>
    <w:rsid w:val="00B2753F"/>
    <w:rsid w:val="00B27DBA"/>
    <w:rsid w:val="00B31114"/>
    <w:rsid w:val="00B32C83"/>
    <w:rsid w:val="00B32EE2"/>
    <w:rsid w:val="00B37C1A"/>
    <w:rsid w:val="00B40DC1"/>
    <w:rsid w:val="00B4126D"/>
    <w:rsid w:val="00B449C9"/>
    <w:rsid w:val="00B45B54"/>
    <w:rsid w:val="00B47506"/>
    <w:rsid w:val="00B53C36"/>
    <w:rsid w:val="00B55C20"/>
    <w:rsid w:val="00B56DDE"/>
    <w:rsid w:val="00B57C79"/>
    <w:rsid w:val="00B62056"/>
    <w:rsid w:val="00B6516D"/>
    <w:rsid w:val="00B6584B"/>
    <w:rsid w:val="00B65F3D"/>
    <w:rsid w:val="00B6667B"/>
    <w:rsid w:val="00B66911"/>
    <w:rsid w:val="00B7058E"/>
    <w:rsid w:val="00B70918"/>
    <w:rsid w:val="00B70EC1"/>
    <w:rsid w:val="00B7103E"/>
    <w:rsid w:val="00B71E12"/>
    <w:rsid w:val="00B72FDD"/>
    <w:rsid w:val="00B7448B"/>
    <w:rsid w:val="00B76804"/>
    <w:rsid w:val="00B76EA6"/>
    <w:rsid w:val="00B8177B"/>
    <w:rsid w:val="00B82B10"/>
    <w:rsid w:val="00B850A6"/>
    <w:rsid w:val="00B85F3A"/>
    <w:rsid w:val="00B86BAF"/>
    <w:rsid w:val="00B87E94"/>
    <w:rsid w:val="00B90ED9"/>
    <w:rsid w:val="00B92B49"/>
    <w:rsid w:val="00B9364E"/>
    <w:rsid w:val="00B945EF"/>
    <w:rsid w:val="00BA42E0"/>
    <w:rsid w:val="00BA59F9"/>
    <w:rsid w:val="00BB2686"/>
    <w:rsid w:val="00BB376E"/>
    <w:rsid w:val="00BB3A20"/>
    <w:rsid w:val="00BB5490"/>
    <w:rsid w:val="00BB5557"/>
    <w:rsid w:val="00BB56BC"/>
    <w:rsid w:val="00BB5AAF"/>
    <w:rsid w:val="00BC1090"/>
    <w:rsid w:val="00BC3371"/>
    <w:rsid w:val="00BC4024"/>
    <w:rsid w:val="00BC4D9D"/>
    <w:rsid w:val="00BC71E3"/>
    <w:rsid w:val="00BC774F"/>
    <w:rsid w:val="00BC794C"/>
    <w:rsid w:val="00BC7D9A"/>
    <w:rsid w:val="00BD0277"/>
    <w:rsid w:val="00BD2A14"/>
    <w:rsid w:val="00BD2E38"/>
    <w:rsid w:val="00BD3F58"/>
    <w:rsid w:val="00BD4A11"/>
    <w:rsid w:val="00BD4BBC"/>
    <w:rsid w:val="00BD6339"/>
    <w:rsid w:val="00BE0935"/>
    <w:rsid w:val="00BE13E2"/>
    <w:rsid w:val="00BE1BBE"/>
    <w:rsid w:val="00BE4FDC"/>
    <w:rsid w:val="00BE5414"/>
    <w:rsid w:val="00BE715D"/>
    <w:rsid w:val="00BE765C"/>
    <w:rsid w:val="00BF0670"/>
    <w:rsid w:val="00BF2AD9"/>
    <w:rsid w:val="00BF3236"/>
    <w:rsid w:val="00BF3D52"/>
    <w:rsid w:val="00BF507F"/>
    <w:rsid w:val="00C03734"/>
    <w:rsid w:val="00C06502"/>
    <w:rsid w:val="00C07ADF"/>
    <w:rsid w:val="00C11E14"/>
    <w:rsid w:val="00C12C66"/>
    <w:rsid w:val="00C14B07"/>
    <w:rsid w:val="00C16DBC"/>
    <w:rsid w:val="00C21271"/>
    <w:rsid w:val="00C21699"/>
    <w:rsid w:val="00C22D64"/>
    <w:rsid w:val="00C25389"/>
    <w:rsid w:val="00C2539C"/>
    <w:rsid w:val="00C27692"/>
    <w:rsid w:val="00C30B3F"/>
    <w:rsid w:val="00C3151A"/>
    <w:rsid w:val="00C319A3"/>
    <w:rsid w:val="00C338D5"/>
    <w:rsid w:val="00C35A2B"/>
    <w:rsid w:val="00C36E19"/>
    <w:rsid w:val="00C41357"/>
    <w:rsid w:val="00C53A5D"/>
    <w:rsid w:val="00C55153"/>
    <w:rsid w:val="00C55C70"/>
    <w:rsid w:val="00C56885"/>
    <w:rsid w:val="00C56EB0"/>
    <w:rsid w:val="00C57680"/>
    <w:rsid w:val="00C57997"/>
    <w:rsid w:val="00C6230B"/>
    <w:rsid w:val="00C6312E"/>
    <w:rsid w:val="00C639A5"/>
    <w:rsid w:val="00C6563C"/>
    <w:rsid w:val="00C70E45"/>
    <w:rsid w:val="00C72799"/>
    <w:rsid w:val="00C75480"/>
    <w:rsid w:val="00C76FB3"/>
    <w:rsid w:val="00C77964"/>
    <w:rsid w:val="00C77E5E"/>
    <w:rsid w:val="00C80261"/>
    <w:rsid w:val="00C825D1"/>
    <w:rsid w:val="00C85096"/>
    <w:rsid w:val="00C85A1E"/>
    <w:rsid w:val="00C91526"/>
    <w:rsid w:val="00C920CC"/>
    <w:rsid w:val="00C962CF"/>
    <w:rsid w:val="00C96E60"/>
    <w:rsid w:val="00CA0822"/>
    <w:rsid w:val="00CA155A"/>
    <w:rsid w:val="00CA35C9"/>
    <w:rsid w:val="00CB1D09"/>
    <w:rsid w:val="00CB418C"/>
    <w:rsid w:val="00CB4564"/>
    <w:rsid w:val="00CB543C"/>
    <w:rsid w:val="00CB553A"/>
    <w:rsid w:val="00CB6405"/>
    <w:rsid w:val="00CB6FB0"/>
    <w:rsid w:val="00CC0860"/>
    <w:rsid w:val="00CC0D36"/>
    <w:rsid w:val="00CC1014"/>
    <w:rsid w:val="00CC1211"/>
    <w:rsid w:val="00CC25CC"/>
    <w:rsid w:val="00CC2F87"/>
    <w:rsid w:val="00CC4348"/>
    <w:rsid w:val="00CC4634"/>
    <w:rsid w:val="00CC5320"/>
    <w:rsid w:val="00CD1491"/>
    <w:rsid w:val="00CD2471"/>
    <w:rsid w:val="00CD64DE"/>
    <w:rsid w:val="00CE0AD3"/>
    <w:rsid w:val="00CE5C32"/>
    <w:rsid w:val="00CE7866"/>
    <w:rsid w:val="00CF134D"/>
    <w:rsid w:val="00CF358D"/>
    <w:rsid w:val="00CF516C"/>
    <w:rsid w:val="00CF6971"/>
    <w:rsid w:val="00D00AC1"/>
    <w:rsid w:val="00D01F28"/>
    <w:rsid w:val="00D04721"/>
    <w:rsid w:val="00D1189C"/>
    <w:rsid w:val="00D12112"/>
    <w:rsid w:val="00D1278D"/>
    <w:rsid w:val="00D13ACB"/>
    <w:rsid w:val="00D15DF1"/>
    <w:rsid w:val="00D16434"/>
    <w:rsid w:val="00D16547"/>
    <w:rsid w:val="00D20368"/>
    <w:rsid w:val="00D228B9"/>
    <w:rsid w:val="00D22E95"/>
    <w:rsid w:val="00D24260"/>
    <w:rsid w:val="00D25C87"/>
    <w:rsid w:val="00D26FA2"/>
    <w:rsid w:val="00D30F85"/>
    <w:rsid w:val="00D310C2"/>
    <w:rsid w:val="00D3635F"/>
    <w:rsid w:val="00D400AA"/>
    <w:rsid w:val="00D402C2"/>
    <w:rsid w:val="00D40574"/>
    <w:rsid w:val="00D432BA"/>
    <w:rsid w:val="00D456FB"/>
    <w:rsid w:val="00D45776"/>
    <w:rsid w:val="00D50651"/>
    <w:rsid w:val="00D51E35"/>
    <w:rsid w:val="00D520A8"/>
    <w:rsid w:val="00D52F8B"/>
    <w:rsid w:val="00D566F5"/>
    <w:rsid w:val="00D62E5F"/>
    <w:rsid w:val="00D639C7"/>
    <w:rsid w:val="00D718E2"/>
    <w:rsid w:val="00D73425"/>
    <w:rsid w:val="00D73582"/>
    <w:rsid w:val="00D74FDC"/>
    <w:rsid w:val="00D769B0"/>
    <w:rsid w:val="00D80CF0"/>
    <w:rsid w:val="00D81C7A"/>
    <w:rsid w:val="00D83335"/>
    <w:rsid w:val="00D83727"/>
    <w:rsid w:val="00D85224"/>
    <w:rsid w:val="00D862E7"/>
    <w:rsid w:val="00D86874"/>
    <w:rsid w:val="00D86BBA"/>
    <w:rsid w:val="00D87713"/>
    <w:rsid w:val="00D903A8"/>
    <w:rsid w:val="00D9154A"/>
    <w:rsid w:val="00D91E56"/>
    <w:rsid w:val="00D93271"/>
    <w:rsid w:val="00D95035"/>
    <w:rsid w:val="00D961A6"/>
    <w:rsid w:val="00D96319"/>
    <w:rsid w:val="00D96929"/>
    <w:rsid w:val="00DA037F"/>
    <w:rsid w:val="00DA0CA2"/>
    <w:rsid w:val="00DA158D"/>
    <w:rsid w:val="00DA46FC"/>
    <w:rsid w:val="00DA4B87"/>
    <w:rsid w:val="00DB0766"/>
    <w:rsid w:val="00DB0B71"/>
    <w:rsid w:val="00DB1E6E"/>
    <w:rsid w:val="00DB274B"/>
    <w:rsid w:val="00DB33CB"/>
    <w:rsid w:val="00DB4D86"/>
    <w:rsid w:val="00DC240F"/>
    <w:rsid w:val="00DC6460"/>
    <w:rsid w:val="00DD1BAF"/>
    <w:rsid w:val="00DD1D94"/>
    <w:rsid w:val="00DD3167"/>
    <w:rsid w:val="00DD4E98"/>
    <w:rsid w:val="00DD58B8"/>
    <w:rsid w:val="00DD6AC0"/>
    <w:rsid w:val="00DD75E5"/>
    <w:rsid w:val="00DE1194"/>
    <w:rsid w:val="00DE1735"/>
    <w:rsid w:val="00DE222F"/>
    <w:rsid w:val="00DE2DAA"/>
    <w:rsid w:val="00DE31E6"/>
    <w:rsid w:val="00DE3A07"/>
    <w:rsid w:val="00DE42BA"/>
    <w:rsid w:val="00DE5048"/>
    <w:rsid w:val="00DF0345"/>
    <w:rsid w:val="00DF06E3"/>
    <w:rsid w:val="00DF08AA"/>
    <w:rsid w:val="00DF0B3B"/>
    <w:rsid w:val="00DF1229"/>
    <w:rsid w:val="00DF1B89"/>
    <w:rsid w:val="00DF28B7"/>
    <w:rsid w:val="00DF47FF"/>
    <w:rsid w:val="00DF483E"/>
    <w:rsid w:val="00E013E9"/>
    <w:rsid w:val="00E02932"/>
    <w:rsid w:val="00E041F0"/>
    <w:rsid w:val="00E12B19"/>
    <w:rsid w:val="00E14C13"/>
    <w:rsid w:val="00E16654"/>
    <w:rsid w:val="00E20A28"/>
    <w:rsid w:val="00E21CDD"/>
    <w:rsid w:val="00E26DFE"/>
    <w:rsid w:val="00E33520"/>
    <w:rsid w:val="00E34624"/>
    <w:rsid w:val="00E359B6"/>
    <w:rsid w:val="00E3623E"/>
    <w:rsid w:val="00E36295"/>
    <w:rsid w:val="00E36DC1"/>
    <w:rsid w:val="00E37775"/>
    <w:rsid w:val="00E37CBE"/>
    <w:rsid w:val="00E40512"/>
    <w:rsid w:val="00E40E86"/>
    <w:rsid w:val="00E43435"/>
    <w:rsid w:val="00E443A1"/>
    <w:rsid w:val="00E46BCD"/>
    <w:rsid w:val="00E47519"/>
    <w:rsid w:val="00E52901"/>
    <w:rsid w:val="00E5370A"/>
    <w:rsid w:val="00E62D31"/>
    <w:rsid w:val="00E63AA1"/>
    <w:rsid w:val="00E63AE6"/>
    <w:rsid w:val="00E65BB3"/>
    <w:rsid w:val="00E65DAB"/>
    <w:rsid w:val="00E67215"/>
    <w:rsid w:val="00E67D3C"/>
    <w:rsid w:val="00E75BB5"/>
    <w:rsid w:val="00E82936"/>
    <w:rsid w:val="00E82C52"/>
    <w:rsid w:val="00E85A64"/>
    <w:rsid w:val="00E86C5C"/>
    <w:rsid w:val="00E90E54"/>
    <w:rsid w:val="00E9253F"/>
    <w:rsid w:val="00E94274"/>
    <w:rsid w:val="00E94929"/>
    <w:rsid w:val="00E953F4"/>
    <w:rsid w:val="00EA2C19"/>
    <w:rsid w:val="00EA3CC5"/>
    <w:rsid w:val="00EA4F63"/>
    <w:rsid w:val="00EA5A02"/>
    <w:rsid w:val="00EB1EE7"/>
    <w:rsid w:val="00EB24D1"/>
    <w:rsid w:val="00EB66A4"/>
    <w:rsid w:val="00EC132A"/>
    <w:rsid w:val="00EC409E"/>
    <w:rsid w:val="00EC45FC"/>
    <w:rsid w:val="00EC4A4E"/>
    <w:rsid w:val="00EC653E"/>
    <w:rsid w:val="00EC6A8E"/>
    <w:rsid w:val="00EC6BCB"/>
    <w:rsid w:val="00EC7C7D"/>
    <w:rsid w:val="00ED073E"/>
    <w:rsid w:val="00ED0F3F"/>
    <w:rsid w:val="00ED12AC"/>
    <w:rsid w:val="00ED2E3C"/>
    <w:rsid w:val="00ED7008"/>
    <w:rsid w:val="00EE31F3"/>
    <w:rsid w:val="00EE5DF6"/>
    <w:rsid w:val="00EE6282"/>
    <w:rsid w:val="00EF115D"/>
    <w:rsid w:val="00EF1C19"/>
    <w:rsid w:val="00EF2BDC"/>
    <w:rsid w:val="00EF63AA"/>
    <w:rsid w:val="00EF7FDF"/>
    <w:rsid w:val="00F020BA"/>
    <w:rsid w:val="00F02DE0"/>
    <w:rsid w:val="00F053FC"/>
    <w:rsid w:val="00F055A5"/>
    <w:rsid w:val="00F07279"/>
    <w:rsid w:val="00F077D4"/>
    <w:rsid w:val="00F079CC"/>
    <w:rsid w:val="00F07B0B"/>
    <w:rsid w:val="00F10134"/>
    <w:rsid w:val="00F106EA"/>
    <w:rsid w:val="00F13CC7"/>
    <w:rsid w:val="00F143D3"/>
    <w:rsid w:val="00F151BE"/>
    <w:rsid w:val="00F16403"/>
    <w:rsid w:val="00F21609"/>
    <w:rsid w:val="00F260EC"/>
    <w:rsid w:val="00F26889"/>
    <w:rsid w:val="00F26CE1"/>
    <w:rsid w:val="00F30F7B"/>
    <w:rsid w:val="00F313C9"/>
    <w:rsid w:val="00F31830"/>
    <w:rsid w:val="00F33692"/>
    <w:rsid w:val="00F35DBE"/>
    <w:rsid w:val="00F36831"/>
    <w:rsid w:val="00F4377C"/>
    <w:rsid w:val="00F441ED"/>
    <w:rsid w:val="00F46853"/>
    <w:rsid w:val="00F54CB2"/>
    <w:rsid w:val="00F551B0"/>
    <w:rsid w:val="00F5580A"/>
    <w:rsid w:val="00F57D31"/>
    <w:rsid w:val="00F60892"/>
    <w:rsid w:val="00F63369"/>
    <w:rsid w:val="00F6398A"/>
    <w:rsid w:val="00F66D56"/>
    <w:rsid w:val="00F72FF1"/>
    <w:rsid w:val="00F757AE"/>
    <w:rsid w:val="00F83C99"/>
    <w:rsid w:val="00F849BB"/>
    <w:rsid w:val="00F86CA6"/>
    <w:rsid w:val="00F92334"/>
    <w:rsid w:val="00F975A9"/>
    <w:rsid w:val="00F97F46"/>
    <w:rsid w:val="00FA0211"/>
    <w:rsid w:val="00FA14B6"/>
    <w:rsid w:val="00FA3C84"/>
    <w:rsid w:val="00FB0775"/>
    <w:rsid w:val="00FB1F74"/>
    <w:rsid w:val="00FB31EE"/>
    <w:rsid w:val="00FB3AFA"/>
    <w:rsid w:val="00FB5052"/>
    <w:rsid w:val="00FB611B"/>
    <w:rsid w:val="00FB65E2"/>
    <w:rsid w:val="00FC1289"/>
    <w:rsid w:val="00FC199C"/>
    <w:rsid w:val="00FC4D54"/>
    <w:rsid w:val="00FC7940"/>
    <w:rsid w:val="00FC7BBF"/>
    <w:rsid w:val="00FD082D"/>
    <w:rsid w:val="00FD0CFA"/>
    <w:rsid w:val="00FD46BA"/>
    <w:rsid w:val="00FD5D4A"/>
    <w:rsid w:val="00FD702D"/>
    <w:rsid w:val="00FE3C39"/>
    <w:rsid w:val="00FE58E7"/>
    <w:rsid w:val="00FE7BB1"/>
    <w:rsid w:val="00FF13AC"/>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Estilo">
    <w:name w:val="Estilo"/>
    <w:basedOn w:val="Sinespaciado"/>
    <w:link w:val="EstiloCar"/>
    <w:qFormat/>
    <w:rsid w:val="00DC6460"/>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DC6460"/>
    <w:rPr>
      <w:rFonts w:ascii="Arial" w:eastAsiaTheme="minorEastAsia" w:hAnsi="Arial"/>
      <w:sz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219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4219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styleId="Textoennegrita">
    <w:name w:val="Strong"/>
    <w:basedOn w:val="Fuentedeprrafopredeter"/>
    <w:uiPriority w:val="22"/>
    <w:qFormat/>
    <w:rsid w:val="0094765D"/>
    <w:rPr>
      <w:b/>
      <w:bCs/>
    </w:rPr>
  </w:style>
  <w:style w:type="character" w:customStyle="1" w:styleId="Ttulo2Car">
    <w:name w:val="Título 2 Car"/>
    <w:basedOn w:val="Fuentedeprrafopredeter"/>
    <w:link w:val="Ttulo2"/>
    <w:uiPriority w:val="9"/>
    <w:rsid w:val="004219B9"/>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uiPriority w:val="9"/>
    <w:rsid w:val="004219B9"/>
    <w:rPr>
      <w:rFonts w:asciiTheme="majorHAnsi" w:eastAsiaTheme="majorEastAsia" w:hAnsiTheme="majorHAnsi" w:cstheme="majorBidi"/>
      <w:color w:val="243F60" w:themeColor="accent1" w:themeShade="7F"/>
      <w:sz w:val="24"/>
      <w:szCs w:val="24"/>
      <w:lang w:val="es-ES"/>
    </w:rPr>
  </w:style>
  <w:style w:type="paragraph" w:styleId="Textoindependiente">
    <w:name w:val="Body Text"/>
    <w:basedOn w:val="Normal"/>
    <w:link w:val="TextoindependienteCar"/>
    <w:uiPriority w:val="99"/>
    <w:unhideWhenUsed/>
    <w:rsid w:val="004219B9"/>
    <w:pPr>
      <w:spacing w:after="120"/>
    </w:pPr>
  </w:style>
  <w:style w:type="character" w:customStyle="1" w:styleId="TextoindependienteCar">
    <w:name w:val="Texto independiente Car"/>
    <w:basedOn w:val="Fuentedeprrafopredeter"/>
    <w:link w:val="Textoindependiente"/>
    <w:uiPriority w:val="99"/>
    <w:rsid w:val="004219B9"/>
    <w:rPr>
      <w:lang w:val="es-ES"/>
    </w:rPr>
  </w:style>
  <w:style w:type="paragraph" w:styleId="Textoindependienteprimerasangra">
    <w:name w:val="Body Text First Indent"/>
    <w:basedOn w:val="Textoindependiente"/>
    <w:link w:val="TextoindependienteprimerasangraCar"/>
    <w:uiPriority w:val="99"/>
    <w:unhideWhenUsed/>
    <w:rsid w:val="004219B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4219B9"/>
    <w:rPr>
      <w:lang w:val="es-ES"/>
    </w:rPr>
  </w:style>
  <w:style w:type="paragraph" w:styleId="Sangradetextonormal">
    <w:name w:val="Body Text Indent"/>
    <w:basedOn w:val="Normal"/>
    <w:link w:val="SangradetextonormalCar"/>
    <w:uiPriority w:val="99"/>
    <w:semiHidden/>
    <w:unhideWhenUsed/>
    <w:rsid w:val="004219B9"/>
    <w:pPr>
      <w:spacing w:after="120"/>
      <w:ind w:left="283"/>
    </w:pPr>
  </w:style>
  <w:style w:type="character" w:customStyle="1" w:styleId="SangradetextonormalCar">
    <w:name w:val="Sangría de texto normal Car"/>
    <w:basedOn w:val="Fuentedeprrafopredeter"/>
    <w:link w:val="Sangradetextonormal"/>
    <w:uiPriority w:val="99"/>
    <w:semiHidden/>
    <w:rsid w:val="004219B9"/>
    <w:rPr>
      <w:lang w:val="es-ES"/>
    </w:rPr>
  </w:style>
  <w:style w:type="paragraph" w:styleId="Textoindependienteprimerasangra2">
    <w:name w:val="Body Text First Indent 2"/>
    <w:basedOn w:val="Sangradetextonormal"/>
    <w:link w:val="Textoindependienteprimerasangra2Car"/>
    <w:uiPriority w:val="99"/>
    <w:unhideWhenUsed/>
    <w:rsid w:val="004219B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19B9"/>
    <w:rPr>
      <w:lang w:val="es-ES"/>
    </w:rPr>
  </w:style>
  <w:style w:type="paragraph" w:customStyle="1" w:styleId="Pa1">
    <w:name w:val="Pa1"/>
    <w:basedOn w:val="Normal"/>
    <w:next w:val="Normal"/>
    <w:uiPriority w:val="99"/>
    <w:rsid w:val="0024133F"/>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24133F"/>
    <w:rPr>
      <w:i/>
      <w:iCs/>
      <w:color w:val="000000"/>
      <w:sz w:val="28"/>
      <w:szCs w:val="28"/>
    </w:rPr>
  </w:style>
  <w:style w:type="paragraph" w:styleId="NormalWeb">
    <w:name w:val="Normal (Web)"/>
    <w:basedOn w:val="Normal"/>
    <w:uiPriority w:val="99"/>
    <w:unhideWhenUsed/>
    <w:rsid w:val="00F020B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Estilo">
    <w:name w:val="Estilo"/>
    <w:basedOn w:val="Sinespaciado"/>
    <w:link w:val="EstiloCar"/>
    <w:qFormat/>
    <w:rsid w:val="00DC6460"/>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DC6460"/>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851">
      <w:bodyDiv w:val="1"/>
      <w:marLeft w:val="0"/>
      <w:marRight w:val="0"/>
      <w:marTop w:val="0"/>
      <w:marBottom w:val="0"/>
      <w:divBdr>
        <w:top w:val="none" w:sz="0" w:space="0" w:color="auto"/>
        <w:left w:val="none" w:sz="0" w:space="0" w:color="auto"/>
        <w:bottom w:val="none" w:sz="0" w:space="0" w:color="auto"/>
        <w:right w:val="none" w:sz="0" w:space="0" w:color="auto"/>
      </w:divBdr>
    </w:div>
    <w:div w:id="782656328">
      <w:bodyDiv w:val="1"/>
      <w:marLeft w:val="0"/>
      <w:marRight w:val="0"/>
      <w:marTop w:val="0"/>
      <w:marBottom w:val="0"/>
      <w:divBdr>
        <w:top w:val="none" w:sz="0" w:space="0" w:color="auto"/>
        <w:left w:val="none" w:sz="0" w:space="0" w:color="auto"/>
        <w:bottom w:val="none" w:sz="0" w:space="0" w:color="auto"/>
        <w:right w:val="none" w:sz="0" w:space="0" w:color="auto"/>
      </w:divBdr>
    </w:div>
    <w:div w:id="1959413629">
      <w:bodyDiv w:val="1"/>
      <w:marLeft w:val="0"/>
      <w:marRight w:val="0"/>
      <w:marTop w:val="0"/>
      <w:marBottom w:val="0"/>
      <w:divBdr>
        <w:top w:val="none" w:sz="0" w:space="0" w:color="auto"/>
        <w:left w:val="none" w:sz="0" w:space="0" w:color="auto"/>
        <w:bottom w:val="none" w:sz="0" w:space="0" w:color="auto"/>
        <w:right w:val="none" w:sz="0" w:space="0" w:color="auto"/>
      </w:divBdr>
      <w:divsChild>
        <w:div w:id="1956593415">
          <w:marLeft w:val="0"/>
          <w:marRight w:val="0"/>
          <w:marTop w:val="0"/>
          <w:marBottom w:val="0"/>
          <w:divBdr>
            <w:top w:val="none" w:sz="0" w:space="0" w:color="auto"/>
            <w:left w:val="none" w:sz="0" w:space="0" w:color="auto"/>
            <w:bottom w:val="none" w:sz="0" w:space="0" w:color="auto"/>
            <w:right w:val="none" w:sz="0" w:space="0" w:color="auto"/>
          </w:divBdr>
        </w:div>
        <w:div w:id="445850113">
          <w:marLeft w:val="0"/>
          <w:marRight w:val="0"/>
          <w:marTop w:val="0"/>
          <w:marBottom w:val="0"/>
          <w:divBdr>
            <w:top w:val="none" w:sz="0" w:space="0" w:color="auto"/>
            <w:left w:val="none" w:sz="0" w:space="0" w:color="auto"/>
            <w:bottom w:val="none" w:sz="0" w:space="0" w:color="auto"/>
            <w:right w:val="none" w:sz="0" w:space="0" w:color="auto"/>
          </w:divBdr>
        </w:div>
        <w:div w:id="110126328">
          <w:marLeft w:val="0"/>
          <w:marRight w:val="0"/>
          <w:marTop w:val="0"/>
          <w:marBottom w:val="0"/>
          <w:divBdr>
            <w:top w:val="none" w:sz="0" w:space="0" w:color="auto"/>
            <w:left w:val="none" w:sz="0" w:space="0" w:color="auto"/>
            <w:bottom w:val="none" w:sz="0" w:space="0" w:color="auto"/>
            <w:right w:val="none" w:sz="0" w:space="0" w:color="auto"/>
          </w:divBdr>
        </w:div>
        <w:div w:id="347021150">
          <w:marLeft w:val="0"/>
          <w:marRight w:val="0"/>
          <w:marTop w:val="0"/>
          <w:marBottom w:val="0"/>
          <w:divBdr>
            <w:top w:val="none" w:sz="0" w:space="0" w:color="auto"/>
            <w:left w:val="none" w:sz="0" w:space="0" w:color="auto"/>
            <w:bottom w:val="none" w:sz="0" w:space="0" w:color="auto"/>
            <w:right w:val="none" w:sz="0" w:space="0" w:color="auto"/>
          </w:divBdr>
        </w:div>
        <w:div w:id="1560898512">
          <w:marLeft w:val="0"/>
          <w:marRight w:val="0"/>
          <w:marTop w:val="0"/>
          <w:marBottom w:val="0"/>
          <w:divBdr>
            <w:top w:val="none" w:sz="0" w:space="0" w:color="auto"/>
            <w:left w:val="none" w:sz="0" w:space="0" w:color="auto"/>
            <w:bottom w:val="none" w:sz="0" w:space="0" w:color="auto"/>
            <w:right w:val="none" w:sz="0" w:space="0" w:color="auto"/>
          </w:divBdr>
        </w:div>
        <w:div w:id="903485679">
          <w:marLeft w:val="0"/>
          <w:marRight w:val="0"/>
          <w:marTop w:val="0"/>
          <w:marBottom w:val="0"/>
          <w:divBdr>
            <w:top w:val="none" w:sz="0" w:space="0" w:color="auto"/>
            <w:left w:val="none" w:sz="0" w:space="0" w:color="auto"/>
            <w:bottom w:val="none" w:sz="0" w:space="0" w:color="auto"/>
            <w:right w:val="none" w:sz="0" w:space="0" w:color="auto"/>
          </w:divBdr>
        </w:div>
        <w:div w:id="186719265">
          <w:marLeft w:val="0"/>
          <w:marRight w:val="0"/>
          <w:marTop w:val="0"/>
          <w:marBottom w:val="0"/>
          <w:divBdr>
            <w:top w:val="none" w:sz="0" w:space="0" w:color="auto"/>
            <w:left w:val="none" w:sz="0" w:space="0" w:color="auto"/>
            <w:bottom w:val="none" w:sz="0" w:space="0" w:color="auto"/>
            <w:right w:val="none" w:sz="0" w:space="0" w:color="auto"/>
          </w:divBdr>
        </w:div>
        <w:div w:id="760218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4D2B-229A-4C64-8924-380B44D6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2052</Words>
  <Characters>11290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cp:revision>
  <cp:lastPrinted>2018-01-10T16:51:00Z</cp:lastPrinted>
  <dcterms:created xsi:type="dcterms:W3CDTF">2018-01-15T15:35:00Z</dcterms:created>
  <dcterms:modified xsi:type="dcterms:W3CDTF">2018-12-05T21:19:00Z</dcterms:modified>
</cp:coreProperties>
</file>