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E324C0"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59273B">
              <w:rPr>
                <w:rFonts w:ascii="Arial" w:eastAsia="Times New Roman" w:hAnsi="Arial" w:cs="Arial"/>
                <w:bCs/>
                <w:iCs/>
                <w:caps/>
                <w:kern w:val="2"/>
                <w:sz w:val="23"/>
                <w:szCs w:val="23"/>
                <w:lang w:val="es-ES_tradnl" w:eastAsia="es-ES"/>
              </w:rPr>
              <w:t>54</w:t>
            </w:r>
            <w:r w:rsidR="00344143">
              <w:rPr>
                <w:rFonts w:ascii="Arial" w:eastAsia="Times New Roman" w:hAnsi="Arial" w:cs="Arial"/>
                <w:bCs/>
                <w:iCs/>
                <w:caps/>
                <w:kern w:val="2"/>
                <w:sz w:val="23"/>
                <w:szCs w:val="23"/>
                <w:lang w:val="es-ES_tradnl" w:eastAsia="es-ES"/>
              </w:rPr>
              <w:t>/2017</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A71BAB" w:rsidP="00A71BAB">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DC5E1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 xml:space="preserve">vialidad municpal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A527DA">
        <w:rPr>
          <w:rFonts w:ascii="Arial" w:hAnsi="Arial" w:cs="Arial"/>
          <w:b/>
          <w:sz w:val="24"/>
          <w:szCs w:val="24"/>
        </w:rPr>
        <w:t xml:space="preserve">17 DIECISIETE </w:t>
      </w:r>
      <w:r w:rsidR="00646C39">
        <w:rPr>
          <w:rFonts w:ascii="Arial" w:hAnsi="Arial" w:cs="Arial"/>
          <w:b/>
          <w:sz w:val="24"/>
          <w:szCs w:val="24"/>
        </w:rPr>
        <w:t>DE</w:t>
      </w:r>
      <w:r w:rsidR="00E324C0">
        <w:rPr>
          <w:rFonts w:ascii="Arial" w:hAnsi="Arial" w:cs="Arial"/>
          <w:b/>
          <w:sz w:val="24"/>
          <w:szCs w:val="24"/>
        </w:rPr>
        <w:t xml:space="preserve"> ENERO 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646C39" w:rsidRPr="00DC5E12">
        <w:rPr>
          <w:rFonts w:ascii="Arial" w:hAnsi="Arial" w:cs="Arial"/>
          <w:b/>
          <w:sz w:val="24"/>
          <w:szCs w:val="24"/>
          <w:lang w:eastAsia="es-ES"/>
        </w:rPr>
        <w:t>054</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BC3529">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132ACE">
        <w:rPr>
          <w:rFonts w:ascii="Arial" w:hAnsi="Arial" w:cs="Arial"/>
          <w:b/>
          <w:sz w:val="24"/>
          <w:szCs w:val="24"/>
          <w:lang w:val="es-ES_tradnl" w:eastAsia="es-ES"/>
        </w:rPr>
        <w:t>02</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754564">
        <w:rPr>
          <w:rFonts w:ascii="Arial" w:hAnsi="Arial" w:cs="Arial"/>
          <w:b/>
          <w:sz w:val="24"/>
          <w:szCs w:val="24"/>
          <w:lang w:val="es-ES_tradnl" w:eastAsia="es-ES"/>
        </w:rPr>
        <w:t>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271C6D" w:rsidRDefault="009D7854" w:rsidP="0046401F">
      <w:pPr>
        <w:widowControl w:val="0"/>
        <w:spacing w:after="0"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6D7CB1" w:rsidRDefault="006D7CB1" w:rsidP="00271C6D">
      <w:pPr>
        <w:tabs>
          <w:tab w:val="left" w:pos="7371"/>
        </w:tabs>
        <w:spacing w:after="0" w:line="360" w:lineRule="auto"/>
        <w:ind w:right="51"/>
        <w:jc w:val="both"/>
        <w:rPr>
          <w:rFonts w:ascii="Arial" w:eastAsia="Times New Roman" w:hAnsi="Arial" w:cs="Arial"/>
          <w:b/>
          <w:bCs/>
          <w:sz w:val="24"/>
          <w:szCs w:val="24"/>
          <w:lang w:val="es-ES" w:eastAsia="es-ES"/>
        </w:rPr>
      </w:pPr>
    </w:p>
    <w:p w:rsidR="006B4002" w:rsidRDefault="006B4002" w:rsidP="006B4002">
      <w:pPr>
        <w:spacing w:after="0"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4E72C0">
        <w:rPr>
          <w:rFonts w:ascii="Arial" w:eastAsia="Times New Roman" w:hAnsi="Arial" w:cs="Arial"/>
          <w:sz w:val="24"/>
          <w:szCs w:val="24"/>
          <w:lang w:eastAsia="es-ES"/>
        </w:rPr>
        <w:t xml:space="preserve">08 ocho de junio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BC3529">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86438E">
        <w:rPr>
          <w:rFonts w:ascii="Arial" w:hAnsi="Arial" w:cs="Arial"/>
          <w:b/>
          <w:sz w:val="24"/>
          <w:szCs w:val="24"/>
        </w:rPr>
        <w:t>**********</w:t>
      </w:r>
      <w:r w:rsidR="0086438E">
        <w:rPr>
          <w:rFonts w:ascii="Arial" w:eastAsia="Times New Roman" w:hAnsi="Arial" w:cs="Arial"/>
          <w:sz w:val="24"/>
          <w:szCs w:val="24"/>
          <w:lang w:val="es-ES_tradnl" w:eastAsia="es-ES"/>
        </w:rPr>
        <w:t>,</w:t>
      </w:r>
      <w:r w:rsidRPr="000F1C72">
        <w:rPr>
          <w:rFonts w:ascii="Arial" w:hAnsi="Arial" w:cs="Arial"/>
          <w:b/>
          <w:sz w:val="24"/>
          <w:szCs w:val="24"/>
        </w:rPr>
        <w:t xml:space="preserve"> </w:t>
      </w:r>
      <w:r w:rsidRPr="000F1C72">
        <w:rPr>
          <w:rFonts w:ascii="Arial" w:hAnsi="Arial" w:cs="Arial"/>
          <w:sz w:val="24"/>
          <w:szCs w:val="24"/>
        </w:rPr>
        <w:t xml:space="preserve">de </w:t>
      </w:r>
      <w:r w:rsidR="00DC5E12">
        <w:rPr>
          <w:rFonts w:ascii="Arial" w:hAnsi="Arial" w:cs="Arial"/>
          <w:sz w:val="24"/>
          <w:szCs w:val="24"/>
        </w:rPr>
        <w:t>29 veintinueve</w:t>
      </w:r>
      <w:r w:rsidR="000648E1">
        <w:rPr>
          <w:rFonts w:ascii="Arial" w:hAnsi="Arial" w:cs="Arial"/>
          <w:sz w:val="24"/>
          <w:szCs w:val="24"/>
        </w:rPr>
        <w:t xml:space="preserve"> de mayo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626908">
        <w:rPr>
          <w:rFonts w:ascii="Arial" w:hAnsi="Arial" w:cs="Arial"/>
          <w:b/>
          <w:sz w:val="24"/>
          <w:szCs w:val="24"/>
          <w:lang w:val="es-ES"/>
        </w:rPr>
        <w:t xml:space="preserve"> </w:t>
      </w:r>
      <w:r w:rsidR="000648E1">
        <w:rPr>
          <w:rFonts w:ascii="Arial" w:hAnsi="Arial" w:cs="Arial"/>
          <w:b/>
          <w:sz w:val="24"/>
          <w:szCs w:val="24"/>
          <w:lang w:val="es-ES"/>
        </w:rPr>
        <w:t>02</w:t>
      </w:r>
      <w:r w:rsidRPr="000F1C72">
        <w:rPr>
          <w:rFonts w:ascii="Arial" w:hAnsi="Arial" w:cs="Arial"/>
          <w:b/>
          <w:color w:val="000000"/>
          <w:sz w:val="24"/>
          <w:szCs w:val="24"/>
        </w:rPr>
        <w:t xml:space="preserve">, de la </w:t>
      </w:r>
      <w:r w:rsidR="00E92550">
        <w:rPr>
          <w:rFonts w:ascii="Arial" w:hAnsi="Arial" w:cs="Arial"/>
          <w:b/>
          <w:color w:val="000000"/>
          <w:sz w:val="24"/>
          <w:szCs w:val="24"/>
        </w:rPr>
        <w:t xml:space="preserve">Comisión de Seguridad Pública y 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86438E">
        <w:rPr>
          <w:rFonts w:ascii="Arial" w:hAnsi="Arial" w:cs="Arial"/>
          <w:sz w:val="24"/>
          <w:szCs w:val="24"/>
        </w:rPr>
        <w:t xml:space="preserve">úmero </w:t>
      </w:r>
      <w:r w:rsidR="0086438E">
        <w:rPr>
          <w:rFonts w:ascii="Arial" w:hAnsi="Arial" w:cs="Arial"/>
          <w:b/>
          <w:sz w:val="24"/>
          <w:szCs w:val="24"/>
        </w:rPr>
        <w:t>**********</w:t>
      </w:r>
      <w:r w:rsidR="0086438E">
        <w:rPr>
          <w:rFonts w:ascii="Arial" w:eastAsia="Times New Roman" w:hAnsi="Arial" w:cs="Arial"/>
          <w:sz w:val="24"/>
          <w:szCs w:val="24"/>
          <w:lang w:val="es-ES_tradnl" w:eastAsia="es-ES"/>
        </w:rPr>
        <w:t>,</w:t>
      </w:r>
      <w:r w:rsidR="00F826B8">
        <w:rPr>
          <w:rFonts w:ascii="Arial" w:hAnsi="Arial" w:cs="Arial"/>
          <w:sz w:val="24"/>
          <w:szCs w:val="24"/>
        </w:rPr>
        <w:t xml:space="preserve"> de 02 dos de junio </w:t>
      </w:r>
      <w:r w:rsidR="008927E3">
        <w:rPr>
          <w:rFonts w:ascii="Arial" w:hAnsi="Arial" w:cs="Arial"/>
          <w:sz w:val="24"/>
          <w:szCs w:val="24"/>
        </w:rPr>
        <w:t>de 2017 dos mil diecisiete.</w:t>
      </w:r>
    </w:p>
    <w:p w:rsidR="00CA7C66" w:rsidRPr="00C25CC1" w:rsidRDefault="00CA7C66" w:rsidP="006B4002">
      <w:pPr>
        <w:spacing w:after="0" w:line="360" w:lineRule="auto"/>
        <w:ind w:right="51" w:firstLine="567"/>
        <w:jc w:val="both"/>
        <w:rPr>
          <w:rFonts w:ascii="Arial" w:hAnsi="Arial" w:cs="Arial"/>
          <w:sz w:val="24"/>
          <w:szCs w:val="24"/>
        </w:rPr>
      </w:pP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F5079B">
        <w:rPr>
          <w:rFonts w:ascii="Arial" w:eastAsia="Times New Roman" w:hAnsi="Arial" w:cs="Arial"/>
          <w:sz w:val="24"/>
          <w:szCs w:val="24"/>
          <w:lang w:val="es-ES" w:eastAsia="es-ES"/>
        </w:rPr>
        <w:t xml:space="preserve">09 nueve de junio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w:t>
      </w:r>
      <w:r w:rsidR="007843AD">
        <w:rPr>
          <w:rFonts w:ascii="Arial" w:eastAsia="Times New Roman" w:hAnsi="Arial" w:cs="Arial"/>
          <w:sz w:val="24"/>
          <w:szCs w:val="24"/>
          <w:lang w:val="es-ES_tradnl" w:eastAsia="es-ES"/>
        </w:rPr>
        <w:t>02</w:t>
      </w:r>
      <w:r w:rsidR="00425E2B">
        <w:rPr>
          <w:rFonts w:ascii="Arial" w:eastAsia="Times New Roman" w:hAnsi="Arial" w:cs="Arial"/>
          <w:sz w:val="24"/>
          <w:szCs w:val="24"/>
          <w:lang w:val="es-ES_tradnl" w:eastAsia="es-ES"/>
        </w:rPr>
        <w:t xml:space="preserve">, de la </w:t>
      </w:r>
      <w:r w:rsidR="00B86CA9">
        <w:rPr>
          <w:rFonts w:ascii="Arial" w:eastAsia="Times New Roman" w:hAnsi="Arial" w:cs="Arial"/>
          <w:sz w:val="24"/>
          <w:szCs w:val="24"/>
          <w:lang w:val="es-ES_tradnl" w:eastAsia="es-ES"/>
        </w:rPr>
        <w:t>Comisión de Seguridad Pública y Vialidad Municipal</w:t>
      </w:r>
      <w:r w:rsidR="00425E2B">
        <w:rPr>
          <w:rFonts w:ascii="Arial" w:eastAsia="Times New Roman" w:hAnsi="Arial" w:cs="Arial"/>
          <w:sz w:val="24"/>
          <w:szCs w:val="24"/>
          <w:lang w:val="es-ES_tradnl" w:eastAsia="es-ES"/>
        </w:rPr>
        <w:t xml:space="preserve">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dependiente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86438E">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(fojas </w:t>
      </w:r>
      <w:r w:rsidR="007843AD">
        <w:rPr>
          <w:rFonts w:ascii="Arial" w:eastAsia="Times New Roman" w:hAnsi="Arial" w:cs="Arial"/>
          <w:sz w:val="24"/>
          <w:szCs w:val="24"/>
          <w:lang w:val="es-ES_tradnl" w:eastAsia="es-ES"/>
        </w:rPr>
        <w:t>31 y 32</w:t>
      </w:r>
      <w:r w:rsidR="008927E3">
        <w:rPr>
          <w:rFonts w:ascii="Arial" w:eastAsia="Times New Roman" w:hAnsi="Arial" w:cs="Arial"/>
          <w:sz w:val="24"/>
          <w:szCs w:val="24"/>
          <w:lang w:val="es-ES_tradnl" w:eastAsia="es-ES"/>
        </w:rPr>
        <w:t>).</w:t>
      </w:r>
    </w:p>
    <w:p w:rsidR="00FE5B2F" w:rsidRDefault="006B4002" w:rsidP="00FD3992">
      <w:pPr>
        <w:spacing w:line="360" w:lineRule="auto"/>
        <w:ind w:right="51" w:firstLine="567"/>
        <w:jc w:val="both"/>
        <w:rPr>
          <w:rFonts w:ascii="Arial" w:eastAsia="Times New Roman" w:hAnsi="Arial" w:cs="Arial"/>
          <w:sz w:val="24"/>
          <w:szCs w:val="23"/>
          <w:lang w:val="es-ES" w:eastAsia="es-ES"/>
        </w:rPr>
      </w:pPr>
      <w:r w:rsidRPr="000F1C72">
        <w:rPr>
          <w:rFonts w:ascii="Arial" w:eastAsia="Times New Roman" w:hAnsi="Arial" w:cs="Arial"/>
          <w:b/>
          <w:sz w:val="24"/>
          <w:szCs w:val="24"/>
          <w:lang w:val="es-ES" w:eastAsia="es-ES"/>
        </w:rPr>
        <w:lastRenderedPageBreak/>
        <w:t xml:space="preserve">SEGUNDO. </w:t>
      </w:r>
      <w:r w:rsidRPr="000F1C72">
        <w:rPr>
          <w:rFonts w:ascii="Arial" w:eastAsia="Times New Roman" w:hAnsi="Arial" w:cs="Arial"/>
          <w:sz w:val="24"/>
          <w:szCs w:val="24"/>
          <w:lang w:val="es-ES" w:eastAsia="es-ES"/>
        </w:rPr>
        <w:t xml:space="preserve">Por auto de </w:t>
      </w:r>
      <w:r w:rsidR="00D61553">
        <w:rPr>
          <w:rFonts w:ascii="Arial" w:eastAsia="Times New Roman" w:hAnsi="Arial" w:cs="Arial"/>
          <w:sz w:val="24"/>
          <w:szCs w:val="24"/>
          <w:lang w:val="es-ES" w:eastAsia="es-ES"/>
        </w:rPr>
        <w:t xml:space="preserve">29 veintinueve de </w:t>
      </w:r>
      <w:r w:rsidR="00FE0557">
        <w:rPr>
          <w:rFonts w:ascii="Arial" w:eastAsia="Times New Roman" w:hAnsi="Arial" w:cs="Arial"/>
          <w:sz w:val="24"/>
          <w:szCs w:val="24"/>
          <w:lang w:val="es-ES" w:eastAsia="es-ES"/>
        </w:rPr>
        <w:t xml:space="preserve">agosto </w:t>
      </w:r>
      <w:r w:rsidR="00246925">
        <w:rPr>
          <w:rFonts w:ascii="Arial" w:eastAsia="Times New Roman" w:hAnsi="Arial" w:cs="Arial"/>
          <w:sz w:val="24"/>
          <w:szCs w:val="24"/>
          <w:lang w:val="es-ES" w:eastAsia="es-ES"/>
        </w:rPr>
        <w:t>de 2017 dos mil diecisiete</w:t>
      </w:r>
      <w:r>
        <w:rPr>
          <w:rFonts w:ascii="Arial" w:eastAsia="Times New Roman" w:hAnsi="Arial" w:cs="Arial"/>
          <w:sz w:val="24"/>
          <w:szCs w:val="24"/>
          <w:lang w:val="es-ES" w:eastAsia="es-ES"/>
        </w:rPr>
        <w:t xml:space="preserve">, </w:t>
      </w:r>
      <w:r w:rsidR="00754564">
        <w:rPr>
          <w:rFonts w:ascii="Arial" w:eastAsia="Times New Roman" w:hAnsi="Arial" w:cs="Arial"/>
          <w:sz w:val="24"/>
          <w:szCs w:val="24"/>
          <w:lang w:val="es-ES" w:eastAsia="es-ES"/>
        </w:rPr>
        <w:t>se tuvo</w:t>
      </w:r>
      <w:r w:rsidR="00DA00B8">
        <w:rPr>
          <w:rFonts w:ascii="Arial" w:eastAsia="Times New Roman" w:hAnsi="Arial" w:cs="Arial"/>
          <w:sz w:val="24"/>
          <w:szCs w:val="24"/>
          <w:lang w:val="es-ES" w:eastAsia="es-ES"/>
        </w:rPr>
        <w:t xml:space="preserve"> al actuario informando </w:t>
      </w:r>
      <w:r w:rsidR="00DC5E12">
        <w:rPr>
          <w:rFonts w:ascii="Arial" w:eastAsia="Times New Roman" w:hAnsi="Arial" w:cs="Arial"/>
          <w:sz w:val="24"/>
          <w:szCs w:val="24"/>
          <w:lang w:val="es-ES" w:eastAsia="es-ES"/>
        </w:rPr>
        <w:t>su imposibilidad para notificar</w:t>
      </w:r>
      <w:r w:rsidR="003C30E8">
        <w:rPr>
          <w:rFonts w:ascii="Arial" w:eastAsia="Times New Roman" w:hAnsi="Arial" w:cs="Arial"/>
          <w:sz w:val="24"/>
          <w:szCs w:val="24"/>
          <w:lang w:val="es-ES" w:eastAsia="es-ES"/>
        </w:rPr>
        <w:t xml:space="preserve"> </w:t>
      </w:r>
      <w:r w:rsidR="00246925" w:rsidRPr="00D61553">
        <w:rPr>
          <w:rFonts w:ascii="Arial" w:eastAsia="Times New Roman" w:hAnsi="Arial" w:cs="Arial"/>
          <w:sz w:val="24"/>
          <w:szCs w:val="24"/>
          <w:lang w:val="es-ES" w:eastAsia="es-ES"/>
        </w:rPr>
        <w:t>a</w:t>
      </w:r>
      <w:r w:rsidR="003C30E8">
        <w:rPr>
          <w:rFonts w:ascii="Arial" w:eastAsia="Times New Roman" w:hAnsi="Arial" w:cs="Arial"/>
          <w:sz w:val="24"/>
          <w:szCs w:val="24"/>
          <w:lang w:val="es-ES" w:eastAsia="es-ES"/>
        </w:rPr>
        <w:t xml:space="preserve"> </w:t>
      </w:r>
      <w:r w:rsidR="00246925" w:rsidRPr="00D61553">
        <w:rPr>
          <w:rFonts w:ascii="Arial" w:eastAsia="Times New Roman" w:hAnsi="Arial" w:cs="Arial"/>
          <w:sz w:val="24"/>
          <w:szCs w:val="24"/>
          <w:lang w:val="es-ES" w:eastAsia="es-ES"/>
        </w:rPr>
        <w:t>l</w:t>
      </w:r>
      <w:r w:rsidR="003C30E8">
        <w:rPr>
          <w:rFonts w:ascii="Arial" w:eastAsia="Times New Roman" w:hAnsi="Arial" w:cs="Arial"/>
          <w:sz w:val="24"/>
          <w:szCs w:val="24"/>
          <w:lang w:val="es-ES" w:eastAsia="es-ES"/>
        </w:rPr>
        <w:t>a autoridad demandada</w:t>
      </w:r>
      <w:r w:rsidR="00246925">
        <w:rPr>
          <w:rFonts w:ascii="Arial" w:eastAsia="Times New Roman" w:hAnsi="Arial" w:cs="Arial"/>
          <w:b/>
          <w:sz w:val="24"/>
          <w:szCs w:val="24"/>
          <w:lang w:val="es-ES" w:eastAsia="es-ES"/>
        </w:rPr>
        <w:t xml:space="preserve"> </w:t>
      </w:r>
      <w:r w:rsidR="00F5782A" w:rsidRPr="00D377A2">
        <w:rPr>
          <w:rFonts w:ascii="Arial" w:eastAsia="Times New Roman" w:hAnsi="Arial" w:cs="Arial"/>
          <w:sz w:val="24"/>
          <w:szCs w:val="24"/>
          <w:lang w:val="es-ES" w:eastAsia="es-ES"/>
        </w:rPr>
        <w:t>Policía Vi</w:t>
      </w:r>
      <w:r w:rsidR="003C30E8" w:rsidRPr="00D377A2">
        <w:rPr>
          <w:rFonts w:ascii="Arial" w:eastAsia="Times New Roman" w:hAnsi="Arial" w:cs="Arial"/>
          <w:sz w:val="24"/>
          <w:szCs w:val="24"/>
          <w:lang w:val="es-ES" w:eastAsia="es-ES"/>
        </w:rPr>
        <w:t xml:space="preserve">al con número estadístico </w:t>
      </w:r>
      <w:r w:rsidR="00BE6C14" w:rsidRPr="00D377A2">
        <w:rPr>
          <w:rFonts w:ascii="Arial" w:eastAsia="Times New Roman" w:hAnsi="Arial" w:cs="Arial"/>
          <w:sz w:val="24"/>
          <w:szCs w:val="24"/>
          <w:lang w:val="es-ES" w:eastAsia="es-ES"/>
        </w:rPr>
        <w:t>PV-</w:t>
      </w:r>
      <w:r w:rsidR="003C30E8" w:rsidRPr="00D377A2">
        <w:rPr>
          <w:rFonts w:ascii="Arial" w:eastAsia="Times New Roman" w:hAnsi="Arial" w:cs="Arial"/>
          <w:sz w:val="24"/>
          <w:szCs w:val="24"/>
          <w:lang w:val="es-ES" w:eastAsia="es-ES"/>
        </w:rPr>
        <w:t>02</w:t>
      </w:r>
      <w:r w:rsidR="00F5782A" w:rsidRPr="00D377A2">
        <w:rPr>
          <w:rFonts w:ascii="Arial" w:eastAsia="Times New Roman" w:hAnsi="Arial" w:cs="Arial"/>
          <w:sz w:val="24"/>
          <w:szCs w:val="24"/>
          <w:lang w:val="es-ES" w:eastAsia="es-ES"/>
        </w:rPr>
        <w:t xml:space="preserve">, de la </w:t>
      </w:r>
      <w:r w:rsidR="00BE6C14" w:rsidRPr="00D377A2">
        <w:rPr>
          <w:rFonts w:ascii="Arial" w:eastAsia="Times New Roman" w:hAnsi="Arial" w:cs="Arial"/>
          <w:sz w:val="24"/>
          <w:szCs w:val="24"/>
          <w:lang w:val="es-ES" w:eastAsia="es-ES"/>
        </w:rPr>
        <w:t>Comis</w:t>
      </w:r>
      <w:r w:rsidR="003C30E8" w:rsidRPr="00D377A2">
        <w:rPr>
          <w:rFonts w:ascii="Arial" w:eastAsia="Times New Roman" w:hAnsi="Arial" w:cs="Arial"/>
          <w:sz w:val="24"/>
          <w:szCs w:val="24"/>
          <w:lang w:val="es-ES" w:eastAsia="es-ES"/>
        </w:rPr>
        <w:t>ión de Seguridad Pública y Vialidad Municipal,</w:t>
      </w:r>
      <w:r w:rsidR="003C30E8">
        <w:rPr>
          <w:rFonts w:ascii="Arial" w:eastAsia="Times New Roman" w:hAnsi="Arial" w:cs="Arial"/>
          <w:sz w:val="24"/>
          <w:szCs w:val="24"/>
          <w:lang w:val="es-ES" w:eastAsia="es-ES"/>
        </w:rPr>
        <w:t xml:space="preserve"> </w:t>
      </w:r>
      <w:r w:rsidR="00B86CA9">
        <w:rPr>
          <w:rFonts w:ascii="Arial" w:eastAsia="Times New Roman" w:hAnsi="Arial" w:cs="Arial"/>
          <w:sz w:val="24"/>
          <w:szCs w:val="24"/>
          <w:lang w:val="es-ES" w:eastAsia="es-ES"/>
        </w:rPr>
        <w:t>en razón de que ésta había cambiado de denominación</w:t>
      </w:r>
      <w:r w:rsidR="00DC5E12">
        <w:rPr>
          <w:rFonts w:ascii="Arial" w:eastAsia="Times New Roman" w:hAnsi="Arial" w:cs="Arial"/>
          <w:sz w:val="24"/>
          <w:szCs w:val="24"/>
          <w:lang w:val="es-ES" w:eastAsia="es-ES"/>
        </w:rPr>
        <w:t>,</w:t>
      </w:r>
      <w:r w:rsidR="00B86CA9">
        <w:rPr>
          <w:rFonts w:ascii="Arial" w:eastAsia="Times New Roman" w:hAnsi="Arial" w:cs="Arial"/>
          <w:sz w:val="24"/>
          <w:szCs w:val="24"/>
          <w:lang w:val="es-ES" w:eastAsia="es-ES"/>
        </w:rPr>
        <w:t xml:space="preserve"> </w:t>
      </w:r>
      <w:r w:rsidR="003C30E8">
        <w:rPr>
          <w:rFonts w:ascii="Arial" w:eastAsia="Times New Roman" w:hAnsi="Arial" w:cs="Arial"/>
          <w:sz w:val="24"/>
          <w:szCs w:val="24"/>
          <w:lang w:val="es-ES" w:eastAsia="es-ES"/>
        </w:rPr>
        <w:t xml:space="preserve">siendo la correcta </w:t>
      </w:r>
      <w:r w:rsidR="00B86CA9">
        <w:rPr>
          <w:rFonts w:ascii="Arial" w:eastAsia="Times New Roman" w:hAnsi="Arial" w:cs="Arial"/>
          <w:b/>
          <w:sz w:val="24"/>
          <w:szCs w:val="24"/>
          <w:lang w:val="es-ES" w:eastAsia="es-ES"/>
        </w:rPr>
        <w:t>Policía Vial con número estadístico PV-02, de la</w:t>
      </w:r>
      <w:r w:rsidR="00084C6F">
        <w:rPr>
          <w:rFonts w:ascii="Arial" w:eastAsia="Times New Roman" w:hAnsi="Arial" w:cs="Arial"/>
          <w:sz w:val="24"/>
          <w:szCs w:val="24"/>
          <w:lang w:val="es-ES" w:eastAsia="es-ES"/>
        </w:rPr>
        <w:t xml:space="preserve"> </w:t>
      </w:r>
      <w:r w:rsidR="00084C6F" w:rsidRPr="00D377A2">
        <w:rPr>
          <w:rFonts w:ascii="Arial" w:eastAsia="Times New Roman" w:hAnsi="Arial" w:cs="Arial"/>
          <w:b/>
          <w:sz w:val="24"/>
          <w:szCs w:val="24"/>
          <w:lang w:val="es-ES" w:eastAsia="es-ES"/>
        </w:rPr>
        <w:t>Comisaría de Vialidad Municipal de Oaxaca de Juárez, Oaxaca,</w:t>
      </w:r>
      <w:r w:rsidR="00D377A2">
        <w:rPr>
          <w:rFonts w:ascii="Arial" w:eastAsia="Times New Roman" w:hAnsi="Arial" w:cs="Arial"/>
          <w:b/>
          <w:sz w:val="24"/>
          <w:szCs w:val="24"/>
          <w:lang w:val="es-ES" w:eastAsia="es-ES"/>
        </w:rPr>
        <w:t xml:space="preserve"> </w:t>
      </w:r>
      <w:r w:rsidR="00D377A2">
        <w:rPr>
          <w:rFonts w:ascii="Arial" w:eastAsia="Times New Roman" w:hAnsi="Arial" w:cs="Arial"/>
          <w:sz w:val="24"/>
          <w:szCs w:val="24"/>
          <w:lang w:val="es-ES" w:eastAsia="es-ES"/>
        </w:rPr>
        <w:t xml:space="preserve">por lo que </w:t>
      </w:r>
      <w:r w:rsidR="00B86CA9">
        <w:rPr>
          <w:rFonts w:ascii="Arial" w:eastAsia="Times New Roman" w:hAnsi="Arial" w:cs="Arial"/>
          <w:sz w:val="24"/>
          <w:szCs w:val="24"/>
          <w:lang w:val="es-ES" w:eastAsia="es-ES"/>
        </w:rPr>
        <w:t>se ordenó al actuario notificar</w:t>
      </w:r>
      <w:r w:rsidR="00D377A2">
        <w:rPr>
          <w:rFonts w:ascii="Arial" w:eastAsia="Times New Roman" w:hAnsi="Arial" w:cs="Arial"/>
          <w:sz w:val="24"/>
          <w:szCs w:val="24"/>
          <w:lang w:val="es-ES" w:eastAsia="es-ES"/>
        </w:rPr>
        <w:t xml:space="preserve">a </w:t>
      </w:r>
      <w:r w:rsidR="00B86CA9">
        <w:rPr>
          <w:rFonts w:ascii="Arial" w:eastAsia="Times New Roman" w:hAnsi="Arial" w:cs="Arial"/>
          <w:sz w:val="24"/>
          <w:szCs w:val="24"/>
          <w:lang w:val="es-ES" w:eastAsia="es-ES"/>
        </w:rPr>
        <w:t xml:space="preserve">a </w:t>
      </w:r>
      <w:r w:rsidR="00DC5E12">
        <w:rPr>
          <w:rFonts w:ascii="Arial" w:eastAsia="Times New Roman" w:hAnsi="Arial" w:cs="Arial"/>
          <w:sz w:val="24"/>
          <w:szCs w:val="24"/>
          <w:lang w:val="es-ES" w:eastAsia="es-ES"/>
        </w:rPr>
        <w:t>dicha autoridad el auto de 09 nueve de junio de 2017 dos mil diecisiete,</w:t>
      </w:r>
      <w:r w:rsidR="00D377A2">
        <w:rPr>
          <w:rFonts w:ascii="Arial" w:eastAsia="Times New Roman" w:hAnsi="Arial" w:cs="Arial"/>
          <w:sz w:val="24"/>
          <w:szCs w:val="24"/>
          <w:lang w:val="es-ES" w:eastAsia="es-ES"/>
        </w:rPr>
        <w:t xml:space="preserve"> </w:t>
      </w:r>
      <w:r w:rsidRPr="00003D53">
        <w:rPr>
          <w:rFonts w:ascii="Arial" w:eastAsia="Times New Roman" w:hAnsi="Arial" w:cs="Arial"/>
          <w:sz w:val="24"/>
          <w:szCs w:val="23"/>
          <w:lang w:val="es-ES" w:eastAsia="es-ES"/>
        </w:rPr>
        <w:t>(foja</w:t>
      </w:r>
      <w:r w:rsidR="00D61553">
        <w:rPr>
          <w:rFonts w:ascii="Arial" w:eastAsia="Times New Roman" w:hAnsi="Arial" w:cs="Arial"/>
          <w:sz w:val="24"/>
          <w:szCs w:val="23"/>
          <w:lang w:val="es-ES" w:eastAsia="es-ES"/>
        </w:rPr>
        <w:t xml:space="preserve"> </w:t>
      </w:r>
      <w:r w:rsidR="00983943">
        <w:rPr>
          <w:rFonts w:ascii="Arial" w:eastAsia="Times New Roman" w:hAnsi="Arial" w:cs="Arial"/>
          <w:sz w:val="24"/>
          <w:szCs w:val="23"/>
          <w:lang w:val="es-ES" w:eastAsia="es-ES"/>
        </w:rPr>
        <w:t>38</w:t>
      </w:r>
      <w:r w:rsidRPr="00003D53">
        <w:rPr>
          <w:rFonts w:ascii="Arial" w:eastAsia="Times New Roman" w:hAnsi="Arial" w:cs="Arial"/>
          <w:sz w:val="24"/>
          <w:szCs w:val="23"/>
          <w:lang w:val="es-ES" w:eastAsia="es-ES"/>
        </w:rPr>
        <w:t xml:space="preserve">). </w:t>
      </w:r>
    </w:p>
    <w:p w:rsidR="00FE5B2F" w:rsidRPr="00BE6C14" w:rsidRDefault="00FD3992"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TERCERO.</w:t>
      </w:r>
      <w:r w:rsidR="00FE5B2F" w:rsidRPr="000F1C72">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FE5B2F">
        <w:rPr>
          <w:rFonts w:ascii="Arial" w:eastAsia="Times New Roman" w:hAnsi="Arial" w:cs="Arial"/>
          <w:sz w:val="24"/>
          <w:szCs w:val="24"/>
          <w:lang w:val="es-ES" w:eastAsia="es-ES"/>
        </w:rPr>
        <w:t xml:space="preserve">29 veintinueve de noviembre de 2017 dos mil diecisiete, se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Pr>
          <w:rFonts w:ascii="Arial" w:eastAsia="Times New Roman" w:hAnsi="Arial" w:cs="Arial"/>
          <w:b/>
          <w:sz w:val="24"/>
          <w:szCs w:val="24"/>
          <w:lang w:val="es-ES" w:eastAsia="es-ES"/>
        </w:rPr>
        <w:t>ial con número estadístico PV-02</w:t>
      </w:r>
      <w:r w:rsidR="00FE5B2F">
        <w:rPr>
          <w:rFonts w:ascii="Arial" w:eastAsia="Times New Roman" w:hAnsi="Arial" w:cs="Arial"/>
          <w:b/>
          <w:sz w:val="24"/>
          <w:szCs w:val="24"/>
          <w:lang w:val="es-ES" w:eastAsia="es-ES"/>
        </w:rPr>
        <w:t xml:space="preserve">, de la Comisaría de Vialidad </w:t>
      </w:r>
      <w:r>
        <w:rPr>
          <w:rFonts w:ascii="Arial" w:eastAsia="Times New Roman" w:hAnsi="Arial" w:cs="Arial"/>
          <w:b/>
          <w:sz w:val="24"/>
          <w:szCs w:val="24"/>
          <w:lang w:val="es-ES" w:eastAsia="es-ES"/>
        </w:rPr>
        <w:t xml:space="preserve">y al </w:t>
      </w:r>
      <w:r>
        <w:rPr>
          <w:rFonts w:ascii="Arial" w:eastAsia="Times New Roman" w:hAnsi="Arial" w:cs="Arial"/>
          <w:b/>
          <w:sz w:val="24"/>
          <w:szCs w:val="23"/>
          <w:lang w:val="es-ES" w:eastAsia="es-ES"/>
        </w:rPr>
        <w:t>Tesorero Municipal, autoridades del Municipio</w:t>
      </w:r>
      <w:r>
        <w:rPr>
          <w:rFonts w:ascii="Arial" w:eastAsia="Times New Roman" w:hAnsi="Arial" w:cs="Arial"/>
          <w:b/>
          <w:sz w:val="24"/>
          <w:szCs w:val="24"/>
          <w:lang w:val="es-ES" w:eastAsia="es-ES"/>
        </w:rPr>
        <w:t xml:space="preserve"> de Oaxaca de Juárez, Oaxaca </w:t>
      </w:r>
      <w:r w:rsidR="00FE5B2F">
        <w:rPr>
          <w:rFonts w:ascii="Arial" w:eastAsia="Times New Roman" w:hAnsi="Arial" w:cs="Arial"/>
          <w:b/>
          <w:sz w:val="24"/>
          <w:szCs w:val="24"/>
          <w:lang w:val="es-ES" w:eastAsia="es-ES"/>
        </w:rPr>
        <w:t>de Oaxaca de Juárez, Oaxaca</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pruebas, ordenándose correr traslad</w:t>
      </w:r>
      <w:r>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Pr>
          <w:rFonts w:ascii="Arial" w:eastAsia="Times New Roman" w:hAnsi="Arial" w:cs="Arial"/>
          <w:sz w:val="24"/>
          <w:szCs w:val="23"/>
          <w:lang w:val="es-ES" w:eastAsia="es-ES"/>
        </w:rPr>
        <w:t>s 63 y 64</w:t>
      </w:r>
      <w:r w:rsidR="00FE5B2F" w:rsidRPr="00003D53">
        <w:rPr>
          <w:rFonts w:ascii="Arial" w:eastAsia="Times New Roman" w:hAnsi="Arial" w:cs="Arial"/>
          <w:sz w:val="24"/>
          <w:szCs w:val="23"/>
          <w:lang w:val="es-ES" w:eastAsia="es-ES"/>
        </w:rPr>
        <w:t xml:space="preserve">). </w:t>
      </w:r>
    </w:p>
    <w:p w:rsidR="006B4002" w:rsidRPr="00C848C3" w:rsidRDefault="00FD3992" w:rsidP="00173E68">
      <w:pPr>
        <w:spacing w:after="0" w:line="360" w:lineRule="auto"/>
        <w:ind w:right="51" w:firstLine="567"/>
        <w:jc w:val="both"/>
        <w:rPr>
          <w:rFonts w:ascii="Arial" w:hAnsi="Arial" w:cs="Arial"/>
          <w:sz w:val="24"/>
          <w:szCs w:val="24"/>
        </w:rPr>
      </w:pPr>
      <w:r>
        <w:rPr>
          <w:rFonts w:ascii="Arial" w:hAnsi="Arial" w:cs="Arial"/>
          <w:b/>
          <w:sz w:val="24"/>
          <w:szCs w:val="24"/>
          <w:lang w:val="es-ES"/>
        </w:rPr>
        <w:t>CUARTO</w:t>
      </w:r>
      <w:r w:rsidR="006B4002" w:rsidRPr="00C848C3">
        <w:rPr>
          <w:rFonts w:ascii="Arial" w:hAnsi="Arial" w:cs="Arial"/>
          <w:sz w:val="24"/>
          <w:szCs w:val="24"/>
        </w:rPr>
        <w:t>.</w:t>
      </w:r>
      <w:r w:rsidR="00173E68">
        <w:rPr>
          <w:rFonts w:ascii="Arial" w:hAnsi="Arial" w:cs="Arial"/>
          <w:sz w:val="24"/>
          <w:szCs w:val="24"/>
        </w:rPr>
        <w:t xml:space="preserve"> </w:t>
      </w:r>
      <w:r w:rsidR="006B4002" w:rsidRPr="00C848C3">
        <w:rPr>
          <w:rFonts w:ascii="Arial" w:hAnsi="Arial" w:cs="Arial"/>
          <w:sz w:val="24"/>
          <w:szCs w:val="24"/>
        </w:rPr>
        <w:t xml:space="preserve">El </w:t>
      </w:r>
      <w:r>
        <w:rPr>
          <w:rFonts w:ascii="Arial" w:hAnsi="Arial" w:cs="Arial"/>
          <w:sz w:val="24"/>
          <w:szCs w:val="24"/>
        </w:rPr>
        <w:t>11 once</w:t>
      </w:r>
      <w:r w:rsidR="00D61553">
        <w:rPr>
          <w:rFonts w:ascii="Arial" w:hAnsi="Arial" w:cs="Arial"/>
          <w:sz w:val="24"/>
          <w:szCs w:val="24"/>
        </w:rPr>
        <w:t xml:space="preserve"> de enero de 2018 dos mil dieciocho</w:t>
      </w:r>
      <w:r w:rsidR="006B4002" w:rsidRPr="00C848C3">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D8124A">
        <w:rPr>
          <w:rFonts w:ascii="Arial" w:eastAsia="Times New Roman" w:hAnsi="Arial" w:cs="Arial"/>
          <w:sz w:val="24"/>
          <w:szCs w:val="24"/>
          <w:lang w:eastAsia="es-ES"/>
        </w:rPr>
        <w:t>la parte actora formuló sus alegatos, no así las autoridades demandadas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término que establece el artículo 175, de la Ley de Justicia Administrativa para el Estado, (foja </w:t>
      </w:r>
      <w:r>
        <w:rPr>
          <w:rFonts w:ascii="Arial" w:eastAsia="Times New Roman" w:hAnsi="Arial" w:cs="Arial"/>
          <w:sz w:val="24"/>
          <w:szCs w:val="24"/>
          <w:lang w:val="es-ES_tradnl" w:eastAsia="es-ES"/>
        </w:rPr>
        <w:t>74</w:t>
      </w:r>
      <w:r w:rsidR="00173E68">
        <w:rPr>
          <w:rFonts w:ascii="Arial" w:eastAsia="Times New Roman" w:hAnsi="Arial" w:cs="Arial"/>
          <w:sz w:val="24"/>
          <w:szCs w:val="24"/>
          <w:lang w:val="es-ES_tradnl" w:eastAsia="es-ES"/>
        </w:rPr>
        <w:t xml:space="preserve">); y;- - - - - - - - - - - - - </w:t>
      </w:r>
      <w:r w:rsidR="00D8124A">
        <w:rPr>
          <w:rFonts w:ascii="Arial" w:eastAsia="Times New Roman" w:hAnsi="Arial" w:cs="Arial"/>
          <w:sz w:val="24"/>
          <w:szCs w:val="24"/>
          <w:lang w:val="es-ES_tradnl" w:eastAsia="es-ES"/>
        </w:rPr>
        <w:t xml:space="preserve">- - - - - - - - - - - - - - - - - - - - - - - - - - - - - - </w:t>
      </w:r>
    </w:p>
    <w:p w:rsidR="00B823B7" w:rsidRPr="006B4002" w:rsidRDefault="00B823B7" w:rsidP="007B7188">
      <w:pPr>
        <w:spacing w:after="0" w:line="360" w:lineRule="auto"/>
        <w:ind w:right="51"/>
        <w:jc w:val="center"/>
        <w:rPr>
          <w:rFonts w:ascii="Arial" w:eastAsia="Times New Roman" w:hAnsi="Arial" w:cs="Arial"/>
          <w:bCs/>
          <w:sz w:val="24"/>
          <w:szCs w:val="24"/>
          <w:lang w:eastAsia="es-ES"/>
        </w:rPr>
      </w:pPr>
    </w:p>
    <w:p w:rsidR="007B7188" w:rsidRPr="000F1C72" w:rsidRDefault="007B7188" w:rsidP="007B718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B823B7" w:rsidRPr="000F1C72" w:rsidRDefault="00B823B7" w:rsidP="007B7188">
      <w:pPr>
        <w:spacing w:after="0" w:line="360" w:lineRule="auto"/>
        <w:ind w:right="51"/>
        <w:jc w:val="center"/>
        <w:rPr>
          <w:rFonts w:ascii="Arial" w:eastAsia="Times New Roman" w:hAnsi="Arial" w:cs="Arial"/>
          <w:b/>
          <w:bCs/>
          <w:sz w:val="24"/>
          <w:szCs w:val="24"/>
          <w:lang w:val="es-ES_tradnl" w:eastAsia="es-ES"/>
        </w:rPr>
      </w:pPr>
    </w:p>
    <w:p w:rsidR="00777021" w:rsidRPr="005D49E4" w:rsidRDefault="00777021" w:rsidP="00777021">
      <w:pPr>
        <w:pStyle w:val="Textoindependienteprimerasangra"/>
        <w:spacing w:after="0" w:line="360" w:lineRule="auto"/>
        <w:ind w:firstLine="567"/>
        <w:jc w:val="both"/>
        <w:rPr>
          <w:rFonts w:ascii="Arial" w:hAnsi="Arial" w:cs="Arial"/>
          <w:sz w:val="24"/>
          <w:szCs w:val="24"/>
        </w:rPr>
      </w:pPr>
      <w:r w:rsidRPr="005D49E4">
        <w:rPr>
          <w:rFonts w:ascii="Arial" w:eastAsia="Times New Roman" w:hAnsi="Arial" w:cs="Arial"/>
          <w:b/>
          <w:sz w:val="24"/>
          <w:szCs w:val="24"/>
          <w:lang w:val="es-ES_tradnl" w:eastAsia="es-ES"/>
        </w:rPr>
        <w:t>PRIMERO</w:t>
      </w:r>
      <w:r w:rsidRPr="005D49E4">
        <w:rPr>
          <w:rFonts w:ascii="Arial" w:eastAsia="Times New Roman" w:hAnsi="Arial" w:cs="Arial"/>
          <w:b/>
          <w:color w:val="000000"/>
          <w:sz w:val="24"/>
          <w:szCs w:val="24"/>
          <w:lang w:val="es-ES_tradnl" w:eastAsia="es-ES"/>
        </w:rPr>
        <w:t xml:space="preserve">. Competencia. </w:t>
      </w:r>
      <w:r w:rsidRPr="005D49E4">
        <w:rPr>
          <w:rFonts w:ascii="Arial" w:eastAsia="Times New Roman" w:hAnsi="Arial" w:cs="Arial"/>
          <w:bCs/>
          <w:sz w:val="24"/>
          <w:szCs w:val="24"/>
          <w:lang w:val="es-ES" w:eastAsia="es-ES"/>
        </w:rPr>
        <w:t xml:space="preserve">Esta </w:t>
      </w:r>
      <w:r w:rsidRPr="005D49E4">
        <w:rPr>
          <w:rFonts w:ascii="Arial" w:hAnsi="Arial" w:cs="Arial"/>
          <w:sz w:val="24"/>
          <w:szCs w:val="24"/>
        </w:rPr>
        <w:t xml:space="preserve">Cuarta Sala Unitaria de Primera Instancia del Tribunal de lo Contencioso Administrativo y de Cuentas, </w:t>
      </w:r>
      <w:r w:rsidRPr="005D49E4">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111, de </w:t>
      </w:r>
      <w:r w:rsidRPr="005D49E4">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w:t>
      </w:r>
      <w:r>
        <w:rPr>
          <w:rFonts w:ascii="Arial" w:hAnsi="Arial" w:cs="Arial"/>
          <w:sz w:val="24"/>
          <w:szCs w:val="24"/>
        </w:rPr>
        <w:t xml:space="preserve"> así como </w:t>
      </w:r>
      <w:r w:rsidRPr="005D49E4">
        <w:rPr>
          <w:rFonts w:ascii="Arial" w:hAnsi="Arial" w:cs="Arial"/>
          <w:sz w:val="24"/>
          <w:szCs w:val="24"/>
        </w:rPr>
        <w:t>los diversos artículos 145,</w:t>
      </w:r>
      <w:r>
        <w:rPr>
          <w:rFonts w:ascii="Arial" w:hAnsi="Arial" w:cs="Arial"/>
          <w:sz w:val="24"/>
          <w:szCs w:val="24"/>
        </w:rPr>
        <w:t xml:space="preserve"> </w:t>
      </w:r>
      <w:r w:rsidRPr="005D49E4">
        <w:rPr>
          <w:rFonts w:ascii="Arial" w:hAnsi="Arial" w:cs="Arial"/>
          <w:sz w:val="24"/>
          <w:szCs w:val="24"/>
        </w:rPr>
        <w:t>146,</w:t>
      </w:r>
      <w:r>
        <w:rPr>
          <w:rFonts w:ascii="Arial" w:hAnsi="Arial" w:cs="Arial"/>
          <w:sz w:val="24"/>
          <w:szCs w:val="24"/>
        </w:rPr>
        <w:t xml:space="preserve"> </w:t>
      </w:r>
      <w:r w:rsidRPr="005D49E4">
        <w:rPr>
          <w:rFonts w:ascii="Arial" w:hAnsi="Arial" w:cs="Arial"/>
          <w:sz w:val="24"/>
          <w:szCs w:val="24"/>
        </w:rPr>
        <w:t>147,</w:t>
      </w:r>
      <w:r>
        <w:rPr>
          <w:rFonts w:ascii="Arial" w:hAnsi="Arial" w:cs="Arial"/>
          <w:sz w:val="24"/>
          <w:szCs w:val="24"/>
        </w:rPr>
        <w:t xml:space="preserve"> </w:t>
      </w:r>
      <w:r w:rsidRPr="005D49E4">
        <w:rPr>
          <w:rFonts w:ascii="Arial" w:hAnsi="Arial" w:cs="Arial"/>
          <w:sz w:val="24"/>
          <w:szCs w:val="24"/>
        </w:rPr>
        <w:t>148, de la Ley Orgánica del Poder Judicial del Estado, y los decretos 397, 1263 y 1367, publicados en los Extras del Periódico Oficial del Gobierno del Estado, el 15 de abril de 2011, 30 de junio de 2015 y 31 de dic</w:t>
      </w:r>
      <w:r>
        <w:rPr>
          <w:rFonts w:ascii="Arial" w:hAnsi="Arial" w:cs="Arial"/>
          <w:sz w:val="24"/>
          <w:szCs w:val="24"/>
        </w:rPr>
        <w:t>iembre de 2015, respectivamente, vigentes al momento del inicio del presente asunto, de conformidad con lo establecido por el artículo quinto transitorio de la Ley de Procedimiento y Justicia Administrativa para el Estado de Oaxaca, publicada en el Extra del Periódico Oficial del Estado el 20 veinte de octubre de 2017 dos mil diecisiete.</w:t>
      </w:r>
    </w:p>
    <w:p w:rsidR="00CB243E" w:rsidRPr="00777021" w:rsidRDefault="00CB243E" w:rsidP="00BC5A2F">
      <w:pPr>
        <w:spacing w:after="0" w:line="360" w:lineRule="auto"/>
        <w:ind w:right="49" w:firstLine="567"/>
        <w:jc w:val="both"/>
        <w:rPr>
          <w:rFonts w:ascii="Arial" w:eastAsia="Times New Roman" w:hAnsi="Arial" w:cs="Arial"/>
          <w:b/>
          <w:bCs/>
          <w:sz w:val="24"/>
          <w:szCs w:val="24"/>
          <w:lang w:eastAsia="es-ES"/>
        </w:rPr>
      </w:pP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w:t>
      </w:r>
      <w:r w:rsidR="00C951EA" w:rsidRPr="000F1C72">
        <w:rPr>
          <w:rFonts w:ascii="Arial" w:eastAsia="Times New Roman" w:hAnsi="Arial" w:cs="Arial"/>
          <w:sz w:val="24"/>
          <w:szCs w:val="24"/>
          <w:lang w:val="es-ES_tradnl" w:eastAsia="es-ES"/>
        </w:rPr>
        <w:lastRenderedPageBreak/>
        <w:t xml:space="preserve">Estado, 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w:t>
      </w:r>
      <w:r w:rsidR="00FD3992">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sidR="00FD3992">
        <w:rPr>
          <w:rFonts w:ascii="Arial" w:eastAsia="Times New Roman" w:hAnsi="Arial" w:cs="Arial"/>
          <w:b/>
          <w:sz w:val="24"/>
          <w:szCs w:val="24"/>
          <w:lang w:val="es-ES_tradnl" w:eastAsia="es-ES"/>
        </w:rPr>
        <w:t>es</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FD3992">
        <w:rPr>
          <w:rFonts w:ascii="Arial" w:eastAsia="Times New Roman" w:hAnsi="Arial" w:cs="Arial"/>
          <w:b/>
          <w:sz w:val="24"/>
          <w:szCs w:val="24"/>
          <w:lang w:val="es-ES_tradnl" w:eastAsia="es-ES"/>
        </w:rPr>
        <w:t>s</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FD3992">
        <w:rPr>
          <w:rFonts w:ascii="Arial" w:eastAsia="Times New Roman" w:hAnsi="Arial" w:cs="Arial"/>
          <w:sz w:val="24"/>
          <w:szCs w:val="24"/>
          <w:lang w:val="es-ES" w:eastAsia="es-ES"/>
        </w:rPr>
        <w:t>02</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FD3992">
        <w:rPr>
          <w:rFonts w:ascii="Arial" w:eastAsia="Times New Roman" w:hAnsi="Arial" w:cs="Arial"/>
          <w:sz w:val="24"/>
          <w:szCs w:val="24"/>
          <w:lang w:val="es-ES" w:eastAsia="es-ES"/>
        </w:rPr>
        <w:t xml:space="preserve"> y el Tesorero Municipal, autoridades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exhibi</w:t>
      </w:r>
      <w:r w:rsidR="00FD3992">
        <w:rPr>
          <w:rFonts w:ascii="Arial" w:eastAsia="Times New Roman" w:hAnsi="Arial" w:cs="Arial"/>
          <w:sz w:val="24"/>
          <w:szCs w:val="24"/>
          <w:lang w:val="es-ES_tradnl" w:eastAsia="es-ES"/>
        </w:rPr>
        <w:t>eron</w:t>
      </w:r>
      <w:r w:rsidR="00003D53">
        <w:rPr>
          <w:rFonts w:ascii="Arial" w:eastAsia="Times New Roman" w:hAnsi="Arial" w:cs="Arial"/>
          <w:sz w:val="24"/>
          <w:szCs w:val="24"/>
          <w:lang w:val="es-ES_tradnl" w:eastAsia="es-ES"/>
        </w:rPr>
        <w:t xml:space="preserve"> </w:t>
      </w:r>
      <w:r w:rsidR="00EE0F9E">
        <w:rPr>
          <w:rFonts w:ascii="Arial" w:eastAsia="Times New Roman" w:hAnsi="Arial" w:cs="Arial"/>
          <w:sz w:val="24"/>
          <w:szCs w:val="24"/>
          <w:lang w:val="es-ES_tradnl" w:eastAsia="es-ES"/>
        </w:rPr>
        <w:t>copia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certificada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de su</w:t>
      </w:r>
      <w:r w:rsidR="00FD3992">
        <w:rPr>
          <w:rFonts w:ascii="Arial" w:eastAsia="Times New Roman" w:hAnsi="Arial" w:cs="Arial"/>
          <w:sz w:val="24"/>
          <w:szCs w:val="24"/>
          <w:lang w:val="es-ES_tradnl" w:eastAsia="es-ES"/>
        </w:rPr>
        <w:t>s</w:t>
      </w:r>
      <w:r w:rsidR="00740A98">
        <w:rPr>
          <w:rFonts w:ascii="Arial" w:eastAsia="Times New Roman" w:hAnsi="Arial" w:cs="Arial"/>
          <w:sz w:val="24"/>
          <w:szCs w:val="24"/>
          <w:lang w:val="es-ES_tradnl" w:eastAsia="es-ES"/>
        </w:rPr>
        <w:t xml:space="preserve"> </w:t>
      </w:r>
      <w:r w:rsidR="00425E2B">
        <w:rPr>
          <w:rFonts w:ascii="Arial" w:eastAsia="Times New Roman" w:hAnsi="Arial" w:cs="Arial"/>
          <w:sz w:val="24"/>
          <w:szCs w:val="24"/>
          <w:lang w:val="es-ES_tradnl" w:eastAsia="es-ES"/>
        </w:rPr>
        <w:t>nombramiento</w:t>
      </w:r>
      <w:r w:rsidR="00FD3992">
        <w:rPr>
          <w:rFonts w:ascii="Arial" w:eastAsia="Times New Roman" w:hAnsi="Arial" w:cs="Arial"/>
          <w:sz w:val="24"/>
          <w:szCs w:val="24"/>
          <w:lang w:val="es-ES_tradnl" w:eastAsia="es-ES"/>
        </w:rPr>
        <w:t>s</w:t>
      </w:r>
      <w:r w:rsidR="00425E2B">
        <w:rPr>
          <w:rFonts w:ascii="Arial" w:eastAsia="Times New Roman" w:hAnsi="Arial" w:cs="Arial"/>
          <w:sz w:val="24"/>
          <w:szCs w:val="24"/>
          <w:lang w:val="es-ES_tradnl" w:eastAsia="es-ES"/>
        </w:rPr>
        <w:t xml:space="preserve"> </w:t>
      </w:r>
      <w:r w:rsidR="00EE0F9E">
        <w:rPr>
          <w:rFonts w:ascii="Arial" w:eastAsia="Times New Roman" w:hAnsi="Arial" w:cs="Arial"/>
          <w:sz w:val="24"/>
          <w:szCs w:val="24"/>
          <w:lang w:val="es-ES_tradnl" w:eastAsia="es-ES"/>
        </w:rPr>
        <w:t>y toma de</w:t>
      </w:r>
      <w:r w:rsidR="00425E2B">
        <w:rPr>
          <w:rFonts w:ascii="Arial" w:eastAsia="Times New Roman" w:hAnsi="Arial" w:cs="Arial"/>
          <w:sz w:val="24"/>
          <w:szCs w:val="24"/>
          <w:lang w:val="es-ES_tradnl" w:eastAsia="es-ES"/>
        </w:rPr>
        <w:t xml:space="preserve"> protesta </w:t>
      </w:r>
      <w:r w:rsidR="007F1AFD">
        <w:rPr>
          <w:rFonts w:ascii="Arial" w:eastAsia="Times New Roman" w:hAnsi="Arial" w:cs="Arial"/>
          <w:sz w:val="24"/>
          <w:szCs w:val="24"/>
          <w:lang w:val="es-ES_tradnl" w:eastAsia="es-ES"/>
        </w:rPr>
        <w:t>de ley,</w:t>
      </w:r>
      <w:r w:rsidRPr="000F1C72">
        <w:rPr>
          <w:rFonts w:ascii="Arial" w:eastAsia="Times New Roman" w:hAnsi="Arial" w:cs="Arial"/>
          <w:sz w:val="24"/>
          <w:szCs w:val="24"/>
          <w:lang w:val="es-ES_tradnl" w:eastAsia="es-ES"/>
        </w:rPr>
        <w:t xml:space="preserve"> </w:t>
      </w:r>
      <w:r w:rsidR="00490131">
        <w:rPr>
          <w:rFonts w:ascii="Arial" w:eastAsia="Times New Roman" w:hAnsi="Arial" w:cs="Arial"/>
          <w:sz w:val="24"/>
          <w:szCs w:val="24"/>
          <w:lang w:val="es-ES_tradnl" w:eastAsia="es-ES"/>
        </w:rPr>
        <w:t>a la</w:t>
      </w:r>
      <w:r w:rsidR="00FA62D1">
        <w:rPr>
          <w:rFonts w:ascii="Arial" w:eastAsia="Times New Roman" w:hAnsi="Arial" w:cs="Arial"/>
          <w:sz w:val="24"/>
          <w:szCs w:val="24"/>
          <w:lang w:val="es-ES_tradnl" w:eastAsia="es-ES"/>
        </w:rPr>
        <w:t>s</w:t>
      </w:r>
      <w:r w:rsidR="00490131">
        <w:rPr>
          <w:rFonts w:ascii="Arial" w:eastAsia="Times New Roman" w:hAnsi="Arial" w:cs="Arial"/>
          <w:sz w:val="24"/>
          <w:szCs w:val="24"/>
          <w:lang w:val="es-ES_tradnl" w:eastAsia="es-ES"/>
        </w:rPr>
        <w:t xml:space="preserve"> que se le</w:t>
      </w:r>
      <w:r w:rsidR="003F624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concede pleno valor probato</w:t>
      </w:r>
      <w:r w:rsidR="00003D53">
        <w:rPr>
          <w:rFonts w:ascii="Arial" w:eastAsia="Times New Roman" w:hAnsi="Arial" w:cs="Arial"/>
          <w:sz w:val="24"/>
          <w:szCs w:val="24"/>
          <w:lang w:val="es-ES_tradnl" w:eastAsia="es-ES"/>
        </w:rPr>
        <w:t>rio</w:t>
      </w:r>
      <w:r w:rsidR="00490131">
        <w:rPr>
          <w:rFonts w:ascii="Arial" w:eastAsia="Times New Roman" w:hAnsi="Arial" w:cs="Arial"/>
          <w:sz w:val="24"/>
          <w:szCs w:val="24"/>
          <w:lang w:val="es-ES_tradnl" w:eastAsia="es-ES"/>
        </w:rPr>
        <w:t xml:space="preserve">, </w:t>
      </w:r>
      <w:r w:rsidR="003F6243">
        <w:rPr>
          <w:rFonts w:ascii="Arial" w:eastAsia="Times New Roman" w:hAnsi="Arial" w:cs="Arial"/>
          <w:sz w:val="24"/>
          <w:szCs w:val="24"/>
          <w:lang w:val="es-ES_tradnl" w:eastAsia="es-ES"/>
        </w:rPr>
        <w:t xml:space="preserve">por tratarse de </w:t>
      </w:r>
      <w:r w:rsidR="00187F06">
        <w:rPr>
          <w:rFonts w:ascii="Arial" w:eastAsia="Times New Roman" w:hAnsi="Arial" w:cs="Arial"/>
          <w:sz w:val="24"/>
          <w:szCs w:val="24"/>
          <w:lang w:val="es-ES_tradnl" w:eastAsia="es-ES"/>
        </w:rPr>
        <w:t>documento</w:t>
      </w:r>
      <w:r w:rsidR="003F6243">
        <w:rPr>
          <w:rFonts w:ascii="Arial" w:eastAsia="Times New Roman" w:hAnsi="Arial" w:cs="Arial"/>
          <w:sz w:val="24"/>
          <w:szCs w:val="24"/>
          <w:lang w:val="es-ES_tradnl" w:eastAsia="es-ES"/>
        </w:rPr>
        <w:t>s</w:t>
      </w:r>
      <w:r w:rsidR="00187F06">
        <w:rPr>
          <w:rFonts w:ascii="Arial" w:eastAsia="Times New Roman" w:hAnsi="Arial" w:cs="Arial"/>
          <w:sz w:val="24"/>
          <w:szCs w:val="24"/>
          <w:lang w:val="es-ES_tradnl" w:eastAsia="es-ES"/>
        </w:rPr>
        <w:t xml:space="preserve"> público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expedido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w:t>
      </w:r>
      <w:r w:rsidR="007F1AFD">
        <w:rPr>
          <w:rFonts w:ascii="Arial" w:eastAsia="Times New Roman" w:hAnsi="Arial" w:cs="Arial"/>
          <w:sz w:val="24"/>
          <w:szCs w:val="24"/>
          <w:lang w:val="es-ES_tradnl" w:eastAsia="es-ES"/>
        </w:rPr>
        <w:t>por funcionario público en ejercicio de sus funciones, de conformidad con lo dispuesto por el artículo 173, fracción I, de la Ley de la Materia.</w:t>
      </w:r>
    </w:p>
    <w:p w:rsidR="0019663A" w:rsidRPr="000F1C72" w:rsidRDefault="0019663A" w:rsidP="0019663A">
      <w:pPr>
        <w:spacing w:after="0"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este juzgador de oficio las examina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 y 132, de la ley de la materia.</w:t>
      </w:r>
    </w:p>
    <w:p w:rsidR="0019663A" w:rsidRPr="000F1C72" w:rsidRDefault="0019663A" w:rsidP="0019663A">
      <w:pPr>
        <w:spacing w:after="0" w:line="240" w:lineRule="auto"/>
        <w:ind w:firstLine="567"/>
        <w:jc w:val="both"/>
        <w:rPr>
          <w:rFonts w:ascii="Arial" w:eastAsia="Times New Roman" w:hAnsi="Arial" w:cs="Arial"/>
          <w:bCs/>
          <w:sz w:val="24"/>
          <w:szCs w:val="24"/>
          <w:lang w:eastAsia="es-ES"/>
        </w:rPr>
      </w:pPr>
    </w:p>
    <w:p w:rsidR="0019663A" w:rsidRDefault="0019663A" w:rsidP="0019663A">
      <w:pPr>
        <w:spacing w:after="0" w:line="360" w:lineRule="auto"/>
        <w:ind w:firstLine="567"/>
        <w:jc w:val="both"/>
        <w:rPr>
          <w:rFonts w:ascii="Arial" w:hAnsi="Arial" w:cs="Arial"/>
          <w:sz w:val="24"/>
          <w:szCs w:val="24"/>
        </w:rPr>
      </w:pPr>
      <w:r>
        <w:rPr>
          <w:rFonts w:ascii="Arial" w:hAnsi="Arial" w:cs="Arial"/>
          <w:sz w:val="24"/>
          <w:szCs w:val="24"/>
        </w:rPr>
        <w:t>El Policía Vi</w:t>
      </w:r>
      <w:r w:rsidR="00FD3992">
        <w:rPr>
          <w:rFonts w:ascii="Arial" w:hAnsi="Arial" w:cs="Arial"/>
          <w:sz w:val="24"/>
          <w:szCs w:val="24"/>
        </w:rPr>
        <w:t>al con número estadístico PV-02</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Pr="00587ACF">
        <w:rPr>
          <w:rFonts w:ascii="Arial" w:hAnsi="Arial" w:cs="Arial"/>
          <w:sz w:val="24"/>
          <w:szCs w:val="24"/>
        </w:rPr>
        <w:t xml:space="preserve">de la Ley </w:t>
      </w:r>
      <w:r>
        <w:rPr>
          <w:rFonts w:ascii="Arial" w:hAnsi="Arial" w:cs="Arial"/>
          <w:sz w:val="24"/>
          <w:szCs w:val="24"/>
        </w:rPr>
        <w:t>en cita, mismas que establecen</w:t>
      </w:r>
      <w:r w:rsidRPr="005173E1">
        <w:rPr>
          <w:rFonts w:ascii="Arial" w:hAnsi="Arial" w:cs="Arial"/>
          <w:sz w:val="24"/>
          <w:szCs w:val="24"/>
        </w:rPr>
        <w:t>:</w:t>
      </w:r>
    </w:p>
    <w:p w:rsidR="0019663A" w:rsidRDefault="0019663A" w:rsidP="0019663A">
      <w:pPr>
        <w:spacing w:after="0" w:line="360" w:lineRule="auto"/>
        <w:ind w:firstLine="567"/>
        <w:jc w:val="both"/>
        <w:rPr>
          <w:rFonts w:ascii="Arial" w:hAnsi="Arial" w:cs="Arial"/>
          <w:sz w:val="24"/>
          <w:szCs w:val="24"/>
        </w:rPr>
      </w:pP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19663A" w:rsidRDefault="0019663A" w:rsidP="0019663A">
      <w:pPr>
        <w:spacing w:line="276" w:lineRule="auto"/>
        <w:ind w:left="1134" w:right="335"/>
        <w:jc w:val="both"/>
        <w:rPr>
          <w:rFonts w:ascii="Arial" w:hAnsi="Arial" w:cs="Arial"/>
          <w:i/>
        </w:rPr>
      </w:pPr>
    </w:p>
    <w:p w:rsidR="0019663A" w:rsidRPr="00021444" w:rsidRDefault="0019663A" w:rsidP="0019663A">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86438E">
        <w:rPr>
          <w:rFonts w:ascii="Arial" w:hAnsi="Arial" w:cs="Arial"/>
          <w:b/>
          <w:sz w:val="24"/>
          <w:szCs w:val="24"/>
        </w:rPr>
        <w:t>**********</w:t>
      </w:r>
      <w:r w:rsidR="0086438E">
        <w:rPr>
          <w:rFonts w:ascii="Arial" w:eastAsia="Times New Roman" w:hAnsi="Arial" w:cs="Arial"/>
          <w:sz w:val="24"/>
          <w:szCs w:val="24"/>
          <w:lang w:val="es-ES_tradnl" w:eastAsia="es-ES"/>
        </w:rPr>
        <w:t>,</w:t>
      </w:r>
      <w:r>
        <w:rPr>
          <w:rFonts w:ascii="Arial" w:hAnsi="Arial" w:cs="Arial"/>
          <w:sz w:val="24"/>
          <w:szCs w:val="24"/>
        </w:rPr>
        <w:t xml:space="preserve"> de </w:t>
      </w:r>
      <w:r w:rsidR="00FD3992">
        <w:rPr>
          <w:rFonts w:ascii="Arial" w:hAnsi="Arial" w:cs="Arial"/>
          <w:sz w:val="24"/>
          <w:szCs w:val="24"/>
        </w:rPr>
        <w:t xml:space="preserve">29 veintinueve de mayo </w:t>
      </w:r>
      <w:r>
        <w:rPr>
          <w:rFonts w:ascii="Arial" w:hAnsi="Arial" w:cs="Arial"/>
          <w:sz w:val="24"/>
          <w:szCs w:val="24"/>
        </w:rPr>
        <w:t>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B06C8D">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sidR="00B06C8D">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19663A" w:rsidRDefault="0019663A" w:rsidP="0019663A">
      <w:pPr>
        <w:spacing w:after="0" w:line="360" w:lineRule="auto"/>
        <w:ind w:right="51" w:firstLine="567"/>
        <w:jc w:val="both"/>
        <w:rPr>
          <w:rFonts w:ascii="Arial" w:hAnsi="Arial" w:cs="Arial"/>
          <w:sz w:val="24"/>
          <w:szCs w:val="24"/>
        </w:rPr>
      </w:pPr>
    </w:p>
    <w:p w:rsidR="0019663A" w:rsidRPr="00021444" w:rsidRDefault="0019663A" w:rsidP="0019663A">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w:t>
      </w:r>
      <w:r w:rsidRPr="00021444">
        <w:rPr>
          <w:rFonts w:ascii="Arial" w:hAnsi="Arial" w:cs="Arial"/>
          <w:sz w:val="24"/>
          <w:szCs w:val="24"/>
        </w:rPr>
        <w:lastRenderedPageBreak/>
        <w:t xml:space="preserve">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9F41B5">
        <w:rPr>
          <w:rFonts w:ascii="Arial" w:hAnsi="Arial" w:cs="Arial"/>
          <w:sz w:val="24"/>
          <w:szCs w:val="24"/>
        </w:rPr>
        <w:t xml:space="preserve">29 veintinueve de mayo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9F41B5">
        <w:rPr>
          <w:rFonts w:ascii="Arial" w:hAnsi="Arial" w:cs="Arial"/>
          <w:b/>
          <w:sz w:val="24"/>
          <w:szCs w:val="24"/>
        </w:rPr>
        <w:t xml:space="preserve">08 ocho de junio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este Tribunal, según se desprende del sello receptor estampado en el reverso de la primera hoja del escrito de demanda. </w:t>
      </w:r>
    </w:p>
    <w:p w:rsidR="0019663A" w:rsidRPr="00021444" w:rsidRDefault="0019663A" w:rsidP="0019663A">
      <w:pPr>
        <w:spacing w:after="0" w:line="240" w:lineRule="auto"/>
        <w:ind w:firstLine="567"/>
        <w:jc w:val="both"/>
        <w:rPr>
          <w:rFonts w:ascii="Arial" w:hAnsi="Arial" w:cs="Arial"/>
          <w:sz w:val="24"/>
          <w:szCs w:val="24"/>
        </w:rPr>
      </w:pPr>
    </w:p>
    <w:p w:rsidR="0019663A" w:rsidRPr="00021444" w:rsidRDefault="0019663A" w:rsidP="0019663A">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021444" w:rsidRDefault="0019663A" w:rsidP="0019663A">
      <w:pPr>
        <w:spacing w:after="0" w:line="360" w:lineRule="auto"/>
        <w:ind w:firstLine="567"/>
        <w:jc w:val="both"/>
        <w:rPr>
          <w:rFonts w:ascii="Arial" w:hAnsi="Arial" w:cs="Arial"/>
          <w:sz w:val="24"/>
          <w:szCs w:val="24"/>
        </w:rPr>
      </w:pPr>
    </w:p>
    <w:p w:rsidR="0019663A" w:rsidRPr="00021444" w:rsidRDefault="0019663A" w:rsidP="0019663A">
      <w:pPr>
        <w:tabs>
          <w:tab w:val="left" w:pos="567"/>
        </w:tabs>
        <w:spacing w:after="0"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Pr="00021444" w:rsidRDefault="0019663A" w:rsidP="0019663A">
      <w:pPr>
        <w:spacing w:after="0" w:line="360" w:lineRule="auto"/>
        <w:ind w:right="51" w:firstLine="567"/>
        <w:jc w:val="both"/>
        <w:rPr>
          <w:rFonts w:ascii="Arial" w:hAnsi="Arial" w:cs="Arial"/>
          <w:sz w:val="24"/>
          <w:szCs w:val="24"/>
        </w:rPr>
      </w:pPr>
    </w:p>
    <w:p w:rsidR="0019663A" w:rsidRDefault="0019663A" w:rsidP="0019663A">
      <w:pPr>
        <w:spacing w:after="0"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19663A" w:rsidRDefault="0019663A" w:rsidP="0019663A">
      <w:pPr>
        <w:spacing w:after="0" w:line="360" w:lineRule="auto"/>
        <w:ind w:right="51" w:firstLine="567"/>
        <w:jc w:val="both"/>
        <w:rPr>
          <w:rFonts w:ascii="Arial" w:eastAsia="Times New Roman" w:hAnsi="Arial" w:cs="Arial"/>
          <w:b/>
          <w:sz w:val="24"/>
          <w:szCs w:val="24"/>
          <w:lang w:val="es-ES_tradnl" w:eastAsia="es-ES"/>
        </w:rPr>
      </w:pPr>
    </w:p>
    <w:p w:rsidR="0019663A" w:rsidRPr="00DB5FD1" w:rsidRDefault="0019663A" w:rsidP="0019663A">
      <w:pPr>
        <w:spacing w:after="0" w:line="360" w:lineRule="auto"/>
        <w:ind w:right="51" w:firstLine="567"/>
        <w:jc w:val="both"/>
        <w:rPr>
          <w:rFonts w:ascii="Arial" w:eastAsia="Times New Roman" w:hAnsi="Arial" w:cs="Arial"/>
          <w:b/>
          <w:sz w:val="24"/>
          <w:szCs w:val="24"/>
          <w:lang w:val="es-ES_tradnl" w:eastAsia="es-ES"/>
        </w:rPr>
      </w:pPr>
      <w:r w:rsidRPr="00293052">
        <w:rPr>
          <w:rFonts w:ascii="Arial" w:hAnsi="Arial" w:cs="Arial"/>
          <w:b/>
          <w:sz w:val="24"/>
          <w:szCs w:val="24"/>
        </w:rPr>
        <w:t xml:space="preserve">CUARTO. </w:t>
      </w:r>
      <w:r w:rsidR="009F41B5">
        <w:rPr>
          <w:rFonts w:ascii="Arial" w:hAnsi="Arial" w:cs="Arial"/>
          <w:b/>
          <w:sz w:val="24"/>
          <w:szCs w:val="24"/>
        </w:rPr>
        <w:t>El actor</w:t>
      </w:r>
      <w:r w:rsidR="00BC3529">
        <w:rPr>
          <w:rFonts w:ascii="Arial" w:hAnsi="Arial" w:cs="Arial"/>
          <w:b/>
          <w:sz w:val="24"/>
          <w:szCs w:val="24"/>
        </w:rPr>
        <w:t xml:space="preserve"> **********</w:t>
      </w:r>
      <w:r>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folio </w:t>
      </w:r>
      <w:r w:rsidR="00BD5EC5">
        <w:rPr>
          <w:rFonts w:ascii="Arial" w:hAnsi="Arial" w:cs="Arial"/>
          <w:b/>
          <w:sz w:val="24"/>
          <w:szCs w:val="24"/>
        </w:rPr>
        <w:t>**********</w:t>
      </w:r>
      <w:r w:rsidR="00BD5EC5">
        <w:rPr>
          <w:rFonts w:ascii="Arial" w:eastAsia="Times New Roman" w:hAnsi="Arial" w:cs="Arial"/>
          <w:sz w:val="24"/>
          <w:szCs w:val="24"/>
          <w:lang w:val="es-ES_tradnl" w:eastAsia="es-ES"/>
        </w:rPr>
        <w:t>,</w:t>
      </w:r>
      <w:r w:rsidRPr="00467A04">
        <w:rPr>
          <w:rFonts w:ascii="Arial" w:hAnsi="Arial" w:cs="Arial"/>
          <w:sz w:val="24"/>
          <w:szCs w:val="24"/>
        </w:rPr>
        <w:t xml:space="preserve"> de </w:t>
      </w:r>
      <w:r w:rsidR="009F41B5">
        <w:rPr>
          <w:rFonts w:ascii="Arial" w:hAnsi="Arial" w:cs="Arial"/>
          <w:sz w:val="24"/>
          <w:szCs w:val="24"/>
        </w:rPr>
        <w:t xml:space="preserve">29 veintinueve de mayo </w:t>
      </w:r>
      <w:r>
        <w:rPr>
          <w:rFonts w:ascii="Arial" w:hAnsi="Arial" w:cs="Arial"/>
          <w:sz w:val="24"/>
          <w:szCs w:val="24"/>
        </w:rPr>
        <w:t xml:space="preserve">de 2017 dos mil diecisiete,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9F41B5">
        <w:rPr>
          <w:rFonts w:ascii="Arial" w:hAnsi="Arial" w:cs="Arial"/>
          <w:color w:val="000000"/>
          <w:sz w:val="24"/>
          <w:szCs w:val="24"/>
          <w:lang w:val="es-ES"/>
        </w:rPr>
        <w:t>02</w:t>
      </w:r>
      <w:r>
        <w:rPr>
          <w:rFonts w:ascii="Arial" w:hAnsi="Arial" w:cs="Arial"/>
          <w:sz w:val="24"/>
          <w:szCs w:val="24"/>
          <w:lang w:val="es-ES"/>
        </w:rPr>
        <w:t xml:space="preserve">, de la </w:t>
      </w:r>
      <w:r>
        <w:rPr>
          <w:rFonts w:ascii="Arial" w:hAnsi="Arial" w:cs="Arial"/>
          <w:color w:val="000000"/>
          <w:sz w:val="24"/>
          <w:szCs w:val="24"/>
        </w:rPr>
        <w:t>Co</w:t>
      </w:r>
      <w:r w:rsidR="0034185E">
        <w:rPr>
          <w:rFonts w:ascii="Arial" w:hAnsi="Arial" w:cs="Arial"/>
          <w:color w:val="000000"/>
          <w:sz w:val="24"/>
          <w:szCs w:val="24"/>
        </w:rPr>
        <w:t xml:space="preserve">misaría de </w:t>
      </w:r>
      <w:r>
        <w:rPr>
          <w:rFonts w:ascii="Arial" w:hAnsi="Arial" w:cs="Arial"/>
          <w:color w:val="000000"/>
          <w:sz w:val="24"/>
          <w:szCs w:val="24"/>
        </w:rPr>
        <w:t xml:space="preserve">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19663A" w:rsidRDefault="0019663A" w:rsidP="0019663A">
      <w:pPr>
        <w:tabs>
          <w:tab w:val="left" w:pos="567"/>
        </w:tabs>
        <w:spacing w:after="0" w:line="360" w:lineRule="auto"/>
        <w:ind w:right="51"/>
        <w:jc w:val="both"/>
        <w:rPr>
          <w:rFonts w:ascii="Arial" w:hAnsi="Arial" w:cs="Arial"/>
          <w:sz w:val="24"/>
          <w:szCs w:val="24"/>
        </w:rPr>
      </w:pPr>
    </w:p>
    <w:p w:rsidR="00DE4AE1" w:rsidRDefault="0019663A" w:rsidP="00DE4AE1">
      <w:pPr>
        <w:spacing w:after="0"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9F41B5">
        <w:rPr>
          <w:rFonts w:ascii="Arial" w:hAnsi="Arial" w:cs="Arial"/>
          <w:b/>
          <w:sz w:val="24"/>
          <w:szCs w:val="24"/>
        </w:rPr>
        <w:t>al con número estadístico PV-02</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niego categóricamente que el ahora actor tenga derecho legítimo para impugnar el acta de infra</w:t>
      </w:r>
      <w:r w:rsidR="00BD5EC5">
        <w:rPr>
          <w:rFonts w:ascii="Arial" w:hAnsi="Arial" w:cs="Arial"/>
          <w:i/>
        </w:rPr>
        <w:t xml:space="preserve">cción con número de folio </w:t>
      </w:r>
      <w:r w:rsidR="00BD5EC5">
        <w:rPr>
          <w:rFonts w:ascii="Arial" w:hAnsi="Arial" w:cs="Arial"/>
          <w:b/>
          <w:sz w:val="24"/>
          <w:szCs w:val="24"/>
        </w:rPr>
        <w:t>**********</w:t>
      </w:r>
      <w:r w:rsidR="00BD5EC5">
        <w:rPr>
          <w:rFonts w:ascii="Arial" w:eastAsia="Times New Roman" w:hAnsi="Arial" w:cs="Arial"/>
          <w:sz w:val="24"/>
          <w:szCs w:val="24"/>
          <w:lang w:val="es-ES_tradnl" w:eastAsia="es-ES"/>
        </w:rPr>
        <w:t>,</w:t>
      </w:r>
      <w:r w:rsidRPr="00D91BA8">
        <w:rPr>
          <w:rFonts w:ascii="Arial" w:hAnsi="Arial" w:cs="Arial"/>
          <w:i/>
        </w:rPr>
        <w:t xml:space="preserve"> de fecha </w:t>
      </w:r>
      <w:r w:rsidR="009F41B5">
        <w:rPr>
          <w:rFonts w:ascii="Arial" w:hAnsi="Arial" w:cs="Arial"/>
          <w:i/>
        </w:rPr>
        <w:t>veintinueve de mayo</w:t>
      </w:r>
      <w:r w:rsidRPr="00D91BA8">
        <w:rPr>
          <w:rFonts w:ascii="Arial" w:hAnsi="Arial" w:cs="Arial"/>
          <w:i/>
        </w:rPr>
        <w:t xml:space="preserve"> del año dos mil diecisiete, lo anterior porque existe un ordenamiento específico (Reglamento de Vialidad del Municipio de Oaxaca de Juárez), que regula el procedimiento relativo a la imposición de sanciones por infracciones en materia de tránsito; </w:t>
      </w:r>
      <w:r w:rsidR="00DE4AE1">
        <w:rPr>
          <w:rFonts w:ascii="Arial" w:hAnsi="Arial" w:cs="Arial"/>
          <w:i/>
        </w:rPr>
        <w:t xml:space="preserve">además que el acta de infracción se encuentra </w:t>
      </w:r>
      <w:r w:rsidR="009F41B5">
        <w:rPr>
          <w:rFonts w:ascii="Arial" w:hAnsi="Arial" w:cs="Arial"/>
          <w:i/>
        </w:rPr>
        <w:t xml:space="preserve">debidamente </w:t>
      </w:r>
      <w:r w:rsidR="00DE4AE1">
        <w:rPr>
          <w:rFonts w:ascii="Arial" w:hAnsi="Arial" w:cs="Arial"/>
          <w:i/>
        </w:rPr>
        <w:t>fundada y motivada</w:t>
      </w:r>
      <w:r w:rsidR="004C7B6B">
        <w:rPr>
          <w:rFonts w:ascii="Arial" w:hAnsi="Arial" w:cs="Arial"/>
          <w:i/>
        </w:rPr>
        <w:t>, como se demuestra con el</w:t>
      </w:r>
      <w:r w:rsidRPr="00D91BA8">
        <w:rPr>
          <w:rFonts w:ascii="Arial" w:hAnsi="Arial" w:cs="Arial"/>
          <w:i/>
        </w:rPr>
        <w:t xml:space="preserve"> acta de infracción. Así mismo el Reglamento constituye un conjunto de normas de carácter general para dar cumplimiento a las Leyes,</w:t>
      </w:r>
      <w:r w:rsidR="004C7B6B">
        <w:rPr>
          <w:rFonts w:ascii="Arial" w:hAnsi="Arial" w:cs="Arial"/>
          <w:i/>
        </w:rPr>
        <w:t xml:space="preserve"> </w:t>
      </w:r>
      <w:r w:rsidR="00DE4AE1">
        <w:rPr>
          <w:rFonts w:ascii="Arial" w:hAnsi="Arial" w:cs="Arial"/>
          <w:i/>
        </w:rPr>
        <w:t xml:space="preserve">aunque el recurrente alegue que el suscrito no tiene competencia territorial y que dicha </w:t>
      </w:r>
      <w:r w:rsidR="004C7B6B">
        <w:rPr>
          <w:rFonts w:ascii="Arial" w:hAnsi="Arial" w:cs="Arial"/>
          <w:i/>
        </w:rPr>
        <w:t xml:space="preserve">infracción </w:t>
      </w:r>
      <w:r w:rsidR="00DE4AE1">
        <w:rPr>
          <w:rFonts w:ascii="Arial" w:hAnsi="Arial" w:cs="Arial"/>
          <w:i/>
        </w:rPr>
        <w:t>carezca de fundamentación y motivación ya que como vuelvo a recalcar al ahora actor, que si cometió falta administrativa conforme al reglamento de vialidad para el Municipio de Oaxaca de Juárez…”</w:t>
      </w:r>
    </w:p>
    <w:p w:rsidR="0019663A" w:rsidRDefault="0019663A" w:rsidP="0019663A">
      <w:pPr>
        <w:spacing w:after="0" w:line="360" w:lineRule="auto"/>
        <w:ind w:right="18"/>
        <w:jc w:val="both"/>
        <w:rPr>
          <w:rFonts w:ascii="Arial" w:hAnsi="Arial" w:cs="Arial"/>
          <w:sz w:val="24"/>
          <w:szCs w:val="24"/>
        </w:rPr>
      </w:pPr>
    </w:p>
    <w:p w:rsidR="002166C7" w:rsidRPr="0042314B" w:rsidRDefault="000F615A" w:rsidP="0042314B">
      <w:pPr>
        <w:spacing w:line="360" w:lineRule="auto"/>
        <w:ind w:right="18" w:firstLine="567"/>
        <w:jc w:val="both"/>
        <w:rPr>
          <w:rFonts w:ascii="Arial" w:hAnsi="Arial" w:cs="Arial"/>
          <w:i/>
          <w:sz w:val="24"/>
          <w:szCs w:val="24"/>
        </w:rPr>
      </w:pPr>
      <w:r>
        <w:rPr>
          <w:rFonts w:ascii="Arial" w:hAnsi="Arial" w:cs="Arial"/>
          <w:b/>
          <w:sz w:val="24"/>
          <w:szCs w:val="24"/>
        </w:rPr>
        <w:lastRenderedPageBreak/>
        <w:t>El</w:t>
      </w:r>
      <w:r>
        <w:rPr>
          <w:rFonts w:ascii="Arial" w:hAnsi="Arial" w:cs="Arial"/>
          <w:sz w:val="24"/>
          <w:szCs w:val="24"/>
        </w:rPr>
        <w:t xml:space="preserve"> </w:t>
      </w:r>
      <w:r>
        <w:rPr>
          <w:rFonts w:ascii="Arial" w:hAnsi="Arial" w:cs="Arial"/>
          <w:b/>
          <w:sz w:val="24"/>
          <w:szCs w:val="24"/>
        </w:rPr>
        <w:t>Tesorero</w:t>
      </w:r>
      <w:r w:rsidRPr="00E23934">
        <w:rPr>
          <w:rFonts w:ascii="Arial" w:hAnsi="Arial" w:cs="Arial"/>
          <w:b/>
          <w:sz w:val="24"/>
          <w:szCs w:val="24"/>
        </w:rPr>
        <w:t xml:space="preserve"> Municipal de Oaxaca de Juárez</w:t>
      </w:r>
      <w:r>
        <w:rPr>
          <w:rFonts w:ascii="Arial" w:hAnsi="Arial" w:cs="Arial"/>
          <w:sz w:val="24"/>
          <w:szCs w:val="24"/>
        </w:rPr>
        <w:t xml:space="preserve">, al dar contestación a la demanda, en representación del Recaudador de Rentas de la Coordinación de Finanzas y Administración Municipal de Oaxaca de Juárez, Oaxaca, señaló: </w:t>
      </w:r>
      <w:r w:rsidRPr="00EC2276">
        <w:rPr>
          <w:rFonts w:ascii="Arial" w:hAnsi="Arial" w:cs="Arial"/>
          <w:i/>
          <w:sz w:val="24"/>
          <w:szCs w:val="24"/>
        </w:rPr>
        <w:t>“</w:t>
      </w:r>
      <w:r>
        <w:rPr>
          <w:rFonts w:ascii="Arial" w:hAnsi="Arial" w:cs="Arial"/>
          <w:i/>
          <w:sz w:val="24"/>
          <w:szCs w:val="24"/>
        </w:rPr>
        <w:t>…</w:t>
      </w:r>
      <w:r w:rsidRPr="00EC2276">
        <w:rPr>
          <w:rFonts w:ascii="Arial" w:hAnsi="Arial" w:cs="Arial"/>
          <w:i/>
          <w:sz w:val="24"/>
          <w:szCs w:val="24"/>
        </w:rPr>
        <w:t xml:space="preserve">Respecto a la pretensión que deduce el actor; manifiesto que no es procedente declarar la nulidad lisa y llana del acto impugnado; ya que el acta de infracción con </w:t>
      </w:r>
      <w:r w:rsidR="0042314B">
        <w:rPr>
          <w:rFonts w:ascii="Arial" w:hAnsi="Arial" w:cs="Arial"/>
          <w:i/>
          <w:sz w:val="24"/>
          <w:szCs w:val="24"/>
        </w:rPr>
        <w:t xml:space="preserve">número de folio </w:t>
      </w:r>
      <w:r w:rsidR="00BD5EC5">
        <w:rPr>
          <w:rFonts w:ascii="Arial" w:hAnsi="Arial" w:cs="Arial"/>
          <w:b/>
          <w:sz w:val="24"/>
          <w:szCs w:val="24"/>
        </w:rPr>
        <w:t>**********</w:t>
      </w:r>
      <w:r w:rsidR="00BD5EC5">
        <w:rPr>
          <w:rFonts w:ascii="Arial" w:eastAsia="Times New Roman" w:hAnsi="Arial" w:cs="Arial"/>
          <w:sz w:val="24"/>
          <w:szCs w:val="24"/>
          <w:lang w:val="es-ES_tradnl" w:eastAsia="es-ES"/>
        </w:rPr>
        <w:t>,</w:t>
      </w:r>
      <w:r>
        <w:rPr>
          <w:rFonts w:ascii="Arial" w:hAnsi="Arial" w:cs="Arial"/>
          <w:i/>
          <w:sz w:val="24"/>
          <w:szCs w:val="24"/>
        </w:rPr>
        <w:t xml:space="preserve"> </w:t>
      </w:r>
      <w:r w:rsidRPr="00EC2276">
        <w:rPr>
          <w:rFonts w:ascii="Arial" w:hAnsi="Arial" w:cs="Arial"/>
          <w:i/>
          <w:sz w:val="24"/>
          <w:szCs w:val="24"/>
        </w:rPr>
        <w:t xml:space="preserve">fue emitido por autoridad competente debidamente fundado y motivado </w:t>
      </w:r>
      <w:r>
        <w:rPr>
          <w:rFonts w:ascii="Arial" w:hAnsi="Arial" w:cs="Arial"/>
          <w:i/>
          <w:sz w:val="24"/>
          <w:szCs w:val="24"/>
        </w:rPr>
        <w:t xml:space="preserve">cumpliendo con los requisitos de validez y existencia </w:t>
      </w:r>
      <w:r w:rsidRPr="00EC2276">
        <w:rPr>
          <w:rFonts w:ascii="Arial" w:hAnsi="Arial" w:cs="Arial"/>
          <w:i/>
          <w:sz w:val="24"/>
          <w:szCs w:val="24"/>
        </w:rPr>
        <w:t>de conformidad con el artículo 7 de la Ley de Justicia Administrativa del Estado de Oaxaca…”</w:t>
      </w:r>
    </w:p>
    <w:p w:rsidR="0042592C" w:rsidRDefault="002166C7" w:rsidP="0042592C">
      <w:pPr>
        <w:spacing w:after="0"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BD5EC5">
        <w:rPr>
          <w:rFonts w:ascii="Arial" w:hAnsi="Arial" w:cs="Arial"/>
          <w:b/>
          <w:sz w:val="24"/>
          <w:szCs w:val="24"/>
        </w:rPr>
        <w:t>**********</w:t>
      </w:r>
      <w:r w:rsidR="00BD5EC5">
        <w:rPr>
          <w:rFonts w:ascii="Arial" w:eastAsia="Times New Roman" w:hAnsi="Arial" w:cs="Arial"/>
          <w:sz w:val="24"/>
          <w:szCs w:val="24"/>
          <w:lang w:val="es-ES_tradnl" w:eastAsia="es-ES"/>
        </w:rPr>
        <w:t>,</w:t>
      </w:r>
      <w:r w:rsidR="00BD5EC5">
        <w:rPr>
          <w:rFonts w:ascii="Arial" w:eastAsia="Times New Roman" w:hAnsi="Arial" w:cs="Arial"/>
          <w:sz w:val="24"/>
          <w:szCs w:val="24"/>
          <w:lang w:val="es-ES_tradnl" w:eastAsia="es-ES"/>
        </w:rPr>
        <w:t xml:space="preserve"> </w:t>
      </w:r>
      <w:r>
        <w:rPr>
          <w:rFonts w:ascii="Arial" w:hAnsi="Arial" w:cs="Arial"/>
          <w:sz w:val="24"/>
          <w:szCs w:val="24"/>
        </w:rPr>
        <w:t xml:space="preserve">de </w:t>
      </w:r>
      <w:r w:rsidR="0042314B">
        <w:rPr>
          <w:rFonts w:ascii="Arial" w:hAnsi="Arial" w:cs="Arial"/>
          <w:sz w:val="24"/>
          <w:szCs w:val="24"/>
        </w:rPr>
        <w:t xml:space="preserve">29 veintinueve de mayo </w:t>
      </w:r>
      <w:r>
        <w:rPr>
          <w:rFonts w:ascii="Arial" w:hAnsi="Arial" w:cs="Arial"/>
          <w:sz w:val="24"/>
          <w:szCs w:val="24"/>
        </w:rPr>
        <w:t>de 2017 dos mil diecisiete,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42314B">
        <w:rPr>
          <w:rFonts w:ascii="Arial" w:hAnsi="Arial" w:cs="Arial"/>
          <w:color w:val="000000"/>
          <w:sz w:val="24"/>
          <w:szCs w:val="24"/>
          <w:lang w:val="es-ES"/>
        </w:rPr>
        <w:t>PV-02</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funciones, en términos del artículo 173 fracción I, de l</w:t>
      </w:r>
      <w:r w:rsidR="0042592C">
        <w:rPr>
          <w:rFonts w:ascii="Arial" w:hAnsi="Arial" w:cs="Arial"/>
          <w:color w:val="000000"/>
          <w:sz w:val="24"/>
          <w:szCs w:val="24"/>
        </w:rPr>
        <w:t>a Ley que rige a este Tribunal.</w:t>
      </w:r>
    </w:p>
    <w:p w:rsidR="0042592C" w:rsidRDefault="0042592C" w:rsidP="0042592C">
      <w:pPr>
        <w:spacing w:after="0" w:line="360" w:lineRule="auto"/>
        <w:ind w:right="18" w:firstLine="567"/>
        <w:jc w:val="both"/>
        <w:rPr>
          <w:rFonts w:ascii="Arial" w:hAnsi="Arial" w:cs="Arial"/>
          <w:color w:val="000000"/>
          <w:sz w:val="24"/>
          <w:szCs w:val="24"/>
        </w:rPr>
      </w:pPr>
    </w:p>
    <w:p w:rsidR="002166C7" w:rsidRDefault="002166C7" w:rsidP="0042592C">
      <w:pPr>
        <w:spacing w:after="0"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42314B">
        <w:rPr>
          <w:rFonts w:ascii="Arial" w:hAnsi="Arial" w:cs="Arial"/>
          <w:sz w:val="24"/>
          <w:szCs w:val="24"/>
        </w:rPr>
        <w:t xml:space="preserve">realizar ascenso en lugar prohibido así como negar </w:t>
      </w:r>
      <w:r w:rsidR="00855AE8">
        <w:rPr>
          <w:rFonts w:ascii="Arial" w:hAnsi="Arial" w:cs="Arial"/>
          <w:sz w:val="24"/>
          <w:szCs w:val="24"/>
        </w:rPr>
        <w:t>documentos</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 xml:space="preserve">señaló “artículo </w:t>
      </w:r>
      <w:r w:rsidR="0042314B">
        <w:rPr>
          <w:rFonts w:ascii="Arial" w:hAnsi="Arial" w:cs="Arial"/>
          <w:sz w:val="24"/>
          <w:szCs w:val="24"/>
        </w:rPr>
        <w:t>60 y 59 fracción XX y X</w:t>
      </w:r>
      <w:r>
        <w:rPr>
          <w:rFonts w:ascii="Arial" w:hAnsi="Arial" w:cs="Arial"/>
          <w:sz w:val="24"/>
          <w:szCs w:val="24"/>
        </w:rPr>
        <w:t xml:space="preserve">,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2166C7" w:rsidRDefault="002166C7" w:rsidP="002166C7">
      <w:pPr>
        <w:spacing w:after="0" w:line="360" w:lineRule="auto"/>
        <w:ind w:right="51" w:firstLine="567"/>
        <w:jc w:val="both"/>
        <w:rPr>
          <w:rFonts w:ascii="Arial" w:hAnsi="Arial" w:cs="Arial"/>
          <w:sz w:val="24"/>
          <w:szCs w:val="24"/>
        </w:rPr>
      </w:pPr>
    </w:p>
    <w:p w:rsidR="002166C7" w:rsidRPr="00B15094"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L</w:t>
      </w:r>
      <w:r w:rsidR="00E87C18">
        <w:rPr>
          <w:rFonts w:ascii="Arial" w:hAnsi="Arial" w:cs="Arial"/>
          <w:sz w:val="24"/>
          <w:szCs w:val="24"/>
        </w:rPr>
        <w:t xml:space="preserve">os artículos </w:t>
      </w:r>
      <w:r w:rsidR="0042314B">
        <w:rPr>
          <w:rFonts w:ascii="Arial" w:hAnsi="Arial" w:cs="Arial"/>
          <w:sz w:val="24"/>
          <w:szCs w:val="24"/>
        </w:rPr>
        <w:t xml:space="preserve">59 fracción X, y 60 </w:t>
      </w:r>
      <w:proofErr w:type="gramStart"/>
      <w:r w:rsidR="0042314B">
        <w:rPr>
          <w:rFonts w:ascii="Arial" w:hAnsi="Arial" w:cs="Arial"/>
          <w:sz w:val="24"/>
          <w:szCs w:val="24"/>
        </w:rPr>
        <w:t>fracción</w:t>
      </w:r>
      <w:proofErr w:type="gramEnd"/>
      <w:r w:rsidR="0042314B">
        <w:rPr>
          <w:rFonts w:ascii="Arial" w:hAnsi="Arial" w:cs="Arial"/>
          <w:sz w:val="24"/>
          <w:szCs w:val="24"/>
        </w:rPr>
        <w:t xml:space="preserve"> XX</w:t>
      </w:r>
      <w:r>
        <w:rPr>
          <w:rFonts w:ascii="Arial" w:hAnsi="Arial" w:cs="Arial"/>
          <w:sz w:val="24"/>
          <w:szCs w:val="24"/>
        </w:rPr>
        <w:t>, del Reglamento de Vialidad para el Municipio de Oaxaca de Juárez Oaxaca, establecen:</w:t>
      </w:r>
    </w:p>
    <w:p w:rsidR="002166C7" w:rsidRDefault="002166C7" w:rsidP="002166C7">
      <w:pPr>
        <w:spacing w:after="0" w:line="240" w:lineRule="auto"/>
        <w:ind w:right="51" w:firstLine="567"/>
        <w:jc w:val="both"/>
        <w:rPr>
          <w:rFonts w:ascii="Arial" w:hAnsi="Arial" w:cs="Arial"/>
          <w:sz w:val="24"/>
          <w:szCs w:val="24"/>
        </w:rPr>
      </w:pPr>
    </w:p>
    <w:p w:rsidR="002166C7" w:rsidRDefault="002166C7" w:rsidP="002166C7">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3F3648" w:rsidRDefault="0042314B" w:rsidP="0042314B">
      <w:pPr>
        <w:autoSpaceDE w:val="0"/>
        <w:autoSpaceDN w:val="0"/>
        <w:adjustRightInd w:val="0"/>
        <w:spacing w:after="0" w:line="276" w:lineRule="auto"/>
        <w:ind w:left="567" w:right="51" w:firstLine="426"/>
        <w:jc w:val="both"/>
        <w:rPr>
          <w:rFonts w:ascii="Arial" w:hAnsi="Arial" w:cs="Arial"/>
          <w:bCs/>
          <w:i/>
          <w:szCs w:val="24"/>
        </w:rPr>
      </w:pPr>
      <w:r w:rsidRPr="0042314B">
        <w:rPr>
          <w:rFonts w:ascii="Arial" w:hAnsi="Arial" w:cs="Arial"/>
          <w:b/>
          <w:bCs/>
          <w:i/>
          <w:szCs w:val="24"/>
        </w:rPr>
        <w:t xml:space="preserve">ARTÍCULO 59.- </w:t>
      </w:r>
      <w:r w:rsidRPr="0042314B">
        <w:rPr>
          <w:rFonts w:ascii="Arial" w:hAnsi="Arial" w:cs="Arial"/>
          <w:bCs/>
          <w:i/>
          <w:szCs w:val="24"/>
        </w:rPr>
        <w:t>Son obligaciones de los conductores de vehículos automotores para que puedan circular libremente en la jurisdicción del Municipio de Oaxaca de Juárez:</w:t>
      </w:r>
    </w:p>
    <w:p w:rsidR="0042314B" w:rsidRP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r w:rsidRPr="0042314B">
        <w:rPr>
          <w:rFonts w:ascii="Arial" w:hAnsi="Arial" w:cs="Arial"/>
          <w:bCs/>
          <w:i/>
          <w:szCs w:val="24"/>
        </w:rPr>
        <w:t>(…)</w:t>
      </w:r>
    </w:p>
    <w:p w:rsid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r w:rsidRPr="0042314B">
        <w:rPr>
          <w:rFonts w:ascii="Arial" w:hAnsi="Arial" w:cs="Arial"/>
          <w:bCs/>
          <w:i/>
          <w:szCs w:val="24"/>
        </w:rPr>
        <w:t>X. Entregar, en caso de infracción, a los Policías Viales cu</w:t>
      </w:r>
      <w:r>
        <w:rPr>
          <w:rFonts w:ascii="Arial" w:hAnsi="Arial" w:cs="Arial"/>
          <w:bCs/>
          <w:i/>
          <w:szCs w:val="24"/>
        </w:rPr>
        <w:t xml:space="preserve">ando se requiera, la licencia o </w:t>
      </w:r>
      <w:r w:rsidRPr="0042314B">
        <w:rPr>
          <w:rFonts w:ascii="Arial" w:hAnsi="Arial" w:cs="Arial"/>
          <w:bCs/>
          <w:i/>
          <w:szCs w:val="24"/>
        </w:rPr>
        <w:t>permiso para conducir y de la tarjeta de circulaci</w:t>
      </w:r>
      <w:r>
        <w:rPr>
          <w:rFonts w:ascii="Arial" w:hAnsi="Arial" w:cs="Arial"/>
          <w:bCs/>
          <w:i/>
          <w:szCs w:val="24"/>
        </w:rPr>
        <w:t xml:space="preserve">ón para que procedan al </w:t>
      </w:r>
      <w:r w:rsidRPr="0042314B">
        <w:rPr>
          <w:rFonts w:ascii="Arial" w:hAnsi="Arial" w:cs="Arial"/>
          <w:bCs/>
          <w:i/>
          <w:szCs w:val="24"/>
        </w:rPr>
        <w:t>levantamiento del acta correspondiente;</w:t>
      </w:r>
    </w:p>
    <w:p w:rsid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p>
    <w:p w:rsid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r w:rsidRPr="0042314B">
        <w:rPr>
          <w:rFonts w:ascii="Arial" w:hAnsi="Arial" w:cs="Arial"/>
          <w:b/>
          <w:bCs/>
          <w:i/>
          <w:szCs w:val="24"/>
        </w:rPr>
        <w:t>ARTÍCULO 60.-</w:t>
      </w:r>
      <w:r w:rsidRPr="0042314B">
        <w:rPr>
          <w:rFonts w:ascii="Arial" w:hAnsi="Arial" w:cs="Arial"/>
          <w:bCs/>
          <w:i/>
          <w:szCs w:val="24"/>
        </w:rPr>
        <w:t xml:space="preserve"> Son prohibiciones de los conductor</w:t>
      </w:r>
      <w:r>
        <w:rPr>
          <w:rFonts w:ascii="Arial" w:hAnsi="Arial" w:cs="Arial"/>
          <w:bCs/>
          <w:i/>
          <w:szCs w:val="24"/>
        </w:rPr>
        <w:t xml:space="preserve">es de vehículos automotores las </w:t>
      </w:r>
      <w:r w:rsidRPr="0042314B">
        <w:rPr>
          <w:rFonts w:ascii="Arial" w:hAnsi="Arial" w:cs="Arial"/>
          <w:bCs/>
          <w:i/>
          <w:szCs w:val="24"/>
        </w:rPr>
        <w:t>siguientes:</w:t>
      </w:r>
    </w:p>
    <w:p w:rsidR="0042314B" w:rsidRP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r w:rsidRPr="0042314B">
        <w:rPr>
          <w:rFonts w:ascii="Arial" w:hAnsi="Arial" w:cs="Arial"/>
          <w:bCs/>
          <w:i/>
          <w:szCs w:val="24"/>
        </w:rPr>
        <w:t>(…)</w:t>
      </w:r>
    </w:p>
    <w:p w:rsidR="0042314B" w:rsidRP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r w:rsidRPr="0042314B">
        <w:rPr>
          <w:rFonts w:ascii="Arial" w:hAnsi="Arial" w:cs="Arial"/>
          <w:bCs/>
          <w:i/>
          <w:szCs w:val="24"/>
        </w:rPr>
        <w:t>XX. Circular con las puertas abiertas y con ayudante</w:t>
      </w:r>
      <w:r>
        <w:rPr>
          <w:rFonts w:ascii="Arial" w:hAnsi="Arial" w:cs="Arial"/>
          <w:bCs/>
          <w:i/>
          <w:szCs w:val="24"/>
        </w:rPr>
        <w:t xml:space="preserve">s, cobradores o pasajeros en el </w:t>
      </w:r>
      <w:r w:rsidRPr="0042314B">
        <w:rPr>
          <w:rFonts w:ascii="Arial" w:hAnsi="Arial" w:cs="Arial"/>
          <w:bCs/>
          <w:i/>
          <w:szCs w:val="24"/>
        </w:rPr>
        <w:t>estribo, y</w:t>
      </w:r>
    </w:p>
    <w:p w:rsidR="0042314B" w:rsidRDefault="0042314B" w:rsidP="0042314B">
      <w:pPr>
        <w:autoSpaceDE w:val="0"/>
        <w:autoSpaceDN w:val="0"/>
        <w:adjustRightInd w:val="0"/>
        <w:spacing w:after="0" w:line="276" w:lineRule="auto"/>
        <w:ind w:right="51"/>
        <w:jc w:val="both"/>
        <w:rPr>
          <w:rFonts w:ascii="Arial" w:hAnsi="Arial" w:cs="Arial"/>
          <w:b/>
          <w:bCs/>
          <w:i/>
          <w:szCs w:val="24"/>
        </w:rPr>
      </w:pP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w:t>
      </w:r>
      <w:r w:rsidRPr="00F6371B">
        <w:rPr>
          <w:rFonts w:ascii="Arial" w:hAnsi="Arial" w:cs="Arial"/>
          <w:sz w:val="24"/>
          <w:szCs w:val="24"/>
        </w:rPr>
        <w:lastRenderedPageBreak/>
        <w:t xml:space="preserve">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7 fracción V, de la Ley de 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los artículos </w:t>
      </w:r>
      <w:r w:rsidR="0042314B">
        <w:rPr>
          <w:rFonts w:ascii="Arial" w:hAnsi="Arial" w:cs="Arial"/>
          <w:sz w:val="24"/>
          <w:szCs w:val="24"/>
        </w:rPr>
        <w:t>59 fracción X y 60 fracción XX</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E87C18">
        <w:rPr>
          <w:rFonts w:ascii="Arial" w:hAnsi="Arial" w:cs="Arial"/>
          <w:color w:val="000000"/>
          <w:sz w:val="24"/>
          <w:szCs w:val="24"/>
          <w:lang w:val="es-ES"/>
        </w:rPr>
        <w:t>PV-221</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42314B">
        <w:rPr>
          <w:rFonts w:ascii="Arial" w:hAnsi="Arial" w:cs="Arial"/>
          <w:sz w:val="24"/>
          <w:szCs w:val="24"/>
        </w:rPr>
        <w:t>realizó el ascenso de pasaje en un lugar prohibido</w:t>
      </w:r>
      <w:r w:rsidR="0021250C">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como lo prevé </w:t>
      </w:r>
      <w:r w:rsidRPr="00B15094">
        <w:rPr>
          <w:rFonts w:ascii="Arial" w:hAnsi="Arial" w:cs="Arial"/>
          <w:sz w:val="24"/>
          <w:szCs w:val="24"/>
        </w:rPr>
        <w:t>la fracción V del artículo 7</w:t>
      </w:r>
      <w:r>
        <w:rPr>
          <w:rFonts w:ascii="Arial" w:hAnsi="Arial" w:cs="Arial"/>
          <w:sz w:val="24"/>
          <w:szCs w:val="24"/>
        </w:rPr>
        <w:t>,</w:t>
      </w:r>
      <w:r w:rsidRPr="00B15094">
        <w:rPr>
          <w:rFonts w:ascii="Arial" w:hAnsi="Arial" w:cs="Arial"/>
          <w:sz w:val="24"/>
          <w:szCs w:val="24"/>
        </w:rPr>
        <w:t xml:space="preserve"> de la Ley de Justicia Administrativa para el Estado de O</w:t>
      </w:r>
      <w:r>
        <w:rPr>
          <w:rFonts w:ascii="Arial" w:hAnsi="Arial" w:cs="Arial"/>
          <w:sz w:val="24"/>
          <w:szCs w:val="24"/>
        </w:rPr>
        <w:t>axaca</w:t>
      </w:r>
      <w:r w:rsidRPr="00B15094">
        <w:rPr>
          <w:rFonts w:ascii="Arial" w:hAnsi="Arial" w:cs="Arial"/>
          <w:sz w:val="24"/>
          <w:szCs w:val="24"/>
        </w:rPr>
        <w:t>.</w:t>
      </w:r>
    </w:p>
    <w:p w:rsidR="002166C7" w:rsidRDefault="002166C7" w:rsidP="002166C7">
      <w:pPr>
        <w:spacing w:after="0" w:line="360" w:lineRule="auto"/>
        <w:ind w:right="51" w:firstLine="567"/>
        <w:jc w:val="both"/>
        <w:rPr>
          <w:rFonts w:ascii="Arial" w:hAnsi="Arial" w:cs="Arial"/>
          <w:sz w:val="24"/>
          <w:szCs w:val="24"/>
        </w:rPr>
      </w:pPr>
    </w:p>
    <w:p w:rsidR="002166C7" w:rsidRPr="00B15094" w:rsidRDefault="002166C7" w:rsidP="002166C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2166C7" w:rsidRPr="00B15094" w:rsidRDefault="002166C7" w:rsidP="002166C7">
      <w:pPr>
        <w:ind w:right="51"/>
        <w:jc w:val="both"/>
        <w:rPr>
          <w:rFonts w:ascii="Arial" w:hAnsi="Arial" w:cs="Arial"/>
          <w:sz w:val="2"/>
          <w:szCs w:val="24"/>
        </w:rPr>
      </w:pPr>
    </w:p>
    <w:p w:rsidR="002166C7" w:rsidRDefault="002166C7" w:rsidP="002166C7">
      <w:pPr>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1A2C51">
        <w:rPr>
          <w:rFonts w:ascii="Arial" w:hAnsi="Arial" w:cs="Arial"/>
          <w:i/>
        </w:rPr>
        <w:t>subincisos</w:t>
      </w:r>
      <w:proofErr w:type="spellEnd"/>
      <w:r w:rsidRPr="001A2C51">
        <w:rPr>
          <w:rFonts w:ascii="Arial" w:hAnsi="Arial" w:cs="Arial"/>
          <w:i/>
        </w:rPr>
        <w:t>, fracciones y preceptos aplicables, y b).- Los cuerpos legales, y preceptos que otorgan competencia o facultades a las autoridades para emitir el acto en agravio del gobernado”.</w:t>
      </w:r>
    </w:p>
    <w:p w:rsidR="002166C7" w:rsidRDefault="002166C7" w:rsidP="002166C7">
      <w:pPr>
        <w:spacing w:after="0" w:line="360" w:lineRule="auto"/>
        <w:ind w:right="51" w:firstLine="708"/>
        <w:jc w:val="both"/>
        <w:rPr>
          <w:rFonts w:ascii="Arial" w:hAnsi="Arial" w:cs="Arial"/>
        </w:rPr>
      </w:pPr>
    </w:p>
    <w:p w:rsidR="002166C7" w:rsidRDefault="002166C7" w:rsidP="002166C7">
      <w:pPr>
        <w:spacing w:after="0" w:line="360" w:lineRule="auto"/>
        <w:ind w:right="51" w:firstLine="567"/>
        <w:jc w:val="both"/>
        <w:rPr>
          <w:rFonts w:ascii="Arial" w:hAnsi="Arial" w:cs="Arial"/>
          <w:color w:val="000000"/>
          <w:sz w:val="24"/>
          <w:szCs w:val="24"/>
        </w:rPr>
      </w:pPr>
      <w:r w:rsidRPr="00B15094">
        <w:rPr>
          <w:rFonts w:ascii="Arial" w:hAnsi="Arial" w:cs="Arial"/>
          <w:sz w:val="24"/>
          <w:szCs w:val="24"/>
        </w:rPr>
        <w:lastRenderedPageBreak/>
        <w:t>En consecuencia</w:t>
      </w:r>
      <w:r w:rsidR="0021250C">
        <w:rPr>
          <w:rFonts w:ascii="Arial" w:hAnsi="Arial" w:cs="Arial"/>
          <w:sz w:val="24"/>
          <w:szCs w:val="24"/>
        </w:rPr>
        <w:t>,</w:t>
      </w:r>
      <w:r w:rsidRPr="00B15094">
        <w:rPr>
          <w:rFonts w:ascii="Arial" w:hAnsi="Arial" w:cs="Arial"/>
          <w:sz w:val="24"/>
          <w:szCs w:val="24"/>
        </w:rPr>
        <w:t xml:space="preserve">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BD5EC5">
        <w:rPr>
          <w:rFonts w:ascii="Arial" w:hAnsi="Arial" w:cs="Arial"/>
          <w:b/>
          <w:sz w:val="24"/>
          <w:szCs w:val="24"/>
        </w:rPr>
        <w:t>**********</w:t>
      </w:r>
      <w:r w:rsidR="00BD5EC5">
        <w:rPr>
          <w:rFonts w:ascii="Arial" w:eastAsia="Times New Roman" w:hAnsi="Arial" w:cs="Arial"/>
          <w:sz w:val="24"/>
          <w:szCs w:val="24"/>
          <w:lang w:val="es-ES_tradnl" w:eastAsia="es-ES"/>
        </w:rPr>
        <w:t>,</w:t>
      </w:r>
      <w:r>
        <w:rPr>
          <w:rFonts w:ascii="Arial" w:hAnsi="Arial" w:cs="Arial"/>
          <w:sz w:val="24"/>
          <w:szCs w:val="24"/>
        </w:rPr>
        <w:t xml:space="preserve"> de </w:t>
      </w:r>
      <w:r w:rsidR="0042314B">
        <w:rPr>
          <w:rFonts w:ascii="Arial" w:hAnsi="Arial" w:cs="Arial"/>
          <w:sz w:val="24"/>
          <w:szCs w:val="24"/>
        </w:rPr>
        <w:t xml:space="preserve">29 veintinueve de mayo </w:t>
      </w:r>
      <w:r>
        <w:rPr>
          <w:rFonts w:ascii="Arial" w:hAnsi="Arial" w:cs="Arial"/>
          <w:sz w:val="24"/>
          <w:szCs w:val="24"/>
        </w:rPr>
        <w:t>de 2017 dos mil diecisiete,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42314B">
        <w:rPr>
          <w:rFonts w:ascii="Arial" w:hAnsi="Arial" w:cs="Arial"/>
          <w:color w:val="000000"/>
          <w:sz w:val="24"/>
          <w:szCs w:val="24"/>
          <w:lang w:val="es-ES"/>
        </w:rPr>
        <w:t>PV-02</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2166C7" w:rsidRDefault="002166C7" w:rsidP="002166C7">
      <w:pPr>
        <w:spacing w:after="0" w:line="360" w:lineRule="auto"/>
        <w:ind w:right="51" w:firstLine="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42314B">
        <w:rPr>
          <w:rFonts w:ascii="Arial" w:hAnsi="Arial" w:cs="Arial"/>
          <w:sz w:val="24"/>
          <w:szCs w:val="24"/>
        </w:rPr>
        <w:t>2,903</w:t>
      </w:r>
      <w:r>
        <w:rPr>
          <w:rFonts w:ascii="Arial" w:hAnsi="Arial" w:cs="Arial"/>
          <w:sz w:val="24"/>
          <w:szCs w:val="24"/>
        </w:rPr>
        <w:t>.00 (</w:t>
      </w:r>
      <w:r w:rsidR="0042314B">
        <w:rPr>
          <w:rFonts w:ascii="Arial" w:hAnsi="Arial" w:cs="Arial"/>
          <w:sz w:val="24"/>
          <w:szCs w:val="24"/>
        </w:rPr>
        <w:t>dos mil novecientos tres pesos</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42314B">
        <w:rPr>
          <w:rFonts w:ascii="Arial" w:hAnsi="Arial" w:cs="Arial"/>
          <w:sz w:val="24"/>
          <w:szCs w:val="24"/>
        </w:rPr>
        <w:t xml:space="preserve">al actor </w:t>
      </w:r>
      <w:r w:rsidR="0086438E">
        <w:rPr>
          <w:rFonts w:ascii="Arial" w:hAnsi="Arial" w:cs="Arial"/>
          <w:b/>
          <w:sz w:val="24"/>
          <w:szCs w:val="24"/>
        </w:rPr>
        <w:t>**********</w:t>
      </w:r>
      <w:r w:rsidR="0086438E">
        <w:rPr>
          <w:rFonts w:ascii="Arial" w:eastAsia="Times New Roman" w:hAnsi="Arial" w:cs="Arial"/>
          <w:sz w:val="24"/>
          <w:szCs w:val="24"/>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42314B">
        <w:rPr>
          <w:rFonts w:ascii="Arial" w:hAnsi="Arial" w:cs="Arial"/>
          <w:sz w:val="24"/>
          <w:szCs w:val="24"/>
        </w:rPr>
        <w:t xml:space="preserve"> pago </w:t>
      </w:r>
      <w:r w:rsidR="0086438E">
        <w:rPr>
          <w:rFonts w:ascii="Arial" w:hAnsi="Arial" w:cs="Arial"/>
          <w:b/>
          <w:sz w:val="24"/>
          <w:szCs w:val="24"/>
        </w:rPr>
        <w:t>**********</w:t>
      </w:r>
      <w:r w:rsidR="0086438E">
        <w:rPr>
          <w:rFonts w:ascii="Arial" w:eastAsia="Times New Roman" w:hAnsi="Arial" w:cs="Arial"/>
          <w:sz w:val="24"/>
          <w:szCs w:val="24"/>
          <w:lang w:val="es-ES_tradnl" w:eastAsia="es-ES"/>
        </w:rPr>
        <w:t>,</w:t>
      </w:r>
      <w:r>
        <w:rPr>
          <w:rFonts w:ascii="Arial" w:hAnsi="Arial" w:cs="Arial"/>
          <w:sz w:val="24"/>
          <w:szCs w:val="24"/>
        </w:rPr>
        <w:t xml:space="preserve"> de </w:t>
      </w:r>
      <w:r w:rsidR="0042314B">
        <w:rPr>
          <w:rFonts w:ascii="Arial" w:hAnsi="Arial" w:cs="Arial"/>
          <w:sz w:val="24"/>
          <w:szCs w:val="24"/>
        </w:rPr>
        <w:t xml:space="preserve">02 dos de junio </w:t>
      </w:r>
      <w:r>
        <w:rPr>
          <w:rFonts w:ascii="Arial" w:hAnsi="Arial" w:cs="Arial"/>
          <w:sz w:val="24"/>
          <w:szCs w:val="24"/>
        </w:rPr>
        <w:t>de 2017 dos mil diecisiete,</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42314B">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por </w:t>
      </w:r>
      <w:r w:rsidR="0042314B">
        <w:rPr>
          <w:rFonts w:ascii="Arial" w:hAnsi="Arial" w:cs="Arial"/>
          <w:color w:val="000000"/>
          <w:sz w:val="24"/>
          <w:szCs w:val="24"/>
        </w:rPr>
        <w:t>el actor</w:t>
      </w:r>
      <w:r w:rsidR="005F6707">
        <w:rPr>
          <w:rFonts w:ascii="Arial" w:hAnsi="Arial" w:cs="Arial"/>
          <w:color w:val="000000"/>
          <w:sz w:val="24"/>
          <w:szCs w:val="24"/>
        </w:rPr>
        <w:t>.</w:t>
      </w:r>
    </w:p>
    <w:p w:rsidR="005F6707" w:rsidRPr="002A5BA4" w:rsidRDefault="005F6707" w:rsidP="002166C7">
      <w:pPr>
        <w:spacing w:after="0" w:line="360" w:lineRule="auto"/>
        <w:ind w:right="51" w:firstLine="567"/>
        <w:jc w:val="both"/>
        <w:rPr>
          <w:rFonts w:ascii="Arial" w:hAnsi="Arial" w:cs="Arial"/>
          <w:sz w:val="24"/>
          <w:szCs w:val="24"/>
        </w:rPr>
      </w:pP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2166C7">
      <w:pPr>
        <w:autoSpaceDE w:val="0"/>
        <w:autoSpaceDN w:val="0"/>
        <w:adjustRightInd w:val="0"/>
        <w:spacing w:after="0"/>
        <w:ind w:left="709" w:right="709"/>
        <w:jc w:val="both"/>
        <w:rPr>
          <w:rFonts w:ascii="Arial" w:hAnsi="Arial" w:cs="Arial"/>
          <w:b/>
          <w:color w:val="000000"/>
        </w:rPr>
      </w:pPr>
    </w:p>
    <w:p w:rsidR="002166C7" w:rsidRDefault="002166C7" w:rsidP="002166C7">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42314B" w:rsidRPr="0040172F" w:rsidRDefault="0042314B" w:rsidP="0042314B">
      <w:pPr>
        <w:spacing w:line="360" w:lineRule="auto"/>
        <w:ind w:right="51" w:firstLine="567"/>
        <w:jc w:val="both"/>
        <w:rPr>
          <w:rFonts w:ascii="Arial" w:hAnsi="Arial" w:cs="Arial"/>
          <w:sz w:val="24"/>
          <w:szCs w:val="24"/>
        </w:rPr>
      </w:pPr>
      <w:r w:rsidRPr="00BB13FE">
        <w:rPr>
          <w:rFonts w:ascii="Arial" w:hAnsi="Arial" w:cs="Arial"/>
          <w:b/>
          <w:sz w:val="24"/>
          <w:szCs w:val="24"/>
        </w:rPr>
        <w:t>Sin que obste</w:t>
      </w:r>
      <w:r w:rsidRPr="0040172F">
        <w:rPr>
          <w:rFonts w:ascii="Arial" w:hAnsi="Arial" w:cs="Arial"/>
          <w:sz w:val="24"/>
          <w:szCs w:val="24"/>
        </w:rPr>
        <w:t xml:space="preserve"> lo señalado por la autoridad demandada</w:t>
      </w:r>
      <w:r>
        <w:rPr>
          <w:rFonts w:ascii="Arial" w:hAnsi="Arial" w:cs="Arial"/>
          <w:sz w:val="24"/>
          <w:szCs w:val="24"/>
        </w:rPr>
        <w:t xml:space="preserve"> Tesorero Municipal de Oaxaca de Juárez, Oaxaca</w:t>
      </w:r>
      <w:r w:rsidRPr="0040172F">
        <w:rPr>
          <w:rFonts w:ascii="Arial" w:hAnsi="Arial" w:cs="Arial"/>
          <w:sz w:val="24"/>
          <w:szCs w:val="24"/>
        </w:rPr>
        <w:t>, en el sentido</w:t>
      </w:r>
      <w:r>
        <w:rPr>
          <w:rFonts w:ascii="Arial" w:hAnsi="Arial" w:cs="Arial"/>
          <w:sz w:val="24"/>
          <w:szCs w:val="24"/>
        </w:rPr>
        <w:t xml:space="preserve"> de que:</w:t>
      </w:r>
      <w:r w:rsidRPr="0040172F">
        <w:rPr>
          <w:rFonts w:ascii="Arial" w:hAnsi="Arial" w:cs="Arial"/>
          <w:sz w:val="24"/>
          <w:szCs w:val="24"/>
        </w:rPr>
        <w:t xml:space="preserve"> </w:t>
      </w:r>
    </w:p>
    <w:p w:rsidR="0042314B" w:rsidRPr="0040172F" w:rsidRDefault="0042314B" w:rsidP="0042314B">
      <w:pPr>
        <w:spacing w:after="0" w:line="276" w:lineRule="auto"/>
        <w:ind w:right="51" w:firstLine="567"/>
        <w:jc w:val="both"/>
        <w:rPr>
          <w:rFonts w:ascii="Arial" w:hAnsi="Arial" w:cs="Arial"/>
          <w:i/>
        </w:rPr>
      </w:pPr>
      <w:r w:rsidRPr="0040172F">
        <w:rPr>
          <w:rFonts w:ascii="Arial" w:hAnsi="Arial" w:cs="Arial"/>
          <w:i/>
        </w:rPr>
        <w:t>“…</w:t>
      </w:r>
      <w:r>
        <w:rPr>
          <w:rFonts w:ascii="Arial" w:hAnsi="Arial" w:cs="Arial"/>
          <w:i/>
        </w:rPr>
        <w:t>por lo tanto no es procedente conceder la devolución de la cantidad que se pagó por concepto de multa, ya que el pago que realizó el actor ante el Módulo de Recaudación de Rentas de este Municipio, por concepto de pago de la infracción que cometió; lo realizó de manera voluntaria; por lo que se entiende que realizó todos los actos necesarios para extinguir la obligación administrativa, realizando la entrega del dinero del pago correspondiente a dicha multa; otorgando de ésta forma su consentimiento expreso, lo que se entiende en que consintió el acto de la infracción impuesta  al pagar voluntariamente  ante la oficina de Recaudación de Rentas, quedando extinguida dicha obligación y con ello dejó de producir sus efectos jurídicos el acta de infracción impugnada en el presente juicio; por lo tanto no es procedente conceder la devolución de la cantidad que pagó el actor por concepto de multa</w:t>
      </w:r>
      <w:r w:rsidRPr="0040172F">
        <w:rPr>
          <w:rFonts w:ascii="Arial" w:hAnsi="Arial" w:cs="Arial"/>
          <w:i/>
        </w:rPr>
        <w:t>…”</w:t>
      </w:r>
    </w:p>
    <w:p w:rsidR="0042314B" w:rsidRPr="0040172F" w:rsidRDefault="0042314B" w:rsidP="0042314B">
      <w:pPr>
        <w:spacing w:after="0" w:line="360" w:lineRule="auto"/>
        <w:ind w:right="51" w:firstLine="567"/>
        <w:jc w:val="both"/>
        <w:rPr>
          <w:rFonts w:ascii="Arial" w:hAnsi="Arial" w:cs="Arial"/>
          <w:sz w:val="24"/>
          <w:szCs w:val="24"/>
        </w:rPr>
      </w:pPr>
    </w:p>
    <w:p w:rsidR="0042314B" w:rsidRDefault="0042314B" w:rsidP="0042314B">
      <w:pPr>
        <w:spacing w:after="0" w:line="360" w:lineRule="auto"/>
        <w:ind w:right="51" w:firstLine="567"/>
        <w:jc w:val="both"/>
        <w:rPr>
          <w:rFonts w:ascii="Arial" w:hAnsi="Arial" w:cs="Arial"/>
          <w:sz w:val="24"/>
          <w:szCs w:val="24"/>
        </w:rPr>
      </w:pPr>
      <w:r>
        <w:rPr>
          <w:rFonts w:ascii="Arial" w:hAnsi="Arial" w:cs="Arial"/>
          <w:sz w:val="24"/>
          <w:szCs w:val="24"/>
        </w:rPr>
        <w:t>Esto es así, p</w:t>
      </w:r>
      <w:r w:rsidRPr="0040172F">
        <w:rPr>
          <w:rFonts w:ascii="Arial" w:hAnsi="Arial" w:cs="Arial"/>
          <w:sz w:val="24"/>
          <w:szCs w:val="24"/>
        </w:rPr>
        <w:t xml:space="preserve">orque </w:t>
      </w:r>
      <w:r w:rsidRPr="00834754">
        <w:rPr>
          <w:rFonts w:ascii="Arial" w:hAnsi="Arial" w:cs="Arial"/>
          <w:sz w:val="24"/>
          <w:szCs w:val="24"/>
        </w:rPr>
        <w:t xml:space="preserve">si </w:t>
      </w:r>
      <w:r w:rsidRPr="0040172F">
        <w:rPr>
          <w:rFonts w:ascii="Arial" w:hAnsi="Arial" w:cs="Arial"/>
          <w:sz w:val="24"/>
          <w:szCs w:val="24"/>
        </w:rPr>
        <w:t>el infractor de manera voluntaria realizo el pago, ello no quiere decir que existió consentimiento expreso</w:t>
      </w:r>
      <w:r>
        <w:rPr>
          <w:rFonts w:ascii="Arial" w:hAnsi="Arial" w:cs="Arial"/>
          <w:sz w:val="24"/>
          <w:szCs w:val="24"/>
        </w:rPr>
        <w:t>,</w:t>
      </w:r>
      <w:r w:rsidRPr="0040172F">
        <w:rPr>
          <w:rFonts w:ascii="Arial" w:hAnsi="Arial" w:cs="Arial"/>
          <w:sz w:val="24"/>
          <w:szCs w:val="24"/>
        </w:rPr>
        <w:t xml:space="preserve"> ya que de no hacerlo la multa sería considerada crédito fiscal la que podía ser exigida mediante el procedimiento administrativo de ejecución establecido en el Código Fiscal Municipal, en </w:t>
      </w:r>
      <w:r w:rsidRPr="0040172F">
        <w:rPr>
          <w:rFonts w:ascii="Arial" w:hAnsi="Arial" w:cs="Arial"/>
          <w:sz w:val="24"/>
          <w:szCs w:val="24"/>
        </w:rPr>
        <w:lastRenderedPageBreak/>
        <w:t xml:space="preserve">consecuencia sí resulta </w:t>
      </w:r>
      <w:r>
        <w:rPr>
          <w:rFonts w:ascii="Arial" w:hAnsi="Arial" w:cs="Arial"/>
          <w:sz w:val="24"/>
          <w:szCs w:val="24"/>
        </w:rPr>
        <w:t>ser autoridad demandada la Recaudadora de Rentas del Municipio</w:t>
      </w:r>
      <w:r w:rsidRPr="0040172F">
        <w:rPr>
          <w:rFonts w:ascii="Arial" w:hAnsi="Arial" w:cs="Arial"/>
          <w:sz w:val="24"/>
          <w:szCs w:val="24"/>
        </w:rPr>
        <w:t xml:space="preserve"> de Oaxaca de Juárez, al haber recibido el pago efectuado por el actor por la infracción impuesta en los términos del artículo 133 fracción II, de la Ley de Justicia Administrativa para el Estado.</w:t>
      </w:r>
    </w:p>
    <w:p w:rsidR="0042314B" w:rsidRDefault="0042314B" w:rsidP="0042314B">
      <w:pPr>
        <w:spacing w:after="0" w:line="360" w:lineRule="auto"/>
        <w:ind w:right="51" w:firstLine="567"/>
        <w:jc w:val="both"/>
        <w:rPr>
          <w:rFonts w:ascii="Arial" w:hAnsi="Arial" w:cs="Arial"/>
          <w:sz w:val="24"/>
          <w:szCs w:val="24"/>
        </w:rPr>
      </w:pPr>
    </w:p>
    <w:p w:rsidR="0042314B" w:rsidRDefault="0042314B" w:rsidP="0042314B">
      <w:pPr>
        <w:spacing w:after="0" w:line="360" w:lineRule="auto"/>
        <w:ind w:right="51" w:firstLine="567"/>
        <w:jc w:val="both"/>
        <w:rPr>
          <w:rFonts w:ascii="Arial" w:hAnsi="Arial" w:cs="Arial"/>
          <w:sz w:val="24"/>
          <w:szCs w:val="24"/>
        </w:rPr>
      </w:pPr>
      <w:r>
        <w:rPr>
          <w:rFonts w:ascii="Arial" w:hAnsi="Arial" w:cs="Arial"/>
          <w:sz w:val="24"/>
          <w:szCs w:val="24"/>
        </w:rPr>
        <w:t>Resulta</w:t>
      </w:r>
      <w:r w:rsidRPr="007E3FC0">
        <w:rPr>
          <w:rFonts w:ascii="Arial" w:hAnsi="Arial" w:cs="Arial"/>
          <w:sz w:val="24"/>
          <w:szCs w:val="24"/>
        </w:rPr>
        <w:t xml:space="preserve"> aplicable</w:t>
      </w:r>
      <w:r>
        <w:rPr>
          <w:rFonts w:ascii="Arial" w:hAnsi="Arial" w:cs="Arial"/>
          <w:sz w:val="24"/>
          <w:szCs w:val="24"/>
        </w:rPr>
        <w:t xml:space="preserve"> por identidad, la Jurisprudencia de la Novena</w:t>
      </w:r>
      <w:r w:rsidRPr="007E3FC0">
        <w:rPr>
          <w:rFonts w:ascii="Arial" w:hAnsi="Arial" w:cs="Arial"/>
          <w:sz w:val="24"/>
          <w:szCs w:val="24"/>
        </w:rPr>
        <w:t xml:space="preserve"> Época con número de registro 197667, </w:t>
      </w:r>
      <w:r>
        <w:rPr>
          <w:rFonts w:ascii="Arial" w:hAnsi="Arial" w:cs="Arial"/>
          <w:sz w:val="24"/>
          <w:szCs w:val="24"/>
        </w:rPr>
        <w:t>sustentada por el Pleno de la Suprema Corte de Justicia de la Nación</w:t>
      </w:r>
      <w:r w:rsidRPr="007E3FC0">
        <w:rPr>
          <w:rFonts w:ascii="Arial" w:hAnsi="Arial" w:cs="Arial"/>
          <w:sz w:val="24"/>
          <w:szCs w:val="24"/>
        </w:rPr>
        <w:t>, publicado en el Semanario Judicial de la Federación, Tomo VI, Septiembre de 1997</w:t>
      </w:r>
      <w:r>
        <w:rPr>
          <w:rFonts w:ascii="Arial" w:hAnsi="Arial" w:cs="Arial"/>
          <w:sz w:val="24"/>
          <w:szCs w:val="24"/>
        </w:rPr>
        <w:t>, página 92</w:t>
      </w:r>
      <w:r w:rsidRPr="007E3FC0">
        <w:rPr>
          <w:rFonts w:ascii="Arial" w:hAnsi="Arial" w:cs="Arial"/>
          <w:sz w:val="24"/>
          <w:szCs w:val="24"/>
        </w:rPr>
        <w:t>, de rubro y texto siguientes:</w:t>
      </w:r>
    </w:p>
    <w:p w:rsidR="0042314B" w:rsidRPr="0040172F" w:rsidRDefault="0042314B" w:rsidP="0042314B">
      <w:pPr>
        <w:spacing w:after="0" w:line="360" w:lineRule="auto"/>
        <w:ind w:right="51" w:firstLine="567"/>
        <w:jc w:val="both"/>
        <w:rPr>
          <w:rFonts w:ascii="Arial" w:hAnsi="Arial" w:cs="Arial"/>
          <w:sz w:val="24"/>
          <w:szCs w:val="24"/>
        </w:rPr>
      </w:pPr>
    </w:p>
    <w:p w:rsidR="0042314B" w:rsidRDefault="0042314B" w:rsidP="0042314B">
      <w:pPr>
        <w:spacing w:line="276" w:lineRule="auto"/>
        <w:ind w:left="567" w:right="283"/>
        <w:jc w:val="both"/>
        <w:rPr>
          <w:rFonts w:ascii="Arial" w:hAnsi="Arial" w:cs="Arial"/>
          <w:i/>
          <w:szCs w:val="24"/>
        </w:rPr>
      </w:pPr>
      <w:r>
        <w:rPr>
          <w:rFonts w:ascii="Arial" w:hAnsi="Arial" w:cs="Arial"/>
          <w:b/>
          <w:i/>
          <w:szCs w:val="24"/>
        </w:rPr>
        <w:t>“</w:t>
      </w:r>
      <w:r w:rsidRPr="007E3FC0">
        <w:rPr>
          <w:rFonts w:ascii="Arial" w:hAnsi="Arial" w:cs="Arial"/>
          <w:b/>
          <w:i/>
          <w:szCs w:val="24"/>
        </w:rPr>
        <w:t>LEYES, AMPARO CONTRA. EL PAGO LISO Y LLANO DE UNA CONTRIBUCIÓN NO IMPLICA EL CONSENTIMIENTO EXPRESO DE LA LEY QUE LA ESTABLECE.</w:t>
      </w:r>
      <w:r w:rsidRPr="007E3FC0">
        <w:rPr>
          <w:rFonts w:ascii="Arial" w:hAnsi="Arial" w:cs="Arial"/>
          <w:i/>
          <w:szCs w:val="24"/>
        </w:rPr>
        <w:t xml:space="preserve"> Si el quejoso presenta la demanda de amparo en contra de una ley tributaria dentro del plazo legal, computado a partir de que realizó el pago de la contribución en forma lisa y llana, ello no constituye la manifestación de voluntad que entrañe el consentimiento de la ley que la establece ya que, dada la naturaleza de las normas fiscales, su cumplimiento por parte de los contribuyentes se impone como imperativo y conlleva la advertencia cierta de una coacción, por lo que la promoción del juicio de amparo correspondiente, refleja la inconformidad del peticionario de garantías con el contenido de la ley impugnada.</w:t>
      </w:r>
      <w:r>
        <w:rPr>
          <w:rFonts w:ascii="Arial" w:hAnsi="Arial" w:cs="Arial"/>
          <w:i/>
          <w:szCs w:val="24"/>
        </w:rPr>
        <w:t>”</w:t>
      </w:r>
    </w:p>
    <w:p w:rsidR="002166C7" w:rsidRPr="006D06C0" w:rsidRDefault="002166C7" w:rsidP="003F71BA">
      <w:pPr>
        <w:autoSpaceDE w:val="0"/>
        <w:autoSpaceDN w:val="0"/>
        <w:adjustRightInd w:val="0"/>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con fundamento en los artículos 177</w:t>
      </w:r>
      <w:r>
        <w:rPr>
          <w:rFonts w:ascii="Arial" w:hAnsi="Arial" w:cs="Arial"/>
          <w:sz w:val="24"/>
          <w:szCs w:val="24"/>
        </w:rPr>
        <w:t xml:space="preserve"> fracciones I, II y III,</w:t>
      </w:r>
      <w:r w:rsidRPr="00284E07">
        <w:rPr>
          <w:rFonts w:ascii="Arial" w:hAnsi="Arial" w:cs="Arial"/>
          <w:sz w:val="24"/>
          <w:szCs w:val="24"/>
        </w:rPr>
        <w:t xml:space="preserve"> 178 fracción VI y 179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w:t>
      </w:r>
      <w:r w:rsidRPr="00284E07">
        <w:rPr>
          <w:rFonts w:ascii="Arial" w:hAnsi="Arial" w:cs="Arial"/>
          <w:sz w:val="24"/>
          <w:szCs w:val="24"/>
        </w:rPr>
        <w:t>para el Estado de Oaxaca, se</w:t>
      </w:r>
      <w:r>
        <w:rPr>
          <w:rFonts w:ascii="Arial" w:hAnsi="Arial" w:cs="Arial"/>
          <w:sz w:val="24"/>
          <w:szCs w:val="24"/>
        </w:rPr>
        <w:t xml:space="preserve">;- - - - - - - - - - - - - - - - - - - - - - - - - - - - - - - - - - - - - - - - - - - - - - - - - - - - - -  </w:t>
      </w:r>
    </w:p>
    <w:p w:rsidR="002166C7" w:rsidRPr="00DF56E3" w:rsidRDefault="002166C7" w:rsidP="002166C7">
      <w:pPr>
        <w:spacing w:after="0" w:line="360" w:lineRule="auto"/>
        <w:ind w:right="51" w:firstLine="567"/>
        <w:jc w:val="both"/>
        <w:rPr>
          <w:rFonts w:ascii="Arial" w:eastAsia="Times New Roman" w:hAnsi="Arial" w:cs="Arial"/>
          <w:b/>
          <w:sz w:val="24"/>
          <w:szCs w:val="24"/>
          <w:lang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3F71BA">
        <w:rPr>
          <w:rFonts w:ascii="Arial" w:hAnsi="Arial" w:cs="Arial"/>
          <w:color w:val="000000"/>
          <w:sz w:val="24"/>
          <w:szCs w:val="24"/>
        </w:rPr>
        <w:t>al con número estadístico PV-02</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71BA">
        <w:rPr>
          <w:rFonts w:ascii="Arial" w:hAnsi="Arial" w:cs="Arial"/>
          <w:sz w:val="24"/>
          <w:szCs w:val="24"/>
        </w:rPr>
        <w:t xml:space="preserve">a de infracción con folio </w:t>
      </w:r>
      <w:r w:rsidR="00BD5EC5">
        <w:rPr>
          <w:rFonts w:ascii="Arial" w:hAnsi="Arial" w:cs="Arial"/>
          <w:b/>
          <w:sz w:val="24"/>
          <w:szCs w:val="24"/>
        </w:rPr>
        <w:t>**********</w:t>
      </w:r>
      <w:r w:rsidR="00BD5EC5">
        <w:rPr>
          <w:rFonts w:ascii="Arial" w:eastAsia="Times New Roman" w:hAnsi="Arial" w:cs="Arial"/>
          <w:sz w:val="24"/>
          <w:szCs w:val="24"/>
          <w:lang w:val="es-ES_tradnl" w:eastAsia="es-ES"/>
        </w:rPr>
        <w:t>,</w:t>
      </w:r>
      <w:r>
        <w:rPr>
          <w:rFonts w:ascii="Arial" w:hAnsi="Arial" w:cs="Arial"/>
          <w:sz w:val="24"/>
          <w:szCs w:val="24"/>
        </w:rPr>
        <w:t xml:space="preserve"> de </w:t>
      </w:r>
      <w:r w:rsidR="003F71BA">
        <w:rPr>
          <w:rFonts w:ascii="Arial" w:hAnsi="Arial" w:cs="Arial"/>
          <w:sz w:val="24"/>
          <w:szCs w:val="24"/>
        </w:rPr>
        <w:t xml:space="preserve">29 veintinueve de mayo </w:t>
      </w:r>
      <w:r>
        <w:rPr>
          <w:rFonts w:ascii="Arial" w:hAnsi="Arial" w:cs="Arial"/>
          <w:sz w:val="24"/>
          <w:szCs w:val="24"/>
        </w:rPr>
        <w:t xml:space="preserve">de 2017 dos mil diecisiete,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3F71BA">
        <w:rPr>
          <w:rFonts w:ascii="Arial" w:hAnsi="Arial" w:cs="Arial"/>
          <w:b/>
          <w:color w:val="000000"/>
          <w:sz w:val="24"/>
          <w:szCs w:val="24"/>
          <w:lang w:val="es-ES"/>
        </w:rPr>
        <w:t>02</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 - - - - - - - - - - - - - - - </w:t>
      </w:r>
    </w:p>
    <w:p w:rsidR="002166C7" w:rsidRPr="006249C8" w:rsidRDefault="002166C7" w:rsidP="002166C7">
      <w:pPr>
        <w:spacing w:after="0" w:line="360" w:lineRule="auto"/>
        <w:ind w:right="51" w:firstLine="567"/>
        <w:jc w:val="both"/>
        <w:rPr>
          <w:rFonts w:ascii="Arial" w:hAnsi="Arial" w:cs="Arial"/>
          <w:sz w:val="24"/>
          <w:szCs w:val="24"/>
        </w:rPr>
      </w:pPr>
    </w:p>
    <w:p w:rsidR="00621553" w:rsidRDefault="002166C7" w:rsidP="00EE4360">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3F71BA">
        <w:rPr>
          <w:rFonts w:ascii="Arial" w:hAnsi="Arial" w:cs="Arial"/>
          <w:sz w:val="24"/>
          <w:szCs w:val="24"/>
        </w:rPr>
        <w:t xml:space="preserve">l </w:t>
      </w:r>
      <w:r w:rsidR="003F71BA">
        <w:rPr>
          <w:rFonts w:ascii="Arial" w:hAnsi="Arial" w:cs="Arial"/>
          <w:b/>
          <w:sz w:val="24"/>
          <w:szCs w:val="24"/>
        </w:rPr>
        <w:t>Recaudador</w:t>
      </w:r>
      <w:r>
        <w:rPr>
          <w:rFonts w:ascii="Arial" w:hAnsi="Arial" w:cs="Arial"/>
          <w:b/>
          <w:sz w:val="24"/>
          <w:szCs w:val="24"/>
        </w:rPr>
        <w:t xml:space="preserve"> de Rentas de la Coordinación de Finanzas y Administración Municipal de Oaxaca de Juárez, </w:t>
      </w:r>
      <w:r>
        <w:rPr>
          <w:rFonts w:ascii="Arial" w:hAnsi="Arial" w:cs="Arial"/>
          <w:b/>
          <w:sz w:val="24"/>
          <w:szCs w:val="24"/>
        </w:rPr>
        <w:lastRenderedPageBreak/>
        <w:t>Oaxaca</w:t>
      </w:r>
      <w:r>
        <w:rPr>
          <w:rFonts w:ascii="Arial" w:hAnsi="Arial" w:cs="Arial"/>
          <w:sz w:val="24"/>
          <w:szCs w:val="24"/>
        </w:rPr>
        <w:t xml:space="preserve">, haga la devolución a </w:t>
      </w:r>
      <w:r w:rsidR="0086438E">
        <w:rPr>
          <w:rFonts w:ascii="Arial" w:hAnsi="Arial" w:cs="Arial"/>
          <w:b/>
          <w:sz w:val="24"/>
          <w:szCs w:val="24"/>
        </w:rPr>
        <w:t>**********</w:t>
      </w:r>
      <w:r>
        <w:rPr>
          <w:rFonts w:ascii="Arial" w:hAnsi="Arial" w:cs="Arial"/>
          <w:sz w:val="24"/>
          <w:szCs w:val="24"/>
        </w:rPr>
        <w:t>, de la cantidad pagada por concepto de multa consignada en el recibo oficial</w:t>
      </w:r>
      <w:r w:rsidR="003F71BA">
        <w:rPr>
          <w:rFonts w:ascii="Arial" w:hAnsi="Arial" w:cs="Arial"/>
          <w:sz w:val="24"/>
          <w:szCs w:val="24"/>
        </w:rPr>
        <w:t xml:space="preserve"> de pago </w:t>
      </w:r>
      <w:r w:rsidR="0086438E">
        <w:rPr>
          <w:rFonts w:ascii="Arial" w:hAnsi="Arial" w:cs="Arial"/>
          <w:b/>
          <w:sz w:val="24"/>
          <w:szCs w:val="24"/>
        </w:rPr>
        <w:t>**********</w:t>
      </w:r>
      <w:r w:rsidR="0086438E">
        <w:rPr>
          <w:rFonts w:ascii="Arial" w:eastAsia="Times New Roman" w:hAnsi="Arial" w:cs="Arial"/>
          <w:sz w:val="24"/>
          <w:szCs w:val="24"/>
          <w:lang w:val="es-ES_tradnl" w:eastAsia="es-ES"/>
        </w:rPr>
        <w:t>,</w:t>
      </w:r>
      <w:r>
        <w:rPr>
          <w:rFonts w:ascii="Arial" w:hAnsi="Arial" w:cs="Arial"/>
          <w:sz w:val="24"/>
          <w:szCs w:val="24"/>
        </w:rPr>
        <w:t xml:space="preserve"> de </w:t>
      </w:r>
      <w:r w:rsidR="003F71BA">
        <w:rPr>
          <w:rFonts w:ascii="Arial" w:hAnsi="Arial" w:cs="Arial"/>
          <w:sz w:val="24"/>
          <w:szCs w:val="24"/>
        </w:rPr>
        <w:t xml:space="preserve">02 dos de junio </w:t>
      </w:r>
      <w:r>
        <w:rPr>
          <w:rFonts w:ascii="Arial" w:hAnsi="Arial" w:cs="Arial"/>
          <w:sz w:val="24"/>
          <w:szCs w:val="24"/>
        </w:rPr>
        <w:t xml:space="preserve">de 2017 dos mil diecisiete, como quedo precisado en el considerando quinto de esta sentencia. - - - - - </w:t>
      </w:r>
    </w:p>
    <w:p w:rsidR="002166C7" w:rsidRPr="00B72C86" w:rsidRDefault="002166C7" w:rsidP="002166C7">
      <w:pPr>
        <w:pStyle w:val="Sinespaciado"/>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 NOTIFÍQUESE PERSONALMENTE A LA ACTORA Y POR OFICIO A LAS AUTORIDADES DEMAN</w:t>
      </w:r>
      <w:bookmarkStart w:id="0" w:name="_GoBack"/>
      <w:bookmarkEnd w:id="0"/>
      <w:r>
        <w:rPr>
          <w:rFonts w:ascii="Arial" w:eastAsia="Arial Unicode MS" w:hAnsi="Arial" w:cs="Arial"/>
          <w:b/>
          <w:kern w:val="2"/>
          <w:sz w:val="24"/>
          <w:szCs w:val="24"/>
          <w:lang w:eastAsia="ar-SA"/>
        </w:rPr>
        <w:t xml:space="preserve">DADAS, </w:t>
      </w:r>
      <w:r>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w:t>
      </w: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p>
    <w:sectPr w:rsidR="0019663A" w:rsidSect="005A0DDA">
      <w:headerReference w:type="even" r:id="rId8"/>
      <w:headerReference w:type="default"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3D0" w:rsidRDefault="00EE03D0" w:rsidP="00CD11C4">
      <w:pPr>
        <w:spacing w:after="0" w:line="240" w:lineRule="auto"/>
      </w:pPr>
      <w:r>
        <w:separator/>
      </w:r>
    </w:p>
  </w:endnote>
  <w:endnote w:type="continuationSeparator" w:id="0">
    <w:p w:rsidR="00EE03D0" w:rsidRDefault="00EE03D0"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3D0" w:rsidRDefault="00EE03D0" w:rsidP="00CD11C4">
      <w:pPr>
        <w:spacing w:after="0" w:line="240" w:lineRule="auto"/>
      </w:pPr>
      <w:r>
        <w:separator/>
      </w:r>
    </w:p>
  </w:footnote>
  <w:footnote w:type="continuationSeparator" w:id="0">
    <w:p w:rsidR="00EE03D0" w:rsidRDefault="00EE03D0"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DA" w:rsidRDefault="005A0DDA">
    <w:pPr>
      <w:pStyle w:val="Encabezado"/>
    </w:pPr>
    <w:r>
      <w:rPr>
        <w:noProof/>
        <w:lang w:eastAsia="es-MX"/>
      </w:rPr>
      <mc:AlternateContent>
        <mc:Choice Requires="wps">
          <w:drawing>
            <wp:anchor distT="45720" distB="45720" distL="114300" distR="114300" simplePos="0" relativeHeight="251658752" behindDoc="0" locked="0" layoutInCell="1" allowOverlap="1" wp14:anchorId="517FCD7A" wp14:editId="2EFAA820">
              <wp:simplePos x="0" y="0"/>
              <wp:positionH relativeFrom="column">
                <wp:posOffset>6018028</wp:posOffset>
              </wp:positionH>
              <wp:positionV relativeFrom="paragraph">
                <wp:posOffset>1958946</wp:posOffset>
              </wp:positionV>
              <wp:extent cx="824230" cy="1640840"/>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5A0DDA" w:rsidRPr="008824D9" w:rsidRDefault="005A0DDA" w:rsidP="005A0DDA">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FCD7A" id="_x0000_t202" coordsize="21600,21600" o:spt="202" path="m,l,21600r21600,l21600,xe">
              <v:stroke joinstyle="miter"/>
              <v:path gradientshapeok="t" o:connecttype="rect"/>
            </v:shapetype>
            <v:shape id="Cuadro de texto 2" o:spid="_x0000_s1026" type="#_x0000_t202" style="position:absolute;margin-left:473.85pt;margin-top:154.25pt;width:64.9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HCKQIAAEsEAAAOAAAAZHJzL2Uyb0RvYy54bWysVNuO0zAQfUfiHyy/06ShXbpR09XSpQhp&#10;uUgLHzC1ncbC8QTbbbJ8/Y6dbomAJ0QeLE9mfHLmnHHWN0Nr2Ek5r9FWfD7LOVNWoNT2UPFvX3ev&#10;Vpz5AFaCQasq/qg8v9m8fLHuu1IV2KCRyjECsb7su4o3IXRllnnRqBb8DDtlKVmjayFQ6A6ZdNAT&#10;emuyIs+vsh6d7BwK5T29vRuTfJPw61qJ8LmuvQrMVJy4hbS6tO7jmm3WUB4cdI0WZxrwDyxa0JY+&#10;eoG6gwDs6PQfUK0WDj3WYSawzbCutVCpB+pmnv/WzUMDnUq9kDi+u8jk/x+s+HT64piW5B1nFlqy&#10;aHsE6ZBJxYIaArIiitR3vqTah46qw/AWh3ggNuy7exTfPbO4bcAe1K1z2DcKJJGcx5PZ5OiI4yPI&#10;vv+Ikr4Gx4AJaKhdGwFJE0boZNbjxSDiwQS9XBWL4jVlBKXmV4t8tUgOZlA+n+6cD+8VtixuKu5o&#10;ABI6nO59iGygfC5J7NFoudPGpMAd9lvj2AloWHbpSQ1Qk9MyY1lf8etlsRwFmOb8FCJPz98gWh1o&#10;6o1uqaVLEZRRtndWppkMoM24J8rGnnWM0o0ihmE/nH3Zo3wkRR2O0023kTYNup+c9TTZFfc/juAU&#10;Z+aDJVeu5wuSjYUULJZvCgrcNLOfZsAKgqp44GzcbkO6PlEwi7fkXq2TsNHmkcmZK01s0vt8u+KV&#10;mMap6tc/YPMEAAD//wMAUEsDBBQABgAIAAAAIQC5r1pF4gAAAAwBAAAPAAAAZHJzL2Rvd25yZXYu&#10;eG1sTI/LTsMwEEX3SPyDNUhsUGtD2zgJmVQICUR30CLYurGbRPgRbDcNf4+7gt2M5ujOudV6MpqM&#10;yofeWYTbOQOibONkb1uE993TLAcSorBSaGcVwo8KsK4vLypRSneyb2rcxpakEBtKgdDFOJSUhqZT&#10;RoS5G5RNt4PzRsS0+pZKL04p3Gh6x1hGjeht+tCJQT12qvnaHg1CvnwZP8Nm8frRZAddxBs+Pn97&#10;xOur6eEeSFRT/IPhrJ/UoU5Oe3e0MhCNUCw5TyjCguUrIGeCcZ6mPcIqywqgdUX/l6h/AQAA//8D&#10;AFBLAQItABQABgAIAAAAIQC2gziS/gAAAOEBAAATAAAAAAAAAAAAAAAAAAAAAABbQ29udGVudF9U&#10;eXBlc10ueG1sUEsBAi0AFAAGAAgAAAAhADj9If/WAAAAlAEAAAsAAAAAAAAAAAAAAAAALwEAAF9y&#10;ZWxzLy5yZWxzUEsBAi0AFAAGAAgAAAAhADqbscIpAgAASwQAAA4AAAAAAAAAAAAAAAAALgIAAGRy&#10;cy9lMm9Eb2MueG1sUEsBAi0AFAAGAAgAAAAhALmvWkXiAAAADAEAAA8AAAAAAAAAAAAAAAAAgwQA&#10;AGRycy9kb3ducmV2LnhtbFBLBQYAAAAABAAEAPMAAACSBQAAAAA=&#10;">
              <v:textbox>
                <w:txbxContent>
                  <w:p w:rsidR="005A0DDA" w:rsidRPr="008824D9" w:rsidRDefault="005A0DDA" w:rsidP="005A0DDA">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0DDA" w:rsidP="0086438E">
        <w:pPr>
          <w:pStyle w:val="Encabezado"/>
          <w:tabs>
            <w:tab w:val="left" w:pos="1598"/>
            <w:tab w:val="center" w:pos="4607"/>
          </w:tabs>
          <w:jc w:val="center"/>
        </w:pPr>
        <w:r>
          <w:rPr>
            <w:noProof/>
            <w:lang w:eastAsia="es-MX"/>
          </w:rPr>
          <mc:AlternateContent>
            <mc:Choice Requires="wps">
              <w:drawing>
                <wp:anchor distT="45720" distB="45720" distL="114300" distR="114300" simplePos="0" relativeHeight="251657728" behindDoc="0" locked="0" layoutInCell="1" allowOverlap="1" wp14:anchorId="432B8A86" wp14:editId="786E0DF8">
                  <wp:simplePos x="0" y="0"/>
                  <wp:positionH relativeFrom="column">
                    <wp:posOffset>-993258</wp:posOffset>
                  </wp:positionH>
                  <wp:positionV relativeFrom="paragraph">
                    <wp:posOffset>1501745</wp:posOffset>
                  </wp:positionV>
                  <wp:extent cx="824230" cy="1640840"/>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5A0DDA" w:rsidRPr="008824D9" w:rsidRDefault="005A0DDA" w:rsidP="005A0DDA">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B8A86" id="_x0000_t202" coordsize="21600,21600" o:spt="202" path="m,l,21600r21600,l21600,xe">
                  <v:stroke joinstyle="miter"/>
                  <v:path gradientshapeok="t" o:connecttype="rect"/>
                </v:shapetype>
                <v:shape id="_x0000_s1027" type="#_x0000_t202" style="position:absolute;left:0;text-align:left;margin-left:-78.2pt;margin-top:118.25pt;width:64.9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noKgIAAFIEAAAOAAAAZHJzL2Uyb0RvYy54bWysVNtu2zAMfR+wfxD0vthxky414hRdugwD&#10;ugvQ7QMYSY6FyaInKbG7ry8lp2nQbS/D/CCIInV0eEh6eT20hh2U8xptxaeTnDNlBUptdxX//m3z&#10;ZsGZD2AlGLSq4g/K8+vV61fLvitVgQ0aqRwjEOvLvqt4E0JXZpkXjWrBT7BTlpw1uhYCmW6XSQc9&#10;obcmK/L8MuvRyc6hUN7T6e3o5KuEX9dKhC917VVgpuLELaTVpXUb12y1hHLnoGu0ONKAf2DRgrb0&#10;6AnqFgKwvdO/QbVaOPRYh4nANsO61kKlHCibaf4im/sGOpVyIXF8d5LJ/z9Y8fnw1TEtK37BmYWW&#10;SrTeg3TIpGJBDQFZEUXqO19S7H1H0WF4hwMVOyXsuzsUPzyzuG7A7tSNc9g3CiSRnMab2dnVEcdH&#10;kG3/CSW9BvuACWioXRsVJE0YoVOxHk4FIh5M0OGimBUX5BHkml7O8sUsVTCD8ul253z4oLBlcVNx&#10;Rw2Q0OFw50NkA+VTSHzMo9Fyo41Jhttt18axA1CzbNKXEngRZizrK341L+ajAH+FyNP3J4hWB+p6&#10;o1tK6RQEZZTtvZWpJwNoM+6JsrFHHaN0o4hh2A6pbknkqPEW5QMJ63BschpK2jTofnHWU4NX3P/c&#10;g1OcmY+WinM1nZF6LCRjNn9bkOHOPdtzD1hBUBUPnI3bdUhTFHWzeENFrHXS95nJkTI1bpL9OGRx&#10;Ms7tFPX8K1g9AgAA//8DAFBLAwQUAAYACAAAACEA62M44uIAAAAMAQAADwAAAGRycy9kb3ducmV2&#10;LnhtbEyPwU7DMBBE70j8g7VIXFDqNE1NE+JUCAkENygIrm68TSLidbDdNPw95gTH1TzNvK22sxnY&#10;hM73liQsFykwpMbqnloJb6/3yQaYD4q0GiyhhG/0sK3PzypVanuiF5x2oWWxhHypJHQhjCXnvunQ&#10;KL+wI1LMDtYZFeLpWq6dOsVyM/AsTQU3qqe40KkR7zpsPndHI2GTP04f/mn1/N6Iw1CEq+vp4ctJ&#10;eXkx394ACziHPxh+9aM61NFpb4+kPRskJMu1yCMrIVuJNbCIJJkQwPYS8iIvgNcV//9E/QMAAP//&#10;AwBQSwECLQAUAAYACAAAACEAtoM4kv4AAADhAQAAEwAAAAAAAAAAAAAAAAAAAAAAW0NvbnRlbnRf&#10;VHlwZXNdLnhtbFBLAQItABQABgAIAAAAIQA4/SH/1gAAAJQBAAALAAAAAAAAAAAAAAAAAC8BAABf&#10;cmVscy8ucmVsc1BLAQItABQABgAIAAAAIQC2qYnoKgIAAFIEAAAOAAAAAAAAAAAAAAAAAC4CAABk&#10;cnMvZTJvRG9jLnhtbFBLAQItABQABgAIAAAAIQDrYzji4gAAAAwBAAAPAAAAAAAAAAAAAAAAAIQE&#10;AABkcnMvZG93bnJldi54bWxQSwUGAAAAAAQABADzAAAAkwUAAAAA&#10;">
                  <v:textbox>
                    <w:txbxContent>
                      <w:p w:rsidR="005A0DDA" w:rsidRPr="008824D9" w:rsidRDefault="005A0DDA" w:rsidP="005A0DDA">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5A129F">
          <w:fldChar w:fldCharType="begin"/>
        </w:r>
        <w:r w:rsidR="005A129F">
          <w:instrText>PAGE   \* MERGEFORMAT</w:instrText>
        </w:r>
        <w:r w:rsidR="005A129F">
          <w:fldChar w:fldCharType="separate"/>
        </w:r>
        <w:r w:rsidR="00026FC5" w:rsidRPr="00026FC5">
          <w:rPr>
            <w:noProof/>
            <w:lang w:val="es-ES"/>
          </w:rPr>
          <w:t>9</w:t>
        </w:r>
        <w:r w:rsidR="005A129F">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3D53"/>
    <w:rsid w:val="0000537C"/>
    <w:rsid w:val="00012A49"/>
    <w:rsid w:val="000149D8"/>
    <w:rsid w:val="00017076"/>
    <w:rsid w:val="00021444"/>
    <w:rsid w:val="00026FC5"/>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31A2"/>
    <w:rsid w:val="000A72D3"/>
    <w:rsid w:val="000A76EB"/>
    <w:rsid w:val="000B20F5"/>
    <w:rsid w:val="000B2582"/>
    <w:rsid w:val="000B2D29"/>
    <w:rsid w:val="000B30FB"/>
    <w:rsid w:val="000B3C06"/>
    <w:rsid w:val="000B4899"/>
    <w:rsid w:val="000B4D9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4249"/>
    <w:rsid w:val="00115A0F"/>
    <w:rsid w:val="001212FC"/>
    <w:rsid w:val="00123364"/>
    <w:rsid w:val="001258E1"/>
    <w:rsid w:val="001326DD"/>
    <w:rsid w:val="00132903"/>
    <w:rsid w:val="00132ACE"/>
    <w:rsid w:val="0013335B"/>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66BAA"/>
    <w:rsid w:val="0017174E"/>
    <w:rsid w:val="001722B4"/>
    <w:rsid w:val="00173E68"/>
    <w:rsid w:val="00174C6C"/>
    <w:rsid w:val="00175998"/>
    <w:rsid w:val="00180863"/>
    <w:rsid w:val="00187F06"/>
    <w:rsid w:val="00191842"/>
    <w:rsid w:val="001922F1"/>
    <w:rsid w:val="00193E03"/>
    <w:rsid w:val="00194CC3"/>
    <w:rsid w:val="0019663A"/>
    <w:rsid w:val="00196879"/>
    <w:rsid w:val="00197E1B"/>
    <w:rsid w:val="001A231D"/>
    <w:rsid w:val="001A2545"/>
    <w:rsid w:val="001A2C51"/>
    <w:rsid w:val="001A48E0"/>
    <w:rsid w:val="001A684C"/>
    <w:rsid w:val="001B2811"/>
    <w:rsid w:val="001B7749"/>
    <w:rsid w:val="001C0EC5"/>
    <w:rsid w:val="001C1290"/>
    <w:rsid w:val="001C186C"/>
    <w:rsid w:val="001C49CB"/>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A01AD"/>
    <w:rsid w:val="002A15FB"/>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A2"/>
    <w:rsid w:val="003260AF"/>
    <w:rsid w:val="00326821"/>
    <w:rsid w:val="00330A98"/>
    <w:rsid w:val="00331A79"/>
    <w:rsid w:val="00334228"/>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5675"/>
    <w:rsid w:val="00370EA6"/>
    <w:rsid w:val="00375692"/>
    <w:rsid w:val="00376CE5"/>
    <w:rsid w:val="00381570"/>
    <w:rsid w:val="00383B9C"/>
    <w:rsid w:val="0038434F"/>
    <w:rsid w:val="00385E1A"/>
    <w:rsid w:val="00387611"/>
    <w:rsid w:val="00387FF7"/>
    <w:rsid w:val="00391E13"/>
    <w:rsid w:val="003940B7"/>
    <w:rsid w:val="00395F26"/>
    <w:rsid w:val="003967D1"/>
    <w:rsid w:val="003A08CE"/>
    <w:rsid w:val="003A1537"/>
    <w:rsid w:val="003A1710"/>
    <w:rsid w:val="003A36D7"/>
    <w:rsid w:val="003A78A9"/>
    <w:rsid w:val="003B518C"/>
    <w:rsid w:val="003B5CB1"/>
    <w:rsid w:val="003B5CC1"/>
    <w:rsid w:val="003B73E9"/>
    <w:rsid w:val="003C1F86"/>
    <w:rsid w:val="003C30E8"/>
    <w:rsid w:val="003C3DFB"/>
    <w:rsid w:val="003C590A"/>
    <w:rsid w:val="003C5BB5"/>
    <w:rsid w:val="003C6D97"/>
    <w:rsid w:val="003D0465"/>
    <w:rsid w:val="003D26BA"/>
    <w:rsid w:val="003D5A51"/>
    <w:rsid w:val="003D5B57"/>
    <w:rsid w:val="003D7E92"/>
    <w:rsid w:val="003E0792"/>
    <w:rsid w:val="003E0EFE"/>
    <w:rsid w:val="003E1F5B"/>
    <w:rsid w:val="003E5618"/>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8D6"/>
    <w:rsid w:val="00415C60"/>
    <w:rsid w:val="00416E2D"/>
    <w:rsid w:val="0042314B"/>
    <w:rsid w:val="0042349B"/>
    <w:rsid w:val="004252F1"/>
    <w:rsid w:val="0042592C"/>
    <w:rsid w:val="00425DD9"/>
    <w:rsid w:val="00425E2B"/>
    <w:rsid w:val="004262FD"/>
    <w:rsid w:val="004302E0"/>
    <w:rsid w:val="00431B62"/>
    <w:rsid w:val="00436D3D"/>
    <w:rsid w:val="00442BF7"/>
    <w:rsid w:val="00447FB4"/>
    <w:rsid w:val="00450340"/>
    <w:rsid w:val="00450D68"/>
    <w:rsid w:val="00455BFF"/>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D0A"/>
    <w:rsid w:val="004E37A8"/>
    <w:rsid w:val="004E3CD5"/>
    <w:rsid w:val="004E5083"/>
    <w:rsid w:val="004E5260"/>
    <w:rsid w:val="004E623D"/>
    <w:rsid w:val="004E6714"/>
    <w:rsid w:val="004E72C0"/>
    <w:rsid w:val="004E7BA9"/>
    <w:rsid w:val="004F6854"/>
    <w:rsid w:val="004F7758"/>
    <w:rsid w:val="00504337"/>
    <w:rsid w:val="005054F0"/>
    <w:rsid w:val="0050729F"/>
    <w:rsid w:val="00510B66"/>
    <w:rsid w:val="00512392"/>
    <w:rsid w:val="0051540D"/>
    <w:rsid w:val="00515F49"/>
    <w:rsid w:val="00517BB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0DDA"/>
    <w:rsid w:val="005A129F"/>
    <w:rsid w:val="005A361C"/>
    <w:rsid w:val="005A3A97"/>
    <w:rsid w:val="005A4EF9"/>
    <w:rsid w:val="005A6F49"/>
    <w:rsid w:val="005A770C"/>
    <w:rsid w:val="005B251F"/>
    <w:rsid w:val="005C21B9"/>
    <w:rsid w:val="005C220C"/>
    <w:rsid w:val="005D0025"/>
    <w:rsid w:val="005D1DCA"/>
    <w:rsid w:val="005D2E4A"/>
    <w:rsid w:val="005D4B5C"/>
    <w:rsid w:val="005D4B9C"/>
    <w:rsid w:val="005D643B"/>
    <w:rsid w:val="005D73C2"/>
    <w:rsid w:val="005E1DB2"/>
    <w:rsid w:val="005E3A47"/>
    <w:rsid w:val="005E3EF7"/>
    <w:rsid w:val="005E59C5"/>
    <w:rsid w:val="005E5D43"/>
    <w:rsid w:val="005E6127"/>
    <w:rsid w:val="005F61A0"/>
    <w:rsid w:val="005F6707"/>
    <w:rsid w:val="005F71DB"/>
    <w:rsid w:val="005F721B"/>
    <w:rsid w:val="005F7867"/>
    <w:rsid w:val="005F7B88"/>
    <w:rsid w:val="00600524"/>
    <w:rsid w:val="006054D8"/>
    <w:rsid w:val="00610CC7"/>
    <w:rsid w:val="006117B2"/>
    <w:rsid w:val="00611E18"/>
    <w:rsid w:val="00614E03"/>
    <w:rsid w:val="0061521A"/>
    <w:rsid w:val="00616A1A"/>
    <w:rsid w:val="00617EC8"/>
    <w:rsid w:val="00621117"/>
    <w:rsid w:val="006214C3"/>
    <w:rsid w:val="00621553"/>
    <w:rsid w:val="00621E4E"/>
    <w:rsid w:val="00622BF8"/>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4707"/>
    <w:rsid w:val="006563C5"/>
    <w:rsid w:val="00656618"/>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7B6E"/>
    <w:rsid w:val="00731D0C"/>
    <w:rsid w:val="00735127"/>
    <w:rsid w:val="00740A98"/>
    <w:rsid w:val="00742F7C"/>
    <w:rsid w:val="00743983"/>
    <w:rsid w:val="00745B18"/>
    <w:rsid w:val="007462C2"/>
    <w:rsid w:val="007520C8"/>
    <w:rsid w:val="007521C6"/>
    <w:rsid w:val="00752B98"/>
    <w:rsid w:val="00754564"/>
    <w:rsid w:val="0075698C"/>
    <w:rsid w:val="0076032F"/>
    <w:rsid w:val="00761DF0"/>
    <w:rsid w:val="00763FEC"/>
    <w:rsid w:val="00764942"/>
    <w:rsid w:val="0077489E"/>
    <w:rsid w:val="00776BEB"/>
    <w:rsid w:val="00777021"/>
    <w:rsid w:val="00781A03"/>
    <w:rsid w:val="00782345"/>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4CA3"/>
    <w:rsid w:val="008253CA"/>
    <w:rsid w:val="00827607"/>
    <w:rsid w:val="00834649"/>
    <w:rsid w:val="00834768"/>
    <w:rsid w:val="008359F2"/>
    <w:rsid w:val="00836C32"/>
    <w:rsid w:val="0083726A"/>
    <w:rsid w:val="00841029"/>
    <w:rsid w:val="008500FF"/>
    <w:rsid w:val="00851854"/>
    <w:rsid w:val="00853ED3"/>
    <w:rsid w:val="00855AE8"/>
    <w:rsid w:val="0086048F"/>
    <w:rsid w:val="0086438E"/>
    <w:rsid w:val="00871E2A"/>
    <w:rsid w:val="00872FC1"/>
    <w:rsid w:val="00876B9B"/>
    <w:rsid w:val="00883BDC"/>
    <w:rsid w:val="00883ED5"/>
    <w:rsid w:val="008851FF"/>
    <w:rsid w:val="00885703"/>
    <w:rsid w:val="00890540"/>
    <w:rsid w:val="008927E3"/>
    <w:rsid w:val="00894FA5"/>
    <w:rsid w:val="00896855"/>
    <w:rsid w:val="00897376"/>
    <w:rsid w:val="008A3CA2"/>
    <w:rsid w:val="008A5948"/>
    <w:rsid w:val="008A67FD"/>
    <w:rsid w:val="008A6F33"/>
    <w:rsid w:val="008A79A9"/>
    <w:rsid w:val="008A7F76"/>
    <w:rsid w:val="008B19C3"/>
    <w:rsid w:val="008B3587"/>
    <w:rsid w:val="008C0159"/>
    <w:rsid w:val="008C1508"/>
    <w:rsid w:val="008C32CC"/>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20290"/>
    <w:rsid w:val="00921678"/>
    <w:rsid w:val="009267E3"/>
    <w:rsid w:val="00926E4A"/>
    <w:rsid w:val="009301C7"/>
    <w:rsid w:val="00930DF6"/>
    <w:rsid w:val="00931AB5"/>
    <w:rsid w:val="009338EB"/>
    <w:rsid w:val="009347DC"/>
    <w:rsid w:val="0093630B"/>
    <w:rsid w:val="009364E0"/>
    <w:rsid w:val="009413C5"/>
    <w:rsid w:val="0094423D"/>
    <w:rsid w:val="00947B59"/>
    <w:rsid w:val="00952E15"/>
    <w:rsid w:val="009537FC"/>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D0A"/>
    <w:rsid w:val="00985B49"/>
    <w:rsid w:val="009862B0"/>
    <w:rsid w:val="009862C6"/>
    <w:rsid w:val="00986A54"/>
    <w:rsid w:val="00990FEE"/>
    <w:rsid w:val="00993306"/>
    <w:rsid w:val="00993FED"/>
    <w:rsid w:val="00994D0A"/>
    <w:rsid w:val="009A16C6"/>
    <w:rsid w:val="009B33EA"/>
    <w:rsid w:val="009B5C2E"/>
    <w:rsid w:val="009B672E"/>
    <w:rsid w:val="009C271F"/>
    <w:rsid w:val="009C7BB9"/>
    <w:rsid w:val="009D1437"/>
    <w:rsid w:val="009D1C63"/>
    <w:rsid w:val="009D24F3"/>
    <w:rsid w:val="009D4448"/>
    <w:rsid w:val="009D4579"/>
    <w:rsid w:val="009D6EC9"/>
    <w:rsid w:val="009D70DE"/>
    <w:rsid w:val="009D7854"/>
    <w:rsid w:val="009D7D3F"/>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415D"/>
    <w:rsid w:val="00A1296E"/>
    <w:rsid w:val="00A13251"/>
    <w:rsid w:val="00A16446"/>
    <w:rsid w:val="00A21E6D"/>
    <w:rsid w:val="00A223A4"/>
    <w:rsid w:val="00A2346C"/>
    <w:rsid w:val="00A24142"/>
    <w:rsid w:val="00A25491"/>
    <w:rsid w:val="00A263D6"/>
    <w:rsid w:val="00A27EA8"/>
    <w:rsid w:val="00A321C2"/>
    <w:rsid w:val="00A401D8"/>
    <w:rsid w:val="00A40ACB"/>
    <w:rsid w:val="00A40B9E"/>
    <w:rsid w:val="00A418DE"/>
    <w:rsid w:val="00A429D6"/>
    <w:rsid w:val="00A42D78"/>
    <w:rsid w:val="00A46566"/>
    <w:rsid w:val="00A527DA"/>
    <w:rsid w:val="00A536C4"/>
    <w:rsid w:val="00A53F9A"/>
    <w:rsid w:val="00A54E64"/>
    <w:rsid w:val="00A55782"/>
    <w:rsid w:val="00A57789"/>
    <w:rsid w:val="00A60E84"/>
    <w:rsid w:val="00A62241"/>
    <w:rsid w:val="00A64305"/>
    <w:rsid w:val="00A65F7F"/>
    <w:rsid w:val="00A71899"/>
    <w:rsid w:val="00A71BAB"/>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E0940"/>
    <w:rsid w:val="00AE0DC5"/>
    <w:rsid w:val="00AE1D46"/>
    <w:rsid w:val="00AE61C3"/>
    <w:rsid w:val="00AE72A5"/>
    <w:rsid w:val="00AF140C"/>
    <w:rsid w:val="00AF1E69"/>
    <w:rsid w:val="00AF20E8"/>
    <w:rsid w:val="00AF2ACD"/>
    <w:rsid w:val="00AF5EC1"/>
    <w:rsid w:val="00AF611F"/>
    <w:rsid w:val="00B0291C"/>
    <w:rsid w:val="00B03C50"/>
    <w:rsid w:val="00B0478F"/>
    <w:rsid w:val="00B06C8D"/>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408B"/>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6CA9"/>
    <w:rsid w:val="00B95B79"/>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29"/>
    <w:rsid w:val="00BC359A"/>
    <w:rsid w:val="00BC397C"/>
    <w:rsid w:val="00BC52E4"/>
    <w:rsid w:val="00BC5A2F"/>
    <w:rsid w:val="00BC7051"/>
    <w:rsid w:val="00BC77C6"/>
    <w:rsid w:val="00BD087F"/>
    <w:rsid w:val="00BD125C"/>
    <w:rsid w:val="00BD3708"/>
    <w:rsid w:val="00BD5EC5"/>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D16"/>
    <w:rsid w:val="00C25CC1"/>
    <w:rsid w:val="00C31152"/>
    <w:rsid w:val="00C31E07"/>
    <w:rsid w:val="00C3357B"/>
    <w:rsid w:val="00C353D1"/>
    <w:rsid w:val="00C36FB8"/>
    <w:rsid w:val="00C43F0A"/>
    <w:rsid w:val="00C44B8D"/>
    <w:rsid w:val="00C45D02"/>
    <w:rsid w:val="00C50859"/>
    <w:rsid w:val="00C50B84"/>
    <w:rsid w:val="00C531F3"/>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6E9A"/>
    <w:rsid w:val="00D87BA2"/>
    <w:rsid w:val="00D91BA8"/>
    <w:rsid w:val="00DA00B8"/>
    <w:rsid w:val="00DA091B"/>
    <w:rsid w:val="00DA1486"/>
    <w:rsid w:val="00DB1311"/>
    <w:rsid w:val="00DB16B3"/>
    <w:rsid w:val="00DB5FD1"/>
    <w:rsid w:val="00DB6B9F"/>
    <w:rsid w:val="00DB777E"/>
    <w:rsid w:val="00DC0D7C"/>
    <w:rsid w:val="00DC23EA"/>
    <w:rsid w:val="00DC5B6B"/>
    <w:rsid w:val="00DC5E12"/>
    <w:rsid w:val="00DD2844"/>
    <w:rsid w:val="00DD424D"/>
    <w:rsid w:val="00DD506B"/>
    <w:rsid w:val="00DD61CF"/>
    <w:rsid w:val="00DD6251"/>
    <w:rsid w:val="00DD7C86"/>
    <w:rsid w:val="00DE11C9"/>
    <w:rsid w:val="00DE3E9B"/>
    <w:rsid w:val="00DE42E4"/>
    <w:rsid w:val="00DE4AE1"/>
    <w:rsid w:val="00DE76FE"/>
    <w:rsid w:val="00DF1E74"/>
    <w:rsid w:val="00DF26DD"/>
    <w:rsid w:val="00DF292A"/>
    <w:rsid w:val="00DF59C4"/>
    <w:rsid w:val="00DF68C8"/>
    <w:rsid w:val="00E0294B"/>
    <w:rsid w:val="00E03411"/>
    <w:rsid w:val="00E0572F"/>
    <w:rsid w:val="00E07A06"/>
    <w:rsid w:val="00E16120"/>
    <w:rsid w:val="00E17728"/>
    <w:rsid w:val="00E21EAA"/>
    <w:rsid w:val="00E240C1"/>
    <w:rsid w:val="00E265B6"/>
    <w:rsid w:val="00E26EB4"/>
    <w:rsid w:val="00E27A69"/>
    <w:rsid w:val="00E324C0"/>
    <w:rsid w:val="00E33BAA"/>
    <w:rsid w:val="00E33D37"/>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62645"/>
    <w:rsid w:val="00E6290E"/>
    <w:rsid w:val="00E72D7D"/>
    <w:rsid w:val="00E72DB4"/>
    <w:rsid w:val="00E739BA"/>
    <w:rsid w:val="00E75F0A"/>
    <w:rsid w:val="00E769E9"/>
    <w:rsid w:val="00E77B69"/>
    <w:rsid w:val="00E80694"/>
    <w:rsid w:val="00E81382"/>
    <w:rsid w:val="00E82B34"/>
    <w:rsid w:val="00E87C18"/>
    <w:rsid w:val="00E90768"/>
    <w:rsid w:val="00E92550"/>
    <w:rsid w:val="00E94DB3"/>
    <w:rsid w:val="00EA02E7"/>
    <w:rsid w:val="00EA620D"/>
    <w:rsid w:val="00EA6CE7"/>
    <w:rsid w:val="00EB3981"/>
    <w:rsid w:val="00EB44C8"/>
    <w:rsid w:val="00EB5F0A"/>
    <w:rsid w:val="00EB7046"/>
    <w:rsid w:val="00EC13BF"/>
    <w:rsid w:val="00EC14CB"/>
    <w:rsid w:val="00EC2276"/>
    <w:rsid w:val="00EC545F"/>
    <w:rsid w:val="00EC56A3"/>
    <w:rsid w:val="00EC591B"/>
    <w:rsid w:val="00ED6AC4"/>
    <w:rsid w:val="00EE03D0"/>
    <w:rsid w:val="00EE0F9E"/>
    <w:rsid w:val="00EE4360"/>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E73B-94CE-4DC6-B293-76594DDC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9</Pages>
  <Words>3647</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607</cp:revision>
  <cp:lastPrinted>2017-11-13T19:22:00Z</cp:lastPrinted>
  <dcterms:created xsi:type="dcterms:W3CDTF">2016-08-09T20:08:00Z</dcterms:created>
  <dcterms:modified xsi:type="dcterms:W3CDTF">2019-06-24T20:54:00Z</dcterms:modified>
</cp:coreProperties>
</file>