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F850FC" w:rsidRPr="00FD3199" w:rsidTr="00880FAE">
        <w:trPr>
          <w:trHeight w:val="3021"/>
        </w:trPr>
        <w:tc>
          <w:tcPr>
            <w:tcW w:w="2356" w:type="dxa"/>
          </w:tcPr>
          <w:p w:rsidR="00F850FC" w:rsidRPr="00FD3199" w:rsidRDefault="00F850FC" w:rsidP="00F850FC">
            <w:pPr>
              <w:rPr>
                <w:rFonts w:ascii="Arial" w:eastAsia="Calibri" w:hAnsi="Arial" w:cs="Arial"/>
                <w:b/>
                <w:sz w:val="26"/>
                <w:szCs w:val="26"/>
                <w:lang w:val="es-ES"/>
              </w:rPr>
            </w:pPr>
            <w:r w:rsidRPr="00FD3199">
              <w:rPr>
                <w:rFonts w:ascii="Arial" w:eastAsia="Calibri" w:hAnsi="Arial" w:cs="Arial"/>
                <w:b/>
                <w:sz w:val="26"/>
                <w:szCs w:val="26"/>
                <w:lang w:val="es-ES"/>
              </w:rPr>
              <w:t xml:space="preserve">     </w:t>
            </w:r>
          </w:p>
        </w:tc>
        <w:tc>
          <w:tcPr>
            <w:tcW w:w="7426" w:type="dxa"/>
          </w:tcPr>
          <w:p w:rsidR="00F850FC" w:rsidRPr="00FD3199" w:rsidRDefault="00F850FC" w:rsidP="00F850FC">
            <w:pPr>
              <w:tabs>
                <w:tab w:val="left" w:pos="3103"/>
              </w:tabs>
              <w:jc w:val="both"/>
              <w:rPr>
                <w:rFonts w:ascii="Arial" w:eastAsia="Calibri" w:hAnsi="Arial" w:cs="Arial"/>
                <w:b/>
                <w:i/>
                <w:iCs/>
                <w:caps/>
                <w:sz w:val="26"/>
                <w:szCs w:val="26"/>
                <w:lang w:val="es-ES"/>
              </w:rPr>
            </w:pPr>
            <w:r w:rsidRPr="00FD3199">
              <w:rPr>
                <w:rFonts w:ascii="Arial" w:eastAsia="Calibri" w:hAnsi="Arial" w:cs="Arial"/>
                <w:b/>
                <w:i/>
                <w:iCs/>
                <w:caps/>
                <w:sz w:val="26"/>
                <w:szCs w:val="26"/>
                <w:lang w:val="es-ES"/>
              </w:rPr>
              <w:t xml:space="preserve">                     </w:t>
            </w:r>
          </w:p>
          <w:p w:rsidR="00F850FC" w:rsidRPr="00FD3199" w:rsidRDefault="00F850FC" w:rsidP="00F850FC">
            <w:pPr>
              <w:tabs>
                <w:tab w:val="left" w:pos="3103"/>
              </w:tabs>
              <w:ind w:left="1969" w:right="639"/>
              <w:jc w:val="both"/>
              <w:rPr>
                <w:rFonts w:ascii="Arial" w:eastAsia="Calibri" w:hAnsi="Arial" w:cs="Arial"/>
                <w:b/>
                <w:iCs/>
                <w:caps/>
                <w:sz w:val="26"/>
                <w:szCs w:val="26"/>
                <w:lang w:val="es-ES"/>
              </w:rPr>
            </w:pPr>
            <w:r w:rsidRPr="00FD3199">
              <w:rPr>
                <w:rFonts w:ascii="Arial" w:eastAsia="Calibri" w:hAnsi="Arial" w:cs="Arial"/>
                <w:b/>
                <w:iCs/>
                <w:caps/>
                <w:sz w:val="26"/>
                <w:szCs w:val="26"/>
                <w:lang w:val="es-ES"/>
              </w:rPr>
              <w:t>SALA SU</w:t>
            </w:r>
            <w:r w:rsidR="00456AA7" w:rsidRPr="00FD3199">
              <w:rPr>
                <w:rFonts w:ascii="Arial" w:eastAsia="Calibri" w:hAnsi="Arial" w:cs="Arial"/>
                <w:b/>
                <w:iCs/>
                <w:caps/>
                <w:sz w:val="26"/>
                <w:szCs w:val="26"/>
                <w:lang w:val="es-ES"/>
              </w:rPr>
              <w:t xml:space="preserve">PERIOR DEL TRIBUNAL DE JUSTICIA </w:t>
            </w:r>
            <w:r w:rsidRPr="00FD3199">
              <w:rPr>
                <w:rFonts w:ascii="Arial" w:eastAsia="Calibri" w:hAnsi="Arial" w:cs="Arial"/>
                <w:b/>
                <w:iCs/>
                <w:caps/>
                <w:sz w:val="26"/>
                <w:szCs w:val="26"/>
                <w:lang w:val="es-ES"/>
              </w:rPr>
              <w:t>ADMINISTRATIVA DEL ESTADO DE OAXACA.</w:t>
            </w:r>
          </w:p>
          <w:p w:rsidR="00F850FC" w:rsidRPr="00FD3199" w:rsidRDefault="00F850FC" w:rsidP="00F850FC">
            <w:pPr>
              <w:tabs>
                <w:tab w:val="right" w:pos="8504"/>
              </w:tabs>
              <w:ind w:left="1969" w:right="639"/>
              <w:jc w:val="both"/>
              <w:rPr>
                <w:rFonts w:ascii="Arial" w:eastAsia="PMingLiU" w:hAnsi="Arial" w:cs="Arial"/>
                <w:b/>
                <w:iCs/>
                <w:caps/>
                <w:sz w:val="26"/>
                <w:szCs w:val="26"/>
                <w:lang w:val="es-PE" w:eastAsia="zh-TW"/>
              </w:rPr>
            </w:pPr>
            <w:r w:rsidRPr="00FD3199">
              <w:rPr>
                <w:rFonts w:ascii="Arial" w:eastAsia="PMingLiU" w:hAnsi="Arial" w:cs="Arial"/>
                <w:b/>
                <w:iCs/>
                <w:caps/>
                <w:sz w:val="26"/>
                <w:szCs w:val="26"/>
                <w:lang w:val="es-PE" w:eastAsia="zh-TW"/>
              </w:rPr>
              <w:t xml:space="preserve">               </w:t>
            </w:r>
          </w:p>
          <w:p w:rsidR="00F850FC" w:rsidRPr="00FD3199" w:rsidRDefault="00F850FC" w:rsidP="00F850FC">
            <w:pPr>
              <w:tabs>
                <w:tab w:val="right" w:pos="8504"/>
              </w:tabs>
              <w:ind w:left="1969" w:right="639"/>
              <w:jc w:val="both"/>
              <w:rPr>
                <w:rFonts w:ascii="Arial" w:eastAsia="PMingLiU" w:hAnsi="Arial" w:cs="Arial"/>
                <w:b/>
                <w:iCs/>
                <w:caps/>
                <w:sz w:val="26"/>
                <w:szCs w:val="26"/>
                <w:lang w:val="es-PE" w:eastAsia="zh-TW"/>
              </w:rPr>
            </w:pPr>
            <w:r w:rsidRPr="00FD3199">
              <w:rPr>
                <w:rFonts w:ascii="Arial" w:eastAsia="PMingLiU" w:hAnsi="Arial" w:cs="Arial"/>
                <w:b/>
                <w:iCs/>
                <w:caps/>
                <w:sz w:val="26"/>
                <w:szCs w:val="26"/>
                <w:lang w:val="es-PE" w:eastAsia="zh-TW"/>
              </w:rPr>
              <w:t xml:space="preserve">RECURSO DE REVISIÓN:   0501/2018 </w:t>
            </w:r>
          </w:p>
          <w:p w:rsidR="00F850FC" w:rsidRPr="00FD3199" w:rsidRDefault="00F850FC" w:rsidP="00F850FC">
            <w:pPr>
              <w:tabs>
                <w:tab w:val="right" w:pos="8504"/>
              </w:tabs>
              <w:ind w:left="1969" w:right="639"/>
              <w:jc w:val="both"/>
              <w:rPr>
                <w:rFonts w:ascii="Arial" w:eastAsia="PMingLiU" w:hAnsi="Arial" w:cs="Arial"/>
                <w:b/>
                <w:iCs/>
                <w:caps/>
                <w:sz w:val="26"/>
                <w:szCs w:val="26"/>
                <w:lang w:val="es-PE" w:eastAsia="zh-TW"/>
              </w:rPr>
            </w:pPr>
          </w:p>
          <w:p w:rsidR="00F850FC" w:rsidRPr="00FD3199" w:rsidRDefault="00456AA7" w:rsidP="00F850FC">
            <w:pPr>
              <w:tabs>
                <w:tab w:val="right" w:pos="8504"/>
              </w:tabs>
              <w:ind w:left="1969" w:right="639"/>
              <w:jc w:val="both"/>
              <w:rPr>
                <w:rFonts w:ascii="Arial" w:eastAsia="PMingLiU" w:hAnsi="Arial" w:cs="Arial"/>
                <w:b/>
                <w:iCs/>
                <w:caps/>
                <w:sz w:val="26"/>
                <w:szCs w:val="26"/>
                <w:lang w:val="es-PE" w:eastAsia="zh-TW"/>
              </w:rPr>
            </w:pPr>
            <w:r w:rsidRPr="00FD3199">
              <w:rPr>
                <w:rFonts w:ascii="Arial" w:eastAsia="PMingLiU" w:hAnsi="Arial" w:cs="Arial"/>
                <w:b/>
                <w:iCs/>
                <w:caps/>
                <w:sz w:val="26"/>
                <w:szCs w:val="26"/>
                <w:lang w:val="es-PE" w:eastAsia="zh-TW"/>
              </w:rPr>
              <w:t xml:space="preserve">EXPEDIENTE: </w:t>
            </w:r>
            <w:r w:rsidR="00F850FC" w:rsidRPr="00FD3199">
              <w:rPr>
                <w:rFonts w:ascii="Arial" w:eastAsia="PMingLiU" w:hAnsi="Arial" w:cs="Arial"/>
                <w:b/>
                <w:iCs/>
                <w:caps/>
                <w:sz w:val="26"/>
                <w:szCs w:val="26"/>
                <w:lang w:val="es-PE" w:eastAsia="zh-TW"/>
              </w:rPr>
              <w:t xml:space="preserve">0003/2017 DE LA </w:t>
            </w:r>
            <w:r w:rsidR="00087E7A" w:rsidRPr="00FD3199">
              <w:rPr>
                <w:rFonts w:ascii="Arial" w:eastAsia="PMingLiU" w:hAnsi="Arial" w:cs="Arial"/>
                <w:b/>
                <w:iCs/>
                <w:caps/>
                <w:sz w:val="26"/>
                <w:szCs w:val="26"/>
                <w:lang w:val="es-PE" w:eastAsia="zh-TW"/>
              </w:rPr>
              <w:t>PRIMERA</w:t>
            </w:r>
            <w:r w:rsidR="00F850FC" w:rsidRPr="00FD3199">
              <w:rPr>
                <w:rFonts w:ascii="Arial" w:eastAsia="PMingLiU" w:hAnsi="Arial" w:cs="Arial"/>
                <w:b/>
                <w:iCs/>
                <w:caps/>
                <w:sz w:val="26"/>
                <w:szCs w:val="26"/>
                <w:lang w:val="es-PE" w:eastAsia="zh-TW"/>
              </w:rPr>
              <w:t xml:space="preserve"> SALA UNITARIA DE PRIMERA INSTANCIA</w:t>
            </w:r>
          </w:p>
          <w:p w:rsidR="00F850FC" w:rsidRPr="00FD3199" w:rsidRDefault="00F850FC" w:rsidP="00F850FC">
            <w:pPr>
              <w:tabs>
                <w:tab w:val="right" w:pos="8504"/>
              </w:tabs>
              <w:ind w:left="1969" w:right="639"/>
              <w:jc w:val="both"/>
              <w:rPr>
                <w:rFonts w:ascii="Arial" w:eastAsia="PMingLiU" w:hAnsi="Arial" w:cs="Arial"/>
                <w:b/>
                <w:iCs/>
                <w:caps/>
                <w:sz w:val="26"/>
                <w:szCs w:val="26"/>
                <w:lang w:val="es-PE" w:eastAsia="zh-TW"/>
              </w:rPr>
            </w:pPr>
            <w:r w:rsidRPr="00FD3199">
              <w:rPr>
                <w:rFonts w:ascii="Arial" w:eastAsia="PMingLiU" w:hAnsi="Arial" w:cs="Arial"/>
                <w:b/>
                <w:iCs/>
                <w:caps/>
                <w:sz w:val="26"/>
                <w:szCs w:val="26"/>
                <w:lang w:val="es-PE" w:eastAsia="zh-TW"/>
              </w:rPr>
              <w:t xml:space="preserve">       </w:t>
            </w:r>
          </w:p>
          <w:p w:rsidR="00F850FC" w:rsidRPr="00FD3199" w:rsidRDefault="00F850FC" w:rsidP="00F850FC">
            <w:pPr>
              <w:tabs>
                <w:tab w:val="right" w:pos="8504"/>
              </w:tabs>
              <w:ind w:left="1969" w:right="639"/>
              <w:jc w:val="both"/>
              <w:rPr>
                <w:rFonts w:ascii="Arial" w:eastAsia="PMingLiU" w:hAnsi="Arial" w:cs="Arial"/>
                <w:b/>
                <w:iCs/>
                <w:caps/>
                <w:sz w:val="26"/>
                <w:szCs w:val="26"/>
                <w:lang w:val="es-PE" w:eastAsia="zh-TW"/>
              </w:rPr>
            </w:pPr>
            <w:r w:rsidRPr="00FD3199">
              <w:rPr>
                <w:rFonts w:ascii="Arial" w:eastAsia="PMingLiU" w:hAnsi="Arial" w:cs="Arial"/>
                <w:b/>
                <w:iCs/>
                <w:caps/>
                <w:sz w:val="26"/>
                <w:szCs w:val="26"/>
                <w:lang w:val="es-PE" w:eastAsia="zh-TW"/>
              </w:rPr>
              <w:t xml:space="preserve">ponente: magISTRADo </w:t>
            </w:r>
            <w:r w:rsidRPr="00FD3199">
              <w:rPr>
                <w:rFonts w:ascii="Arial" w:eastAsia="PMingLiU" w:hAnsi="Arial" w:cs="Arial"/>
                <w:b/>
                <w:iCs/>
                <w:sz w:val="26"/>
                <w:szCs w:val="26"/>
                <w:lang w:val="es-PE" w:eastAsia="zh-TW"/>
              </w:rPr>
              <w:t xml:space="preserve">ADRIÁN </w:t>
            </w:r>
            <w:r w:rsidRPr="00FD3199">
              <w:rPr>
                <w:rFonts w:ascii="Arial" w:eastAsia="PMingLiU" w:hAnsi="Arial" w:cs="Arial"/>
                <w:b/>
                <w:iCs/>
                <w:caps/>
                <w:sz w:val="26"/>
                <w:szCs w:val="26"/>
                <w:lang w:val="es-PE" w:eastAsia="zh-TW"/>
              </w:rPr>
              <w:t>quiroga avendaño.</w:t>
            </w:r>
          </w:p>
        </w:tc>
      </w:tr>
      <w:tr w:rsidR="00F850FC" w:rsidRPr="00FD3199" w:rsidTr="00880FAE">
        <w:tc>
          <w:tcPr>
            <w:tcW w:w="2356" w:type="dxa"/>
          </w:tcPr>
          <w:p w:rsidR="00F850FC" w:rsidRPr="00FD3199" w:rsidRDefault="00F850FC" w:rsidP="00F850FC">
            <w:pPr>
              <w:rPr>
                <w:rFonts w:ascii="Arial" w:eastAsia="Calibri" w:hAnsi="Arial" w:cs="Arial"/>
                <w:b/>
                <w:sz w:val="26"/>
                <w:szCs w:val="26"/>
                <w:lang w:val="es-ES"/>
              </w:rPr>
            </w:pPr>
          </w:p>
        </w:tc>
        <w:tc>
          <w:tcPr>
            <w:tcW w:w="7426" w:type="dxa"/>
          </w:tcPr>
          <w:p w:rsidR="00F850FC" w:rsidRPr="00FD3199" w:rsidRDefault="00F850FC" w:rsidP="00F850FC">
            <w:pPr>
              <w:tabs>
                <w:tab w:val="left" w:pos="3103"/>
              </w:tabs>
              <w:ind w:left="2678" w:hanging="2961"/>
              <w:jc w:val="both"/>
              <w:rPr>
                <w:rFonts w:ascii="Arial" w:eastAsia="Calibri" w:hAnsi="Arial" w:cs="Arial"/>
                <w:b/>
                <w:iCs/>
                <w:caps/>
                <w:sz w:val="26"/>
                <w:szCs w:val="26"/>
                <w:lang w:val="es-ES"/>
              </w:rPr>
            </w:pPr>
            <w:r w:rsidRPr="00FD3199">
              <w:rPr>
                <w:rFonts w:ascii="Arial" w:eastAsia="Calibri" w:hAnsi="Arial" w:cs="Arial"/>
                <w:b/>
                <w:i/>
                <w:iCs/>
                <w:caps/>
                <w:sz w:val="26"/>
                <w:szCs w:val="26"/>
                <w:lang w:val="es-ES"/>
              </w:rPr>
              <w:t xml:space="preserve">                                          </w:t>
            </w:r>
          </w:p>
        </w:tc>
      </w:tr>
      <w:tr w:rsidR="00F850FC" w:rsidRPr="00FD3199" w:rsidTr="00880FAE">
        <w:tc>
          <w:tcPr>
            <w:tcW w:w="2356" w:type="dxa"/>
          </w:tcPr>
          <w:p w:rsidR="00F850FC" w:rsidRPr="00FD3199" w:rsidRDefault="00F850FC" w:rsidP="00F850FC">
            <w:pPr>
              <w:rPr>
                <w:rFonts w:ascii="Arial" w:eastAsia="Calibri" w:hAnsi="Arial" w:cs="Arial"/>
                <w:b/>
                <w:sz w:val="26"/>
                <w:szCs w:val="26"/>
                <w:lang w:val="es-ES"/>
              </w:rPr>
            </w:pPr>
          </w:p>
        </w:tc>
        <w:tc>
          <w:tcPr>
            <w:tcW w:w="7426" w:type="dxa"/>
          </w:tcPr>
          <w:p w:rsidR="00F850FC" w:rsidRPr="00FD3199" w:rsidRDefault="00F850FC" w:rsidP="00F850FC">
            <w:pPr>
              <w:tabs>
                <w:tab w:val="left" w:pos="3103"/>
              </w:tabs>
              <w:ind w:left="2961" w:hanging="2961"/>
              <w:jc w:val="both"/>
              <w:rPr>
                <w:rFonts w:ascii="Arial" w:eastAsia="Calibri" w:hAnsi="Arial" w:cs="Arial"/>
                <w:b/>
                <w:i/>
                <w:iCs/>
                <w:caps/>
                <w:sz w:val="26"/>
                <w:szCs w:val="26"/>
                <w:lang w:val="es-ES"/>
              </w:rPr>
            </w:pPr>
          </w:p>
        </w:tc>
      </w:tr>
    </w:tbl>
    <w:p w:rsidR="00456AA7" w:rsidRPr="00FD3199" w:rsidRDefault="00F850FC" w:rsidP="00F850FC">
      <w:pPr>
        <w:spacing w:after="200" w:line="360" w:lineRule="auto"/>
        <w:jc w:val="both"/>
        <w:rPr>
          <w:rFonts w:ascii="Arial" w:eastAsia="Calibri" w:hAnsi="Arial" w:cs="Arial"/>
          <w:b/>
          <w:sz w:val="26"/>
          <w:szCs w:val="26"/>
        </w:rPr>
      </w:pPr>
      <w:r w:rsidRPr="00FD3199">
        <w:rPr>
          <w:rFonts w:ascii="Arial" w:eastAsia="Calibri" w:hAnsi="Arial" w:cs="Arial"/>
          <w:b/>
          <w:sz w:val="26"/>
          <w:szCs w:val="26"/>
        </w:rPr>
        <w:t xml:space="preserve">OAXACA DE JUÁREZ, OAXACA, </w:t>
      </w:r>
      <w:r w:rsidR="00456AA7" w:rsidRPr="00FD3199">
        <w:rPr>
          <w:rFonts w:ascii="Arial" w:eastAsia="Calibri" w:hAnsi="Arial" w:cs="Arial"/>
          <w:b/>
          <w:sz w:val="26"/>
          <w:szCs w:val="26"/>
        </w:rPr>
        <w:t xml:space="preserve">DIECISÉIS DE MAYO DOS MIL DIECINUEVE. </w:t>
      </w:r>
    </w:p>
    <w:p w:rsidR="00456AA7" w:rsidRDefault="00F850FC" w:rsidP="00456AA7">
      <w:pPr>
        <w:spacing w:after="200" w:line="360" w:lineRule="auto"/>
        <w:ind w:firstLine="708"/>
        <w:jc w:val="both"/>
        <w:rPr>
          <w:rFonts w:ascii="Arial" w:eastAsia="Calibri" w:hAnsi="Arial" w:cs="Arial"/>
          <w:sz w:val="26"/>
          <w:szCs w:val="26"/>
          <w:lang w:val="es-ES"/>
        </w:rPr>
      </w:pPr>
      <w:r w:rsidRPr="00F850FC">
        <w:rPr>
          <w:rFonts w:ascii="Arial" w:eastAsia="Calibri" w:hAnsi="Arial" w:cs="Arial"/>
          <w:sz w:val="26"/>
          <w:szCs w:val="26"/>
        </w:rPr>
        <w:t xml:space="preserve">Por recibido el Cuaderno de Revisión </w:t>
      </w:r>
      <w:r w:rsidRPr="00F850FC">
        <w:rPr>
          <w:rFonts w:ascii="Arial" w:eastAsia="Calibri" w:hAnsi="Arial" w:cs="Arial"/>
          <w:b/>
          <w:sz w:val="26"/>
          <w:szCs w:val="26"/>
        </w:rPr>
        <w:t>0501/2018</w:t>
      </w:r>
      <w:r w:rsidRPr="00F850FC">
        <w:rPr>
          <w:rFonts w:ascii="Arial" w:eastAsia="Calibri" w:hAnsi="Arial" w:cs="Arial"/>
          <w:sz w:val="26"/>
          <w:szCs w:val="26"/>
        </w:rPr>
        <w:t>, que remite la Secretaría General de Acuerdos, con motivo del recurso de revisión interpuesto por</w:t>
      </w:r>
      <w:r w:rsidRPr="00F850FC">
        <w:rPr>
          <w:rFonts w:ascii="Arial" w:eastAsia="Calibri" w:hAnsi="Arial" w:cs="Arial"/>
          <w:b/>
          <w:sz w:val="26"/>
          <w:szCs w:val="26"/>
        </w:rPr>
        <w:t xml:space="preserve"> </w:t>
      </w:r>
      <w:r w:rsidR="005A48BB">
        <w:rPr>
          <w:rFonts w:ascii="Arial" w:eastAsia="Calibri" w:hAnsi="Arial" w:cs="Arial"/>
          <w:b/>
          <w:sz w:val="26"/>
          <w:szCs w:val="26"/>
        </w:rPr>
        <w:t>**********</w:t>
      </w:r>
      <w:r w:rsidRPr="00F850FC">
        <w:rPr>
          <w:rFonts w:ascii="Arial" w:eastAsia="Calibri" w:hAnsi="Arial" w:cs="Arial"/>
          <w:b/>
          <w:sz w:val="26"/>
          <w:szCs w:val="26"/>
        </w:rPr>
        <w:t>,</w:t>
      </w:r>
      <w:r w:rsidRPr="00F850FC">
        <w:rPr>
          <w:rFonts w:ascii="Arial" w:eastAsia="Calibri" w:hAnsi="Arial" w:cs="Arial"/>
          <w:sz w:val="26"/>
          <w:szCs w:val="26"/>
        </w:rPr>
        <w:t xml:space="preserve"> en contra de la resolución de 15 quince de octubre de 2018 dos mil dieciocho, dictada en el expediente </w:t>
      </w:r>
      <w:r w:rsidRPr="00F850FC">
        <w:rPr>
          <w:rFonts w:ascii="Arial" w:eastAsia="Calibri" w:hAnsi="Arial" w:cs="Arial"/>
          <w:b/>
          <w:sz w:val="26"/>
          <w:szCs w:val="26"/>
        </w:rPr>
        <w:t>0003/2017</w:t>
      </w:r>
      <w:r w:rsidRPr="00F850FC">
        <w:rPr>
          <w:rFonts w:ascii="Arial" w:eastAsia="Calibri" w:hAnsi="Arial" w:cs="Arial"/>
          <w:sz w:val="26"/>
          <w:szCs w:val="26"/>
        </w:rPr>
        <w:t xml:space="preserve"> del índice de la Primera Sala Unitaria de Primera Instancia de este Tribunal de Justicia Administrativa del Estado de Oaxaca, relativo al juicio de nulidad promovido por </w:t>
      </w:r>
      <w:r w:rsidRPr="00F850FC">
        <w:rPr>
          <w:rFonts w:ascii="Arial" w:eastAsia="Calibri" w:hAnsi="Arial" w:cs="Arial"/>
          <w:b/>
          <w:sz w:val="26"/>
          <w:szCs w:val="26"/>
        </w:rPr>
        <w:t xml:space="preserve">EL RECURRENTE </w:t>
      </w:r>
      <w:r w:rsidRPr="00F850FC">
        <w:rPr>
          <w:rFonts w:ascii="Arial" w:eastAsia="Calibri" w:hAnsi="Arial" w:cs="Arial"/>
          <w:sz w:val="26"/>
          <w:szCs w:val="26"/>
        </w:rPr>
        <w:t xml:space="preserve">en contra del </w:t>
      </w:r>
      <w:r w:rsidRPr="00F850FC">
        <w:rPr>
          <w:rFonts w:ascii="Arial" w:eastAsia="Calibri" w:hAnsi="Arial" w:cs="Arial"/>
          <w:b/>
          <w:sz w:val="26"/>
          <w:szCs w:val="26"/>
        </w:rPr>
        <w:t xml:space="preserve">SECRETARIO, DEL DIRECTOR DE CONCESIONES, DEL DIRECTOR JURIDICO Y DEL COMITÉ OPERATIVO DE EVALUACION Y SEGUIMIENTO, AUTORIDADES DE LA SECRETARÍA DE VIALIDAD Y TRANSPORTE DEL PODER EJECUTIVO DEL ESTADO; </w:t>
      </w:r>
      <w:r w:rsidRPr="00F850FC">
        <w:rPr>
          <w:rFonts w:ascii="Arial" w:eastAsia="Calibri" w:hAnsi="Arial" w:cs="Arial"/>
          <w:sz w:val="26"/>
          <w:szCs w:val="26"/>
          <w:lang w:val="es-ES"/>
        </w:rPr>
        <w:t>por lo que con fundamento en los artículos 207 y 208 de la reformada Ley de Justicia Administrativa para el Estado de Oaxaca, se admite.</w:t>
      </w:r>
      <w:r w:rsidRPr="00F850FC">
        <w:rPr>
          <w:rFonts w:ascii="Arial" w:eastAsia="Calibri" w:hAnsi="Arial" w:cs="Arial"/>
          <w:b/>
          <w:sz w:val="26"/>
          <w:szCs w:val="26"/>
          <w:lang w:val="es-ES"/>
        </w:rPr>
        <w:t xml:space="preserve"> </w:t>
      </w:r>
      <w:r w:rsidRPr="00F850FC">
        <w:rPr>
          <w:rFonts w:ascii="Arial" w:eastAsia="Calibri" w:hAnsi="Arial" w:cs="Arial"/>
          <w:sz w:val="26"/>
          <w:szCs w:val="26"/>
          <w:lang w:val="es-ES"/>
        </w:rPr>
        <w:t>En consecuencia, se procede a dictar resoluci</w:t>
      </w:r>
      <w:r w:rsidR="00456AA7">
        <w:rPr>
          <w:rFonts w:ascii="Arial" w:eastAsia="Calibri" w:hAnsi="Arial" w:cs="Arial"/>
          <w:sz w:val="26"/>
          <w:szCs w:val="26"/>
          <w:lang w:val="es-ES"/>
        </w:rPr>
        <w:t>ón en los siguientes términos:</w:t>
      </w:r>
    </w:p>
    <w:p w:rsidR="00456AA7" w:rsidRDefault="00456AA7" w:rsidP="00456AA7">
      <w:pPr>
        <w:spacing w:after="200" w:line="360" w:lineRule="auto"/>
        <w:ind w:firstLine="708"/>
        <w:jc w:val="center"/>
        <w:rPr>
          <w:rFonts w:ascii="Arial" w:eastAsia="Calibri" w:hAnsi="Arial" w:cs="Arial"/>
          <w:b/>
          <w:bCs/>
          <w:sz w:val="24"/>
          <w:szCs w:val="24"/>
        </w:rPr>
      </w:pPr>
      <w:r>
        <w:rPr>
          <w:rFonts w:ascii="Arial" w:eastAsia="Calibri" w:hAnsi="Arial" w:cs="Arial"/>
          <w:b/>
          <w:bCs/>
          <w:sz w:val="24"/>
          <w:szCs w:val="24"/>
        </w:rPr>
        <w:t>R E S U L T A N D O</w:t>
      </w:r>
    </w:p>
    <w:p w:rsidR="00456AA7" w:rsidRDefault="00F850FC" w:rsidP="00456AA7">
      <w:pPr>
        <w:spacing w:after="200" w:line="360" w:lineRule="auto"/>
        <w:ind w:firstLine="708"/>
        <w:jc w:val="both"/>
        <w:rPr>
          <w:rFonts w:ascii="Arial" w:eastAsia="Calibri" w:hAnsi="Arial" w:cs="Arial"/>
          <w:sz w:val="26"/>
          <w:szCs w:val="26"/>
        </w:rPr>
      </w:pPr>
      <w:r w:rsidRPr="00F850FC">
        <w:rPr>
          <w:rFonts w:ascii="Arial" w:eastAsia="Calibri" w:hAnsi="Arial" w:cs="Arial"/>
          <w:b/>
          <w:bCs/>
          <w:sz w:val="26"/>
          <w:szCs w:val="26"/>
        </w:rPr>
        <w:t xml:space="preserve">PRIMERO. </w:t>
      </w:r>
      <w:r w:rsidRPr="00F850FC">
        <w:rPr>
          <w:rFonts w:ascii="Arial" w:eastAsia="Calibri" w:hAnsi="Arial" w:cs="Arial"/>
          <w:sz w:val="26"/>
          <w:szCs w:val="26"/>
        </w:rPr>
        <w:t xml:space="preserve">Inconforme con la resolución de 15 quince de octubre de 2018 dos mil dieciocho, dictada por la </w:t>
      </w:r>
      <w:r w:rsidR="00A62F36">
        <w:rPr>
          <w:rFonts w:ascii="Arial" w:eastAsia="Calibri" w:hAnsi="Arial" w:cs="Arial"/>
          <w:sz w:val="26"/>
          <w:szCs w:val="26"/>
        </w:rPr>
        <w:t xml:space="preserve">Magistrada de la </w:t>
      </w:r>
      <w:r w:rsidRPr="00F850FC">
        <w:rPr>
          <w:rFonts w:ascii="Arial" w:eastAsia="Calibri" w:hAnsi="Arial" w:cs="Arial"/>
          <w:sz w:val="26"/>
          <w:szCs w:val="26"/>
        </w:rPr>
        <w:t xml:space="preserve">Primera Sala Unitaria de Primera Instancia, </w:t>
      </w:r>
      <w:r w:rsidR="005A48BB">
        <w:rPr>
          <w:rFonts w:ascii="Arial" w:eastAsia="Calibri" w:hAnsi="Arial" w:cs="Arial"/>
          <w:b/>
          <w:sz w:val="26"/>
          <w:szCs w:val="26"/>
        </w:rPr>
        <w:t>**********</w:t>
      </w:r>
      <w:r w:rsidRPr="00F850FC">
        <w:rPr>
          <w:rFonts w:ascii="Arial" w:eastAsia="Calibri" w:hAnsi="Arial" w:cs="Arial"/>
          <w:sz w:val="26"/>
          <w:szCs w:val="26"/>
        </w:rPr>
        <w:t>, interpone en s</w:t>
      </w:r>
      <w:r w:rsidR="00456AA7">
        <w:rPr>
          <w:rFonts w:ascii="Arial" w:eastAsia="Calibri" w:hAnsi="Arial" w:cs="Arial"/>
          <w:sz w:val="26"/>
          <w:szCs w:val="26"/>
        </w:rPr>
        <w:t>u contra recurso de revisión.</w:t>
      </w:r>
    </w:p>
    <w:p w:rsidR="00456AA7" w:rsidRDefault="00F850FC" w:rsidP="00456AA7">
      <w:pPr>
        <w:spacing w:after="200" w:line="360" w:lineRule="auto"/>
        <w:ind w:firstLine="708"/>
        <w:jc w:val="both"/>
        <w:rPr>
          <w:rFonts w:ascii="Arial" w:eastAsia="Calibri" w:hAnsi="Arial" w:cs="Arial"/>
          <w:sz w:val="26"/>
          <w:szCs w:val="26"/>
          <w:lang w:val="es-ES"/>
        </w:rPr>
      </w:pPr>
      <w:r w:rsidRPr="00F850FC">
        <w:rPr>
          <w:rFonts w:ascii="Arial" w:eastAsia="Calibri" w:hAnsi="Arial" w:cs="Arial"/>
          <w:b/>
          <w:bCs/>
          <w:sz w:val="26"/>
          <w:szCs w:val="26"/>
        </w:rPr>
        <w:t xml:space="preserve">SEGUNDO. </w:t>
      </w:r>
      <w:r w:rsidRPr="00F850FC">
        <w:rPr>
          <w:rFonts w:ascii="Arial" w:eastAsia="Calibri" w:hAnsi="Arial" w:cs="Arial"/>
          <w:bCs/>
          <w:sz w:val="26"/>
          <w:szCs w:val="26"/>
          <w:lang w:val="es-ES"/>
        </w:rPr>
        <w:t>Los puntos resolutivos de la resolución recurrida, son del tenor literal siguiente</w:t>
      </w:r>
      <w:r w:rsidRPr="00F850FC">
        <w:rPr>
          <w:rFonts w:ascii="Arial" w:eastAsia="Calibri" w:hAnsi="Arial" w:cs="Arial"/>
          <w:sz w:val="26"/>
          <w:szCs w:val="26"/>
          <w:lang w:val="es-ES"/>
        </w:rPr>
        <w:t xml:space="preserve">: </w:t>
      </w:r>
    </w:p>
    <w:p w:rsidR="00F850FC" w:rsidRPr="00F850FC" w:rsidRDefault="00456AA7" w:rsidP="00F850FC">
      <w:pPr>
        <w:spacing w:line="360" w:lineRule="auto"/>
        <w:ind w:left="1134" w:right="1345"/>
        <w:jc w:val="both"/>
        <w:rPr>
          <w:rFonts w:ascii="Arial" w:eastAsia="Calibri" w:hAnsi="Arial" w:cs="Arial"/>
          <w:bCs/>
          <w:i/>
          <w:lang w:val="es-ES"/>
        </w:rPr>
      </w:pPr>
      <w:r w:rsidRPr="00F850FC">
        <w:rPr>
          <w:rFonts w:ascii="Arial" w:eastAsia="Calibri" w:hAnsi="Arial" w:cs="Arial"/>
          <w:bCs/>
          <w:i/>
          <w:lang w:val="es-ES"/>
        </w:rPr>
        <w:t xml:space="preserve"> </w:t>
      </w:r>
      <w:r w:rsidR="00F850FC" w:rsidRPr="00F850FC">
        <w:rPr>
          <w:rFonts w:ascii="Arial" w:eastAsia="Calibri" w:hAnsi="Arial" w:cs="Arial"/>
          <w:bCs/>
          <w:i/>
          <w:lang w:val="es-ES"/>
        </w:rPr>
        <w:t>“…</w:t>
      </w:r>
      <w:r w:rsidR="00F850FC" w:rsidRPr="00F850FC">
        <w:rPr>
          <w:rFonts w:ascii="Arial" w:eastAsia="Calibri" w:hAnsi="Arial" w:cs="Arial"/>
          <w:b/>
          <w:bCs/>
          <w:i/>
          <w:lang w:val="es-ES"/>
        </w:rPr>
        <w:t xml:space="preserve">PRIMERO.- </w:t>
      </w:r>
      <w:r w:rsidR="00F850FC" w:rsidRPr="00F850FC">
        <w:rPr>
          <w:rFonts w:ascii="Arial" w:eastAsia="Calibri" w:hAnsi="Arial" w:cs="Arial"/>
          <w:bCs/>
          <w:i/>
          <w:lang w:val="es-ES"/>
        </w:rPr>
        <w:t xml:space="preserve">Esta Primera Sala Unitaria del Tribunal de Justicia Administrativa del Estado de Oaxaca, es competente para conocer y resolver el presente juicio.- - - - </w:t>
      </w:r>
      <w:r w:rsidR="00F850FC" w:rsidRPr="00F850FC">
        <w:rPr>
          <w:rFonts w:ascii="Arial" w:eastAsia="Calibri" w:hAnsi="Arial" w:cs="Arial"/>
          <w:b/>
          <w:bCs/>
          <w:i/>
          <w:lang w:val="es-ES"/>
        </w:rPr>
        <w:lastRenderedPageBreak/>
        <w:t xml:space="preserve">SEGUNDO.- </w:t>
      </w:r>
      <w:r w:rsidR="00F850FC" w:rsidRPr="00F850FC">
        <w:rPr>
          <w:rFonts w:ascii="Arial" w:eastAsia="Calibri" w:hAnsi="Arial" w:cs="Arial"/>
          <w:bCs/>
          <w:i/>
          <w:lang w:val="es-ES"/>
        </w:rPr>
        <w:t>La personalidad de las partes quedó asentada en autos.- - - - - - - - - - - - - - - - - - - - - - - - - - - - -</w:t>
      </w:r>
      <w:r w:rsidR="007E2D30">
        <w:rPr>
          <w:rFonts w:ascii="Arial" w:eastAsia="Calibri" w:hAnsi="Arial" w:cs="Arial"/>
          <w:bCs/>
          <w:i/>
          <w:lang w:val="es-ES"/>
        </w:rPr>
        <w:t xml:space="preserve"> </w:t>
      </w:r>
      <w:r w:rsidR="00F850FC" w:rsidRPr="00F850FC">
        <w:rPr>
          <w:rFonts w:ascii="Arial" w:eastAsia="Calibri" w:hAnsi="Arial" w:cs="Arial"/>
          <w:b/>
          <w:bCs/>
          <w:i/>
          <w:lang w:val="es-ES"/>
        </w:rPr>
        <w:t xml:space="preserve">TERCERO.- </w:t>
      </w:r>
      <w:r w:rsidR="00F850FC" w:rsidRPr="00F850FC">
        <w:rPr>
          <w:rFonts w:ascii="Arial" w:eastAsia="Calibri" w:hAnsi="Arial" w:cs="Arial"/>
          <w:bCs/>
          <w:i/>
          <w:lang w:val="es-ES"/>
        </w:rPr>
        <w:t xml:space="preserve">Se </w:t>
      </w:r>
      <w:r w:rsidR="00F850FC" w:rsidRPr="00F850FC">
        <w:rPr>
          <w:rFonts w:ascii="Arial" w:eastAsia="Calibri" w:hAnsi="Arial" w:cs="Arial"/>
          <w:b/>
          <w:bCs/>
          <w:i/>
          <w:lang w:val="es-ES"/>
        </w:rPr>
        <w:t xml:space="preserve">SOBRESEE EL PRESENTE JUICIO, </w:t>
      </w:r>
      <w:r w:rsidR="00F850FC" w:rsidRPr="00F850FC">
        <w:rPr>
          <w:rFonts w:ascii="Arial" w:eastAsia="Calibri" w:hAnsi="Arial" w:cs="Arial"/>
          <w:bCs/>
          <w:i/>
          <w:lang w:val="es-ES"/>
        </w:rPr>
        <w:t>por las consideraciones enunciadas en el considerando TERCERO de la presente resolución, y, en consecuencia resultan improcedentes las pretensiones reclamadas por el actor.- - - - - - - - - - - - - - - - - - - - -</w:t>
      </w:r>
      <w:r w:rsidR="00751104">
        <w:rPr>
          <w:rFonts w:ascii="Arial" w:eastAsia="Calibri" w:hAnsi="Arial" w:cs="Arial"/>
          <w:bCs/>
          <w:i/>
          <w:lang w:val="es-ES"/>
        </w:rPr>
        <w:t xml:space="preserve"> - - - - - - - - - - - - </w:t>
      </w:r>
      <w:r w:rsidR="007E2D30">
        <w:rPr>
          <w:rFonts w:ascii="Arial" w:eastAsia="Calibri" w:hAnsi="Arial" w:cs="Arial"/>
          <w:bCs/>
          <w:i/>
          <w:lang w:val="es-ES"/>
        </w:rPr>
        <w:t>- - -</w:t>
      </w:r>
      <w:r w:rsidR="00F850FC" w:rsidRPr="00F850FC">
        <w:rPr>
          <w:rFonts w:ascii="Arial" w:eastAsia="Calibri" w:hAnsi="Arial" w:cs="Arial"/>
          <w:bCs/>
          <w:i/>
          <w:lang w:val="es-ES"/>
        </w:rPr>
        <w:t xml:space="preserve"> </w:t>
      </w:r>
      <w:r w:rsidR="00F850FC" w:rsidRPr="00F850FC">
        <w:rPr>
          <w:rFonts w:ascii="Arial" w:eastAsia="Calibri" w:hAnsi="Arial" w:cs="Arial"/>
          <w:b/>
          <w:bCs/>
          <w:i/>
          <w:lang w:val="es-ES"/>
        </w:rPr>
        <w:t xml:space="preserve">CUARTO.- </w:t>
      </w:r>
      <w:r w:rsidR="00F850FC" w:rsidRPr="00F850FC">
        <w:rPr>
          <w:rFonts w:ascii="Arial" w:eastAsia="Calibri" w:hAnsi="Arial" w:cs="Arial"/>
          <w:bCs/>
          <w:i/>
          <w:lang w:val="es-ES"/>
        </w:rPr>
        <w:t xml:space="preserve">Conforme a lo dispuesto en los artículos 142 fracción I y 143 fracciones I y II de la Ley de Justicia Administrativa para el Estado, </w:t>
      </w:r>
      <w:r w:rsidR="00F850FC" w:rsidRPr="00F850FC">
        <w:rPr>
          <w:rFonts w:ascii="Arial" w:eastAsia="Calibri" w:hAnsi="Arial" w:cs="Arial"/>
          <w:b/>
          <w:bCs/>
          <w:i/>
          <w:lang w:val="es-ES"/>
        </w:rPr>
        <w:t xml:space="preserve">NOTIFIQUESE </w:t>
      </w:r>
      <w:r w:rsidR="00F850FC" w:rsidRPr="00F850FC">
        <w:rPr>
          <w:rFonts w:ascii="Arial" w:eastAsia="Calibri" w:hAnsi="Arial" w:cs="Arial"/>
          <w:bCs/>
          <w:i/>
          <w:lang w:val="es-ES"/>
        </w:rPr>
        <w:t xml:space="preserve"> personalmente a la parte actora y por oficio a la autoridad demandada y </w:t>
      </w:r>
      <w:r w:rsidR="00F850FC" w:rsidRPr="00F850FC">
        <w:rPr>
          <w:rFonts w:ascii="Arial" w:eastAsia="Calibri" w:hAnsi="Arial" w:cs="Arial"/>
          <w:b/>
          <w:bCs/>
          <w:i/>
          <w:lang w:val="es-ES"/>
        </w:rPr>
        <w:t>CUMPLASE</w:t>
      </w:r>
      <w:r w:rsidR="00F850FC" w:rsidRPr="00F850FC">
        <w:rPr>
          <w:rFonts w:ascii="Arial" w:eastAsia="Calibri" w:hAnsi="Arial" w:cs="Arial"/>
          <w:bCs/>
          <w:i/>
          <w:lang w:val="es-ES"/>
        </w:rPr>
        <w:t xml:space="preserve">…”- - - - - - - - - - - - - - - - - </w:t>
      </w:r>
      <w:r w:rsidR="00751104">
        <w:rPr>
          <w:rFonts w:ascii="Arial" w:eastAsia="Calibri" w:hAnsi="Arial" w:cs="Arial"/>
          <w:bCs/>
          <w:i/>
          <w:lang w:val="es-ES"/>
        </w:rPr>
        <w:t xml:space="preserve">- - - - </w:t>
      </w:r>
    </w:p>
    <w:p w:rsidR="00456AA7" w:rsidRDefault="00456AA7" w:rsidP="00F850FC">
      <w:pPr>
        <w:widowControl w:val="0"/>
        <w:tabs>
          <w:tab w:val="left" w:pos="7938"/>
        </w:tabs>
        <w:spacing w:after="200" w:line="360" w:lineRule="auto"/>
        <w:ind w:right="18"/>
        <w:jc w:val="both"/>
        <w:rPr>
          <w:rFonts w:ascii="Arial" w:eastAsia="Calibri" w:hAnsi="Arial" w:cs="Arial"/>
          <w:b/>
          <w:bCs/>
          <w:i/>
          <w:iCs/>
          <w:sz w:val="26"/>
          <w:szCs w:val="26"/>
        </w:rPr>
      </w:pPr>
    </w:p>
    <w:p w:rsidR="00456AA7" w:rsidRDefault="00456AA7" w:rsidP="00456AA7">
      <w:pPr>
        <w:widowControl w:val="0"/>
        <w:tabs>
          <w:tab w:val="left" w:pos="7938"/>
        </w:tabs>
        <w:spacing w:after="200" w:line="360" w:lineRule="auto"/>
        <w:ind w:right="18"/>
        <w:jc w:val="center"/>
        <w:rPr>
          <w:rFonts w:ascii="Arial" w:eastAsia="Calibri" w:hAnsi="Arial" w:cs="Arial"/>
          <w:b/>
          <w:bCs/>
          <w:iCs/>
          <w:sz w:val="26"/>
          <w:szCs w:val="26"/>
        </w:rPr>
      </w:pPr>
      <w:r>
        <w:rPr>
          <w:rFonts w:ascii="Arial" w:eastAsia="Calibri" w:hAnsi="Arial" w:cs="Arial"/>
          <w:b/>
          <w:bCs/>
          <w:iCs/>
          <w:sz w:val="26"/>
          <w:szCs w:val="26"/>
        </w:rPr>
        <w:t>C O N S I D E R A N D O</w:t>
      </w:r>
    </w:p>
    <w:p w:rsidR="00456AA7" w:rsidRDefault="00456AA7" w:rsidP="00F850FC">
      <w:pPr>
        <w:widowControl w:val="0"/>
        <w:tabs>
          <w:tab w:val="left" w:pos="7938"/>
        </w:tabs>
        <w:spacing w:after="200" w:line="360" w:lineRule="auto"/>
        <w:ind w:right="18"/>
        <w:jc w:val="both"/>
        <w:rPr>
          <w:rFonts w:ascii="Arial" w:eastAsia="Calibri" w:hAnsi="Arial" w:cs="Arial"/>
          <w:bCs/>
          <w:iCs/>
          <w:sz w:val="26"/>
          <w:szCs w:val="26"/>
          <w:lang w:val="es-ES" w:eastAsia="es-ES"/>
        </w:rPr>
      </w:pPr>
      <w:r>
        <w:rPr>
          <w:rFonts w:ascii="Arial" w:eastAsia="Calibri" w:hAnsi="Arial" w:cs="Arial"/>
          <w:b/>
          <w:bCs/>
          <w:iCs/>
          <w:sz w:val="26"/>
          <w:szCs w:val="26"/>
          <w:lang w:val="es-ES"/>
        </w:rPr>
        <w:t xml:space="preserve">        </w:t>
      </w:r>
      <w:r w:rsidR="00F850FC" w:rsidRPr="00F850FC">
        <w:rPr>
          <w:rFonts w:ascii="Arial" w:eastAsia="Calibri" w:hAnsi="Arial" w:cs="Arial"/>
          <w:b/>
          <w:bCs/>
          <w:iCs/>
          <w:sz w:val="26"/>
          <w:szCs w:val="26"/>
          <w:lang w:val="es-ES"/>
        </w:rPr>
        <w:t xml:space="preserve">PRIMERO. </w:t>
      </w:r>
      <w:r w:rsidR="007E2D30">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así como los diversos 86, 88, 92, 93, fracción I, 94, 201, 206 y 208, de la Ley de Justicia Administrativa para el Estado de Oaxaca, aplicable por la ser la que estaba vigente al inicio de juicio principal, </w:t>
      </w:r>
      <w:r w:rsidR="00F850FC" w:rsidRPr="00F850FC">
        <w:rPr>
          <w:rFonts w:ascii="Arial" w:eastAsia="Calibri" w:hAnsi="Arial" w:cs="Arial"/>
          <w:bCs/>
          <w:iCs/>
          <w:sz w:val="26"/>
          <w:szCs w:val="26"/>
          <w:lang w:val="es-ES" w:eastAsia="es-ES"/>
        </w:rPr>
        <w:t xml:space="preserve">dado que se trata de la resolución de 15 quince de octubre de 2018 dos mil dieciocho, dictada por la Magistrada de la Primera Sala de Primera Instancia en el expediente </w:t>
      </w:r>
      <w:r w:rsidR="00F850FC" w:rsidRPr="00F850FC">
        <w:rPr>
          <w:rFonts w:ascii="Arial" w:eastAsia="Calibri" w:hAnsi="Arial" w:cs="Arial"/>
          <w:b/>
          <w:bCs/>
          <w:iCs/>
          <w:sz w:val="26"/>
          <w:szCs w:val="26"/>
          <w:lang w:val="es-ES" w:eastAsia="es-ES"/>
        </w:rPr>
        <w:t>0003/2017.</w:t>
      </w:r>
    </w:p>
    <w:p w:rsidR="00F850FC" w:rsidRPr="00F850FC" w:rsidRDefault="00456AA7" w:rsidP="00F850FC">
      <w:pPr>
        <w:widowControl w:val="0"/>
        <w:tabs>
          <w:tab w:val="left" w:pos="7938"/>
        </w:tabs>
        <w:spacing w:after="200" w:line="360" w:lineRule="auto"/>
        <w:ind w:right="18"/>
        <w:jc w:val="both"/>
        <w:rPr>
          <w:rFonts w:ascii="Arial" w:eastAsia="Calibri" w:hAnsi="Arial" w:cs="Arial"/>
          <w:b/>
          <w:bCs/>
          <w:i/>
          <w:iCs/>
          <w:sz w:val="26"/>
          <w:szCs w:val="26"/>
        </w:rPr>
      </w:pPr>
      <w:r>
        <w:rPr>
          <w:rFonts w:ascii="Arial" w:eastAsia="Calibri" w:hAnsi="Arial" w:cs="Arial"/>
          <w:bCs/>
          <w:iCs/>
          <w:sz w:val="26"/>
          <w:szCs w:val="26"/>
          <w:lang w:val="es-ES" w:eastAsia="es-ES"/>
        </w:rPr>
        <w:t xml:space="preserve">       </w:t>
      </w:r>
      <w:r w:rsidR="00F850FC" w:rsidRPr="00F850FC">
        <w:rPr>
          <w:rFonts w:ascii="Arial" w:eastAsia="Calibri" w:hAnsi="Arial" w:cs="Arial"/>
          <w:b/>
          <w:bCs/>
          <w:sz w:val="26"/>
          <w:szCs w:val="26"/>
          <w:lang w:val="es-ES"/>
        </w:rPr>
        <w:t>SEGUNDO.</w:t>
      </w:r>
      <w:r w:rsidR="00F850FC" w:rsidRPr="00F850FC">
        <w:rPr>
          <w:rFonts w:ascii="Arial" w:eastAsia="Calibri" w:hAnsi="Arial" w:cs="Arial"/>
          <w:b/>
          <w:bCs/>
          <w:sz w:val="26"/>
          <w:szCs w:val="26"/>
        </w:rPr>
        <w:t xml:space="preserve"> </w:t>
      </w:r>
      <w:r w:rsidR="00F850FC" w:rsidRPr="00F850FC">
        <w:rPr>
          <w:rFonts w:ascii="Arial" w:eastAsia="Calibri" w:hAnsi="Arial" w:cs="Arial"/>
          <w:bCs/>
          <w:sz w:val="26"/>
          <w:szCs w:val="26"/>
          <w:lang w:eastAsia="es-MX"/>
        </w:rPr>
        <w:t>El agravio hecho valer se encuentra expuesto en el escrito del recurrente, por lo que no existe necesidad de transcribirlos, virtud a que ello no implica transgresión a derecho alguno, como tampoco se vulnera disposición expresa que imponga tal obligación</w:t>
      </w:r>
      <w:r w:rsidR="00F850FC" w:rsidRPr="00F850FC">
        <w:rPr>
          <w:rFonts w:ascii="Arial" w:eastAsia="Times New Roman" w:hAnsi="Arial" w:cs="Arial"/>
          <w:sz w:val="26"/>
          <w:szCs w:val="26"/>
          <w:lang w:eastAsia="es-MX"/>
        </w:rPr>
        <w:t>.</w:t>
      </w:r>
      <w:r w:rsidR="00F850FC" w:rsidRPr="00F850FC">
        <w:rPr>
          <w:rFonts w:ascii="Arial" w:eastAsia="Calibri" w:hAnsi="Arial" w:cs="Arial"/>
          <w:bCs/>
          <w:sz w:val="26"/>
          <w:szCs w:val="26"/>
          <w:lang w:eastAsia="es-MX"/>
        </w:rPr>
        <w:t xml:space="preserve"> Se invoca en apoyo, la Tesis, con número de registro 254280, publicada en la Gaceta del Semanario Judicial de la Federación, Volumen 81, Sexta Parte, Séptima Época, pagina 23, bajo el rubro y texto siguiente</w:t>
      </w:r>
      <w:r w:rsidR="00F850FC" w:rsidRPr="00F850FC">
        <w:rPr>
          <w:rFonts w:ascii="Arial" w:eastAsia="Times New Roman" w:hAnsi="Arial" w:cs="Arial"/>
          <w:lang w:eastAsia="es-MX"/>
        </w:rPr>
        <w:t xml:space="preserve">: </w:t>
      </w:r>
    </w:p>
    <w:p w:rsidR="00F850FC" w:rsidRDefault="00F850FC" w:rsidP="00F850FC">
      <w:pPr>
        <w:spacing w:after="200" w:line="276" w:lineRule="auto"/>
        <w:ind w:left="1134" w:right="900"/>
        <w:jc w:val="both"/>
        <w:rPr>
          <w:rFonts w:ascii="Arial" w:eastAsia="Times New Roman" w:hAnsi="Arial" w:cs="Arial"/>
          <w:lang w:eastAsia="es-MX"/>
        </w:rPr>
      </w:pPr>
      <w:r w:rsidRPr="00F850FC">
        <w:rPr>
          <w:rFonts w:ascii="Arial" w:eastAsia="Times New Roman" w:hAnsi="Arial" w:cs="Arial"/>
          <w:b/>
          <w:bCs/>
          <w:lang w:eastAsia="es-MX"/>
        </w:rPr>
        <w:t>“</w:t>
      </w:r>
      <w:r w:rsidRPr="00F850FC">
        <w:rPr>
          <w:rFonts w:ascii="Arial" w:eastAsia="Times New Roman" w:hAnsi="Arial" w:cs="Arial"/>
          <w:b/>
          <w:i/>
          <w:lang w:eastAsia="es-MX"/>
        </w:rPr>
        <w:t xml:space="preserve">CONCEPTOS DE VIOLACIÓN. NO ES OBLIGATORIO TRANSCRIBIRLOS EN LA SENTENCIA. </w:t>
      </w:r>
      <w:r w:rsidRPr="00F850FC">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Pr="00F850FC">
        <w:rPr>
          <w:rFonts w:ascii="Arial" w:eastAsia="Times New Roman" w:hAnsi="Arial" w:cs="Arial"/>
          <w:bCs/>
          <w:i/>
          <w:bdr w:val="none" w:sz="0" w:space="0" w:color="auto" w:frame="1"/>
          <w:lang w:eastAsia="es-MX"/>
        </w:rPr>
        <w:t>es</w:t>
      </w:r>
      <w:r w:rsidRPr="00F850FC">
        <w:rPr>
          <w:rFonts w:ascii="Arial" w:eastAsia="Times New Roman"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456AA7">
        <w:rPr>
          <w:rFonts w:ascii="Arial" w:eastAsia="Times New Roman" w:hAnsi="Arial" w:cs="Arial"/>
          <w:lang w:eastAsia="es-MX"/>
        </w:rPr>
        <w:t>(sic).”</w:t>
      </w:r>
    </w:p>
    <w:p w:rsidR="00456AA7" w:rsidRPr="00F850FC" w:rsidRDefault="00456AA7" w:rsidP="00F850FC">
      <w:pPr>
        <w:spacing w:after="200" w:line="276" w:lineRule="auto"/>
        <w:ind w:left="1134" w:right="900"/>
        <w:jc w:val="both"/>
        <w:rPr>
          <w:rFonts w:ascii="Arial" w:eastAsia="Times New Roman" w:hAnsi="Arial" w:cs="Arial"/>
          <w:lang w:eastAsia="es-MX"/>
        </w:rPr>
      </w:pPr>
    </w:p>
    <w:p w:rsidR="00456AA7" w:rsidRDefault="00456AA7" w:rsidP="00F850FC">
      <w:pPr>
        <w:spacing w:before="240" w:after="200" w:line="360" w:lineRule="auto"/>
        <w:jc w:val="both"/>
        <w:rPr>
          <w:rFonts w:ascii="Arial" w:eastAsia="Calibri" w:hAnsi="Arial" w:cs="Arial"/>
          <w:bCs/>
          <w:sz w:val="26"/>
          <w:szCs w:val="26"/>
        </w:rPr>
      </w:pPr>
      <w:r>
        <w:rPr>
          <w:rFonts w:ascii="Arial" w:eastAsia="Calibri" w:hAnsi="Arial" w:cs="Arial"/>
          <w:b/>
          <w:bCs/>
          <w:sz w:val="26"/>
          <w:szCs w:val="26"/>
          <w:lang w:val="es-ES"/>
        </w:rPr>
        <w:lastRenderedPageBreak/>
        <w:t xml:space="preserve">          </w:t>
      </w:r>
      <w:r w:rsidR="00F850FC" w:rsidRPr="00F850FC">
        <w:rPr>
          <w:rFonts w:ascii="Arial" w:eastAsia="Calibri" w:hAnsi="Arial" w:cs="Arial"/>
          <w:b/>
          <w:bCs/>
          <w:sz w:val="26"/>
          <w:szCs w:val="26"/>
          <w:lang w:val="es-ES"/>
        </w:rPr>
        <w:t>TERCERO.</w:t>
      </w:r>
      <w:r w:rsidR="00F850FC" w:rsidRPr="00F850FC">
        <w:rPr>
          <w:rFonts w:ascii="Arial" w:eastAsia="Calibri" w:hAnsi="Arial" w:cs="Arial"/>
          <w:b/>
          <w:bCs/>
          <w:sz w:val="26"/>
          <w:szCs w:val="26"/>
        </w:rPr>
        <w:t xml:space="preserve"> </w:t>
      </w:r>
      <w:r w:rsidR="00F850FC" w:rsidRPr="00F850FC">
        <w:rPr>
          <w:rFonts w:ascii="Arial" w:eastAsia="Calibri" w:hAnsi="Arial" w:cs="Arial"/>
          <w:bCs/>
          <w:sz w:val="26"/>
          <w:szCs w:val="26"/>
        </w:rPr>
        <w:t>Señala el inconforme que le causa agravio la resolución que recurre, en virtud de que la Primera Instancia sin hacer algún análisis de la demanda y del expediente, en términos de los artículos 131 fracción III y 132 fracción II de la Ley de Justicia Administrativa para el Estado de Oaxaca, sobresee el juicio de nulidad que promovió, bajo el criterio de que no demostró la afectación a sus intereses jurídicos o legítimos, contraviniendo con dicha determinación lo dispuesto por el artículo 134 de la Ley de la materia, pues dice que en el presente juicio está plenamente demostrado su interés legítimo para demandar, tal como se desprende de la resolución dictada en el recurso de revisión 240/2017 de la Sala Superior de este Tribunal.</w:t>
      </w:r>
    </w:p>
    <w:p w:rsidR="00456AA7" w:rsidRDefault="00A62F36" w:rsidP="00456AA7">
      <w:pPr>
        <w:spacing w:before="240" w:after="200" w:line="360" w:lineRule="auto"/>
        <w:ind w:firstLine="708"/>
        <w:jc w:val="both"/>
        <w:rPr>
          <w:rFonts w:ascii="Arial" w:eastAsia="Calibri" w:hAnsi="Arial" w:cs="Arial"/>
          <w:bCs/>
          <w:sz w:val="26"/>
          <w:szCs w:val="26"/>
        </w:rPr>
      </w:pPr>
      <w:r>
        <w:rPr>
          <w:rFonts w:ascii="Arial" w:eastAsia="Calibri" w:hAnsi="Arial" w:cs="Arial"/>
          <w:bCs/>
          <w:sz w:val="26"/>
          <w:szCs w:val="26"/>
        </w:rPr>
        <w:t>Asimismo,</w:t>
      </w:r>
      <w:r w:rsidR="00F850FC" w:rsidRPr="00F850FC">
        <w:rPr>
          <w:rFonts w:ascii="Arial" w:eastAsia="Calibri" w:hAnsi="Arial" w:cs="Arial"/>
          <w:bCs/>
          <w:sz w:val="26"/>
          <w:szCs w:val="26"/>
        </w:rPr>
        <w:t xml:space="preserve"> manifiesta que los actos de autoridad administrativa que impugna en su demanda, violentan su interés legítimo como concesionario de transporte, calidad que demuestra con la copia certificada de su prorroga de concesión, así como también se afecta a la población en general, pues es finalmente a los miembros de la sociedad a qui</w:t>
      </w:r>
      <w:r w:rsidR="00456AA7">
        <w:rPr>
          <w:rFonts w:ascii="Arial" w:eastAsia="Calibri" w:hAnsi="Arial" w:cs="Arial"/>
          <w:bCs/>
          <w:sz w:val="26"/>
          <w:szCs w:val="26"/>
        </w:rPr>
        <w:t>enes se les presta el servicio.</w:t>
      </w:r>
    </w:p>
    <w:p w:rsidR="00456AA7" w:rsidRDefault="00F850FC" w:rsidP="00456AA7">
      <w:pPr>
        <w:spacing w:before="240" w:after="200" w:line="360" w:lineRule="auto"/>
        <w:ind w:firstLine="708"/>
        <w:jc w:val="both"/>
        <w:rPr>
          <w:rFonts w:ascii="Arial" w:eastAsia="Calibri" w:hAnsi="Arial" w:cs="Arial"/>
          <w:bCs/>
          <w:sz w:val="26"/>
          <w:szCs w:val="26"/>
        </w:rPr>
      </w:pPr>
      <w:r w:rsidRPr="00F850FC">
        <w:rPr>
          <w:rFonts w:ascii="Arial" w:eastAsia="Calibri" w:hAnsi="Arial" w:cs="Arial"/>
          <w:bCs/>
          <w:sz w:val="26"/>
          <w:szCs w:val="26"/>
        </w:rPr>
        <w:t>Dice que el interés legítimo supone únicamente la existencia de un interés respecto de la legalidad de determinados actos, interés que no proviene de la afectación a la esfera jurídica del individuo, sino directa o indirectamente de su situación particular respecto al orden jurídico, que el interés legítimo se dirige a garantizar tales derechos, pero vinculados con actos atribuibles a autoridades administrativas que afecten a personas o a determinados núcleos sociales; por lo que señala que al estar demostrado el interés legítimo que le asiste debe revocarse el sobre</w:t>
      </w:r>
      <w:r w:rsidR="00456AA7">
        <w:rPr>
          <w:rFonts w:ascii="Arial" w:eastAsia="Calibri" w:hAnsi="Arial" w:cs="Arial"/>
          <w:bCs/>
          <w:sz w:val="26"/>
          <w:szCs w:val="26"/>
        </w:rPr>
        <w:t>seimiento del presente juicio.</w:t>
      </w:r>
    </w:p>
    <w:p w:rsidR="00456AA7" w:rsidRDefault="00F850FC" w:rsidP="00456AA7">
      <w:pPr>
        <w:spacing w:before="240" w:after="200" w:line="360" w:lineRule="auto"/>
        <w:ind w:firstLine="708"/>
        <w:jc w:val="both"/>
        <w:rPr>
          <w:rFonts w:ascii="Arial" w:eastAsia="Calibri" w:hAnsi="Arial" w:cs="Arial"/>
          <w:bCs/>
          <w:color w:val="000000"/>
          <w:sz w:val="26"/>
          <w:szCs w:val="26"/>
        </w:rPr>
      </w:pPr>
      <w:r w:rsidRPr="00F850FC">
        <w:rPr>
          <w:rFonts w:ascii="Arial" w:eastAsia="Calibri" w:hAnsi="Arial" w:cs="Arial"/>
          <w:bCs/>
          <w:sz w:val="26"/>
          <w:szCs w:val="26"/>
        </w:rPr>
        <w:t>D</w:t>
      </w:r>
      <w:r w:rsidRPr="00F850FC">
        <w:rPr>
          <w:rFonts w:ascii="Arial" w:eastAsia="Calibri" w:hAnsi="Arial" w:cs="Arial"/>
          <w:bCs/>
          <w:color w:val="000000"/>
          <w:sz w:val="26"/>
          <w:szCs w:val="26"/>
        </w:rPr>
        <w:t>el  análisis de las constancias que integran el expediente principal, las cuales  fueron remitidas para la sustanciación del presente recurso de revisión y que hacen prueba plena en términos del artículo 173 fracción I de la Ley de Justicia Administrativa para el Esta</w:t>
      </w:r>
      <w:r w:rsidR="00456AA7">
        <w:rPr>
          <w:rFonts w:ascii="Arial" w:eastAsia="Calibri" w:hAnsi="Arial" w:cs="Arial"/>
          <w:bCs/>
          <w:color w:val="000000"/>
          <w:sz w:val="26"/>
          <w:szCs w:val="26"/>
        </w:rPr>
        <w:t xml:space="preserve">do de Oaxaca, </w:t>
      </w:r>
      <w:r w:rsidR="00FD3199">
        <w:rPr>
          <w:rFonts w:ascii="Arial" w:eastAsia="Calibri" w:hAnsi="Arial" w:cs="Arial"/>
          <w:bCs/>
          <w:color w:val="000000"/>
          <w:sz w:val="26"/>
          <w:szCs w:val="26"/>
        </w:rPr>
        <w:t xml:space="preserve">vigente hasta el veinte de octubre de dos mil diecisiete, </w:t>
      </w:r>
      <w:r w:rsidR="00456AA7">
        <w:rPr>
          <w:rFonts w:ascii="Arial" w:eastAsia="Calibri" w:hAnsi="Arial" w:cs="Arial"/>
          <w:bCs/>
          <w:color w:val="000000"/>
          <w:sz w:val="26"/>
          <w:szCs w:val="26"/>
        </w:rPr>
        <w:t>se advierte que:</w:t>
      </w:r>
    </w:p>
    <w:p w:rsidR="00F850FC" w:rsidRPr="00A62F36" w:rsidRDefault="00F850FC" w:rsidP="00A62F36">
      <w:pPr>
        <w:numPr>
          <w:ilvl w:val="0"/>
          <w:numId w:val="8"/>
        </w:numPr>
        <w:spacing w:before="240" w:after="200" w:line="360" w:lineRule="auto"/>
        <w:contextualSpacing/>
        <w:jc w:val="both"/>
        <w:rPr>
          <w:rFonts w:ascii="Arial" w:eastAsia="Calibri" w:hAnsi="Arial" w:cs="Arial"/>
          <w:bCs/>
          <w:color w:val="000000"/>
          <w:sz w:val="26"/>
          <w:szCs w:val="26"/>
        </w:rPr>
      </w:pPr>
      <w:r w:rsidRPr="00F850FC">
        <w:rPr>
          <w:rFonts w:ascii="Arial" w:eastAsia="Calibri" w:hAnsi="Arial" w:cs="Arial"/>
          <w:bCs/>
          <w:color w:val="000000"/>
          <w:sz w:val="26"/>
          <w:szCs w:val="26"/>
        </w:rPr>
        <w:t xml:space="preserve">Mediante acuerdo de 5 cinco de enero de 2017 dos mil diecisiete, la Primera Instancia requirió a </w:t>
      </w:r>
      <w:r w:rsidR="005A48BB">
        <w:rPr>
          <w:rFonts w:ascii="Arial" w:eastAsia="Calibri" w:hAnsi="Arial" w:cs="Arial"/>
          <w:bCs/>
          <w:color w:val="000000"/>
          <w:sz w:val="26"/>
          <w:szCs w:val="26"/>
        </w:rPr>
        <w:t>**********</w:t>
      </w:r>
      <w:r w:rsidRPr="00F850FC">
        <w:rPr>
          <w:rFonts w:ascii="Arial" w:eastAsia="Calibri" w:hAnsi="Arial" w:cs="Arial"/>
          <w:bCs/>
          <w:color w:val="000000"/>
          <w:sz w:val="26"/>
          <w:szCs w:val="26"/>
        </w:rPr>
        <w:t xml:space="preserve">, a efecto de que exhibiera el acto impugnado consistente en el estudio técnico de factibilidad realizado en la población de Villa </w:t>
      </w:r>
      <w:r w:rsidRPr="00F850FC">
        <w:rPr>
          <w:rFonts w:ascii="Arial" w:eastAsia="Calibri" w:hAnsi="Arial" w:cs="Arial"/>
          <w:bCs/>
          <w:color w:val="000000"/>
          <w:sz w:val="26"/>
          <w:szCs w:val="26"/>
        </w:rPr>
        <w:lastRenderedPageBreak/>
        <w:t>Tejupam de la Unión o bien señalara el lugar donde se encuentre, apercibido que de no cumplir con dicha determinación se desecharía su demanda de nulidad.-</w:t>
      </w:r>
      <w:r w:rsidR="00B26E81">
        <w:rPr>
          <w:rFonts w:ascii="Arial" w:eastAsia="Calibri" w:hAnsi="Arial" w:cs="Arial"/>
          <w:bCs/>
          <w:color w:val="000000"/>
          <w:sz w:val="26"/>
          <w:szCs w:val="26"/>
        </w:rPr>
        <w:t xml:space="preserve"> </w:t>
      </w:r>
    </w:p>
    <w:p w:rsidR="00F850FC" w:rsidRPr="00F850FC" w:rsidRDefault="00F850FC" w:rsidP="00F850FC">
      <w:pPr>
        <w:numPr>
          <w:ilvl w:val="0"/>
          <w:numId w:val="8"/>
        </w:numPr>
        <w:spacing w:before="240" w:after="200" w:line="360" w:lineRule="auto"/>
        <w:contextualSpacing/>
        <w:jc w:val="both"/>
        <w:rPr>
          <w:rFonts w:ascii="Arial" w:eastAsia="Calibri" w:hAnsi="Arial" w:cs="Arial"/>
          <w:bCs/>
          <w:color w:val="000000"/>
          <w:sz w:val="26"/>
          <w:szCs w:val="26"/>
        </w:rPr>
      </w:pPr>
      <w:r w:rsidRPr="00F850FC">
        <w:rPr>
          <w:rFonts w:ascii="Arial" w:eastAsia="Calibri" w:hAnsi="Arial" w:cs="Arial"/>
          <w:bCs/>
          <w:color w:val="000000"/>
          <w:sz w:val="26"/>
          <w:szCs w:val="26"/>
        </w:rPr>
        <w:t>Por auto de 27 veintisiete de febrero de 2017 dos mil diecisiete, se dio cuenta con el escrito del actor fechado el 22 veintidós de febrero siguiente; en ese mismo acuerdo la Primera Instancia desechó la demanda de nulidad del actor, al advertir que con los actos administrativos de las autoridades demandadas, no se veía afectado el interés legítimo del actor, sino que únicamente se apreciaba que no estaba de acuerdo o conforme a que diversas personas hayan sido beneficiadas para prestar el servicio público de taxi en su comunidad; determinación que</w:t>
      </w:r>
      <w:r w:rsidR="00456AA7">
        <w:rPr>
          <w:rFonts w:ascii="Arial" w:eastAsia="Calibri" w:hAnsi="Arial" w:cs="Arial"/>
          <w:bCs/>
          <w:color w:val="000000"/>
          <w:sz w:val="26"/>
          <w:szCs w:val="26"/>
        </w:rPr>
        <w:t xml:space="preserve"> fue recurrida por el actor.</w:t>
      </w:r>
    </w:p>
    <w:p w:rsidR="00F850FC" w:rsidRPr="00F850FC" w:rsidRDefault="00F850FC" w:rsidP="00F850FC">
      <w:pPr>
        <w:numPr>
          <w:ilvl w:val="0"/>
          <w:numId w:val="8"/>
        </w:numPr>
        <w:spacing w:before="240" w:after="200" w:line="360" w:lineRule="auto"/>
        <w:contextualSpacing/>
        <w:jc w:val="both"/>
        <w:rPr>
          <w:rFonts w:ascii="Arial" w:eastAsia="Calibri" w:hAnsi="Arial" w:cs="Arial"/>
          <w:bCs/>
          <w:color w:val="000000"/>
          <w:sz w:val="26"/>
          <w:szCs w:val="26"/>
        </w:rPr>
      </w:pPr>
      <w:r w:rsidRPr="00F850FC">
        <w:rPr>
          <w:rFonts w:ascii="Arial" w:eastAsia="Calibri" w:hAnsi="Arial" w:cs="Arial"/>
          <w:bCs/>
          <w:color w:val="000000"/>
          <w:sz w:val="26"/>
          <w:szCs w:val="26"/>
        </w:rPr>
        <w:t>El 31 treinta y uno de agosto de 2017 dos mil diecisiete, la Sala Superior de entonces Tribunal de lo Contencioso Administrativo y de</w:t>
      </w:r>
      <w:r w:rsidR="00A62F36">
        <w:rPr>
          <w:rFonts w:ascii="Arial" w:eastAsia="Calibri" w:hAnsi="Arial" w:cs="Arial"/>
          <w:bCs/>
          <w:color w:val="000000"/>
          <w:sz w:val="26"/>
          <w:szCs w:val="26"/>
        </w:rPr>
        <w:t>l</w:t>
      </w:r>
      <w:r w:rsidRPr="00F850FC">
        <w:rPr>
          <w:rFonts w:ascii="Arial" w:eastAsia="Calibri" w:hAnsi="Arial" w:cs="Arial"/>
          <w:bCs/>
          <w:color w:val="000000"/>
          <w:sz w:val="26"/>
          <w:szCs w:val="26"/>
        </w:rPr>
        <w:t xml:space="preserve"> Cuentas del Poder Judicial del Estado, emitió resolución en la que revocó el acuerdo de 27 veintisiete de febrero de 2017 dos mil diecisiete, a efecto de que se admitiera a trámite la demanda de nulidad del aquí recurrente, al precisar que la Primera Instancia ilegalmente estimó que los actos impugnados no afectan los</w:t>
      </w:r>
      <w:r w:rsidR="00456AA7">
        <w:rPr>
          <w:rFonts w:ascii="Arial" w:eastAsia="Calibri" w:hAnsi="Arial" w:cs="Arial"/>
          <w:bCs/>
          <w:color w:val="000000"/>
          <w:sz w:val="26"/>
          <w:szCs w:val="26"/>
        </w:rPr>
        <w:t xml:space="preserve"> intereses legítimos del actor.</w:t>
      </w:r>
      <w:r w:rsidR="007E2D30">
        <w:rPr>
          <w:rFonts w:ascii="Arial" w:eastAsia="Calibri" w:hAnsi="Arial" w:cs="Arial"/>
          <w:bCs/>
          <w:color w:val="000000"/>
          <w:sz w:val="26"/>
          <w:szCs w:val="26"/>
        </w:rPr>
        <w:t xml:space="preserve"> </w:t>
      </w:r>
    </w:p>
    <w:p w:rsidR="00F850FC" w:rsidRPr="00F850FC" w:rsidRDefault="00F850FC" w:rsidP="00F850FC">
      <w:pPr>
        <w:numPr>
          <w:ilvl w:val="0"/>
          <w:numId w:val="8"/>
        </w:numPr>
        <w:spacing w:before="240" w:after="200" w:line="360" w:lineRule="auto"/>
        <w:contextualSpacing/>
        <w:jc w:val="both"/>
        <w:rPr>
          <w:rFonts w:ascii="Arial" w:eastAsia="Calibri" w:hAnsi="Arial" w:cs="Arial"/>
          <w:bCs/>
          <w:color w:val="000000"/>
          <w:sz w:val="26"/>
          <w:szCs w:val="26"/>
        </w:rPr>
      </w:pPr>
      <w:r w:rsidRPr="00F850FC">
        <w:rPr>
          <w:rFonts w:ascii="Arial" w:eastAsia="Calibri" w:hAnsi="Arial" w:cs="Arial"/>
          <w:bCs/>
          <w:color w:val="000000"/>
          <w:sz w:val="26"/>
          <w:szCs w:val="26"/>
        </w:rPr>
        <w:t xml:space="preserve">En el proveído de 17 diecisiete de noviembre de 2017 dos mil diecisiete, </w:t>
      </w:r>
      <w:r w:rsidR="00DF26F3">
        <w:rPr>
          <w:rFonts w:ascii="Arial" w:eastAsia="Calibri" w:hAnsi="Arial" w:cs="Arial"/>
          <w:bCs/>
          <w:color w:val="000000"/>
          <w:sz w:val="26"/>
          <w:szCs w:val="26"/>
        </w:rPr>
        <w:t xml:space="preserve">se admitió la demanda del actor en la que </w:t>
      </w:r>
      <w:r w:rsidR="00230AB0">
        <w:rPr>
          <w:rFonts w:ascii="Arial" w:eastAsia="Calibri" w:hAnsi="Arial" w:cs="Arial"/>
          <w:bCs/>
          <w:color w:val="000000"/>
          <w:sz w:val="26"/>
          <w:szCs w:val="26"/>
        </w:rPr>
        <w:t xml:space="preserve">se le tuvo </w:t>
      </w:r>
      <w:r w:rsidR="00DF26F3">
        <w:rPr>
          <w:rFonts w:ascii="Arial" w:eastAsia="Calibri" w:hAnsi="Arial" w:cs="Arial"/>
          <w:bCs/>
          <w:color w:val="000000"/>
          <w:sz w:val="26"/>
          <w:szCs w:val="26"/>
        </w:rPr>
        <w:t>impugna</w:t>
      </w:r>
      <w:r w:rsidR="00230AB0">
        <w:rPr>
          <w:rFonts w:ascii="Arial" w:eastAsia="Calibri" w:hAnsi="Arial" w:cs="Arial"/>
          <w:bCs/>
          <w:color w:val="000000"/>
          <w:sz w:val="26"/>
          <w:szCs w:val="26"/>
        </w:rPr>
        <w:t>ndo los siguientes actos</w:t>
      </w:r>
      <w:r w:rsidR="00DF26F3">
        <w:rPr>
          <w:rFonts w:ascii="Arial" w:eastAsia="Calibri" w:hAnsi="Arial" w:cs="Arial"/>
          <w:bCs/>
          <w:color w:val="000000"/>
          <w:sz w:val="26"/>
          <w:szCs w:val="26"/>
        </w:rPr>
        <w:t xml:space="preserve">: a) El dictamen mediante el cual se declara cerrada la instrucción del procedimiento de otorgamiento de concesiones, b) </w:t>
      </w:r>
      <w:r w:rsidR="008E0FC0">
        <w:rPr>
          <w:rFonts w:ascii="Arial" w:eastAsia="Calibri" w:hAnsi="Arial" w:cs="Arial"/>
          <w:bCs/>
          <w:color w:val="000000"/>
          <w:sz w:val="26"/>
          <w:szCs w:val="26"/>
        </w:rPr>
        <w:t xml:space="preserve">El estudio técnico de factibilidad realizado en la Población de Villa de Tejupam de la Unión, Distrito de Teposcolua, Oaxaca; c) </w:t>
      </w:r>
      <w:r w:rsidR="00DF26F3">
        <w:rPr>
          <w:rFonts w:ascii="Arial" w:eastAsia="Calibri" w:hAnsi="Arial" w:cs="Arial"/>
          <w:bCs/>
          <w:color w:val="000000"/>
          <w:sz w:val="26"/>
          <w:szCs w:val="26"/>
        </w:rPr>
        <w:t>La convocatoria al procedimiento</w:t>
      </w:r>
      <w:r w:rsidR="008E0FC0">
        <w:rPr>
          <w:rFonts w:ascii="Arial" w:eastAsia="Calibri" w:hAnsi="Arial" w:cs="Arial"/>
          <w:bCs/>
          <w:color w:val="000000"/>
          <w:sz w:val="26"/>
          <w:szCs w:val="26"/>
        </w:rPr>
        <w:t xml:space="preserve"> para el otorgamiento de concesiones para la prestación del servicio público de transporte en la modalidad de taxi; d) La resolución dictada el 21 veintiuno de octubre de 2016 dos mil dieciséis, dictada por el Secretario de Vialidad y Transporte, asistido del Director de Concesiones y Director Jurídico de esa </w:t>
      </w:r>
      <w:r w:rsidR="00230AB0">
        <w:rPr>
          <w:rFonts w:ascii="Arial" w:eastAsia="Calibri" w:hAnsi="Arial" w:cs="Arial"/>
          <w:bCs/>
          <w:color w:val="000000"/>
          <w:sz w:val="26"/>
          <w:szCs w:val="26"/>
        </w:rPr>
        <w:t>dependencia</w:t>
      </w:r>
      <w:r w:rsidR="008E0FC0">
        <w:rPr>
          <w:rFonts w:ascii="Arial" w:eastAsia="Calibri" w:hAnsi="Arial" w:cs="Arial"/>
          <w:bCs/>
          <w:color w:val="000000"/>
          <w:sz w:val="26"/>
          <w:szCs w:val="26"/>
        </w:rPr>
        <w:t>.</w:t>
      </w:r>
      <w:r w:rsidR="00DF26F3">
        <w:rPr>
          <w:rFonts w:ascii="Arial" w:eastAsia="Calibri" w:hAnsi="Arial" w:cs="Arial"/>
          <w:bCs/>
          <w:color w:val="000000"/>
          <w:sz w:val="26"/>
          <w:szCs w:val="26"/>
        </w:rPr>
        <w:t xml:space="preserve"> </w:t>
      </w:r>
      <w:r w:rsidR="00230AB0">
        <w:rPr>
          <w:rFonts w:ascii="Arial" w:eastAsia="Calibri" w:hAnsi="Arial" w:cs="Arial"/>
          <w:bCs/>
          <w:color w:val="000000"/>
          <w:sz w:val="26"/>
          <w:szCs w:val="26"/>
        </w:rPr>
        <w:t>S</w:t>
      </w:r>
      <w:r w:rsidRPr="00F850FC">
        <w:rPr>
          <w:rFonts w:ascii="Arial" w:eastAsia="Calibri" w:hAnsi="Arial" w:cs="Arial"/>
          <w:bCs/>
          <w:color w:val="000000"/>
          <w:sz w:val="26"/>
          <w:szCs w:val="26"/>
        </w:rPr>
        <w:t xml:space="preserve">e ordenó correr traslado y emplazar a juicio a las autoridades demandadas, para que dieran contestación a </w:t>
      </w:r>
      <w:r w:rsidRPr="00F850FC">
        <w:rPr>
          <w:rFonts w:ascii="Arial" w:eastAsia="Calibri" w:hAnsi="Arial" w:cs="Arial"/>
          <w:bCs/>
          <w:color w:val="000000"/>
          <w:sz w:val="26"/>
          <w:szCs w:val="26"/>
        </w:rPr>
        <w:lastRenderedPageBreak/>
        <w:t xml:space="preserve">la demanda de la parte actora, apercibiéndolas que de no hacerlo se les tendría contestando la demanda de </w:t>
      </w:r>
      <w:r w:rsidR="00456AA7">
        <w:rPr>
          <w:rFonts w:ascii="Arial" w:eastAsia="Calibri" w:hAnsi="Arial" w:cs="Arial"/>
          <w:bCs/>
          <w:color w:val="000000"/>
          <w:sz w:val="26"/>
          <w:szCs w:val="26"/>
        </w:rPr>
        <w:t>nulidad en sentido afirmativo.</w:t>
      </w:r>
    </w:p>
    <w:p w:rsidR="00F850FC" w:rsidRPr="00F850FC" w:rsidRDefault="00F850FC" w:rsidP="00F850FC">
      <w:pPr>
        <w:numPr>
          <w:ilvl w:val="0"/>
          <w:numId w:val="8"/>
        </w:numPr>
        <w:spacing w:before="240" w:after="200" w:line="360" w:lineRule="auto"/>
        <w:contextualSpacing/>
        <w:jc w:val="both"/>
        <w:rPr>
          <w:rFonts w:ascii="Arial" w:eastAsia="Calibri" w:hAnsi="Arial" w:cs="Arial"/>
          <w:bCs/>
          <w:color w:val="000000"/>
          <w:sz w:val="26"/>
          <w:szCs w:val="26"/>
        </w:rPr>
      </w:pPr>
      <w:r w:rsidRPr="00F850FC">
        <w:rPr>
          <w:rFonts w:ascii="Arial" w:eastAsia="Calibri" w:hAnsi="Arial" w:cs="Arial"/>
          <w:bCs/>
          <w:color w:val="000000"/>
          <w:sz w:val="26"/>
          <w:szCs w:val="26"/>
        </w:rPr>
        <w:t>Se tuvo en el acuerdo de fecha 5 cinco de marzo de 2018 dos mil dieciocho, a la Directora Jurídica de la Secretaria de Vialidad y Transporte del Estado, contestando la demanda por sí y en representación del Secretario de Vialidad y Transporte del Gobierno del Estado, Director de Concesiones y Comité Operativo de Evaluación y S</w:t>
      </w:r>
      <w:r w:rsidR="00456AA7">
        <w:rPr>
          <w:rFonts w:ascii="Arial" w:eastAsia="Calibri" w:hAnsi="Arial" w:cs="Arial"/>
          <w:bCs/>
          <w:color w:val="000000"/>
          <w:sz w:val="26"/>
          <w:szCs w:val="26"/>
        </w:rPr>
        <w:t>eguimiento de dicha secretaria.</w:t>
      </w:r>
    </w:p>
    <w:p w:rsidR="00F850FC" w:rsidRPr="00F850FC" w:rsidRDefault="005C3247" w:rsidP="00F850FC">
      <w:pPr>
        <w:numPr>
          <w:ilvl w:val="0"/>
          <w:numId w:val="8"/>
        </w:numPr>
        <w:spacing w:before="240" w:after="200" w:line="360" w:lineRule="auto"/>
        <w:contextualSpacing/>
        <w:jc w:val="both"/>
        <w:rPr>
          <w:rFonts w:ascii="Arial" w:eastAsia="Calibri" w:hAnsi="Arial" w:cs="Arial"/>
          <w:bCs/>
          <w:color w:val="000000"/>
          <w:sz w:val="26"/>
          <w:szCs w:val="26"/>
        </w:rPr>
      </w:pPr>
      <w:r>
        <w:rPr>
          <w:rFonts w:ascii="Arial" w:eastAsia="Calibri" w:hAnsi="Arial" w:cs="Arial"/>
          <w:bCs/>
          <w:color w:val="000000"/>
          <w:sz w:val="26"/>
          <w:szCs w:val="26"/>
        </w:rPr>
        <w:t>E</w:t>
      </w:r>
      <w:r w:rsidR="00F850FC" w:rsidRPr="00F850FC">
        <w:rPr>
          <w:rFonts w:ascii="Arial" w:eastAsia="Calibri" w:hAnsi="Arial" w:cs="Arial"/>
          <w:bCs/>
          <w:color w:val="000000"/>
          <w:sz w:val="26"/>
          <w:szCs w:val="26"/>
        </w:rPr>
        <w:t>l día 15 quince de octubre de 2018 dos mil dieciocho</w:t>
      </w:r>
      <w:r>
        <w:rPr>
          <w:rFonts w:ascii="Arial" w:eastAsia="Calibri" w:hAnsi="Arial" w:cs="Arial"/>
          <w:bCs/>
          <w:color w:val="000000"/>
          <w:sz w:val="26"/>
          <w:szCs w:val="26"/>
        </w:rPr>
        <w:t>, se emitió la sentencia combatida,</w:t>
      </w:r>
      <w:r w:rsidR="00F850FC" w:rsidRPr="00F850FC">
        <w:rPr>
          <w:rFonts w:ascii="Arial" w:eastAsia="Calibri" w:hAnsi="Arial" w:cs="Arial"/>
          <w:bCs/>
          <w:color w:val="000000"/>
          <w:sz w:val="26"/>
          <w:szCs w:val="26"/>
        </w:rPr>
        <w:t xml:space="preserve"> en donde la </w:t>
      </w:r>
      <w:r w:rsidR="00F94EBB">
        <w:rPr>
          <w:rFonts w:ascii="Arial" w:hAnsi="Arial" w:cs="Arial"/>
          <w:bCs/>
          <w:color w:val="000000"/>
          <w:sz w:val="26"/>
          <w:szCs w:val="26"/>
        </w:rPr>
        <w:t xml:space="preserve">primera instancia determinó decretar el sobreseimiento </w:t>
      </w:r>
      <w:r w:rsidR="003C2B08">
        <w:rPr>
          <w:rFonts w:ascii="Arial" w:hAnsi="Arial" w:cs="Arial"/>
          <w:bCs/>
          <w:color w:val="000000"/>
          <w:sz w:val="26"/>
          <w:szCs w:val="26"/>
        </w:rPr>
        <w:t xml:space="preserve">del asunto, </w:t>
      </w:r>
      <w:r w:rsidR="00F94EBB">
        <w:rPr>
          <w:rFonts w:ascii="Arial" w:hAnsi="Arial" w:cs="Arial"/>
          <w:bCs/>
          <w:color w:val="000000"/>
          <w:sz w:val="26"/>
          <w:szCs w:val="26"/>
        </w:rPr>
        <w:t>al considerar que</w:t>
      </w:r>
      <w:r w:rsidR="00F850FC" w:rsidRPr="00F850FC">
        <w:rPr>
          <w:rFonts w:ascii="Arial" w:eastAsia="Calibri" w:hAnsi="Arial" w:cs="Arial"/>
          <w:bCs/>
          <w:color w:val="000000"/>
          <w:sz w:val="26"/>
          <w:szCs w:val="26"/>
        </w:rPr>
        <w:t xml:space="preserve">: </w:t>
      </w:r>
      <w:r w:rsidR="00F850FC" w:rsidRPr="00F850FC">
        <w:rPr>
          <w:rFonts w:ascii="Arial" w:eastAsia="Calibri" w:hAnsi="Arial" w:cs="Arial"/>
          <w:bCs/>
          <w:i/>
          <w:color w:val="000000"/>
          <w:sz w:val="26"/>
          <w:szCs w:val="26"/>
        </w:rPr>
        <w:t xml:space="preserve">“… el estudio técnico de factibilidad (estudio técnico socioeconómico), la convocatoria para el procedimiento del otorgamiento de concesiones, la integración del Comité Operativo de Evaluación y Seguimiento de la Secretaría de Vialidad y Transporte del Poder Ejecutivo del Estado de Oaxaca, el dictamen por medio del cual se declara cerrada la instrucción así como la resolución de fecha veintiuno de octubre de dos mil dieciséis por la que pone fin al procedimiento administrativo para el otorgamiento de concesiones, aun cuando resultaren ilegales, es imposible favorecer su pretensión consistente en la nulidad de los actos citados con antelación, </w:t>
      </w:r>
      <w:r w:rsidR="00F850FC" w:rsidRPr="00071BDA">
        <w:rPr>
          <w:rFonts w:ascii="Arial" w:eastAsia="Calibri" w:hAnsi="Arial" w:cs="Arial"/>
          <w:bCs/>
          <w:i/>
          <w:color w:val="000000"/>
          <w:sz w:val="26"/>
          <w:szCs w:val="26"/>
        </w:rPr>
        <w:t>en virtud de que el accionante no demostró una afectación real y directa en su esfera jurídica, traduciéndose en una nula afectación en sus intereses jurídicos y legítimos, esto es así, ya que jurídicamente no le causa agravio directo,</w:t>
      </w:r>
      <w:r w:rsidR="00F850FC" w:rsidRPr="00F850FC">
        <w:rPr>
          <w:rFonts w:ascii="Arial" w:eastAsia="Calibri" w:hAnsi="Arial" w:cs="Arial"/>
          <w:bCs/>
          <w:i/>
          <w:color w:val="000000"/>
          <w:sz w:val="26"/>
          <w:szCs w:val="26"/>
        </w:rPr>
        <w:t xml:space="preserve"> ya que no fue parte dentro del procedimiento de otorgamiento de concesión. Así también, tampoco le causa agravio de forma directa, toda vez que no se le priva de su derecho adquirido para prestar el servicio de transporte en su modalidad de taxi dentro de la localidad antes mencionada…Derivado de lo anterior, con fundamento en los artículos 131 fracción II y 132 fracción II de la Ley de Justicia Administrativa para el Estado de Oaxaca, </w:t>
      </w:r>
      <w:r w:rsidR="00F850FC" w:rsidRPr="00F850FC">
        <w:rPr>
          <w:rFonts w:ascii="Arial" w:eastAsia="Calibri" w:hAnsi="Arial" w:cs="Arial"/>
          <w:b/>
          <w:bCs/>
          <w:i/>
          <w:color w:val="000000"/>
          <w:sz w:val="26"/>
          <w:szCs w:val="26"/>
        </w:rPr>
        <w:t xml:space="preserve">SE SOBRESEE el presente juicio </w:t>
      </w:r>
      <w:r w:rsidR="00F850FC" w:rsidRPr="00F850FC">
        <w:rPr>
          <w:rFonts w:ascii="Arial" w:eastAsia="Calibri" w:hAnsi="Arial" w:cs="Arial"/>
          <w:bCs/>
          <w:i/>
          <w:color w:val="000000"/>
          <w:sz w:val="26"/>
          <w:szCs w:val="26"/>
        </w:rPr>
        <w:t xml:space="preserve"> en </w:t>
      </w:r>
      <w:r w:rsidR="00F850FC" w:rsidRPr="00F850FC">
        <w:rPr>
          <w:rFonts w:ascii="Arial" w:eastAsia="Calibri" w:hAnsi="Arial" w:cs="Arial"/>
          <w:bCs/>
          <w:i/>
          <w:color w:val="000000"/>
          <w:sz w:val="26"/>
          <w:szCs w:val="26"/>
        </w:rPr>
        <w:lastRenderedPageBreak/>
        <w:t xml:space="preserve">virtud </w:t>
      </w:r>
      <w:r w:rsidR="00F850FC" w:rsidRPr="00F850FC">
        <w:rPr>
          <w:rFonts w:ascii="Arial" w:eastAsia="Calibri" w:hAnsi="Arial" w:cs="Arial"/>
          <w:bCs/>
          <w:color w:val="000000"/>
          <w:sz w:val="26"/>
          <w:szCs w:val="26"/>
        </w:rPr>
        <w:t xml:space="preserve">de que </w:t>
      </w:r>
      <w:r w:rsidR="005A48BB">
        <w:rPr>
          <w:rFonts w:ascii="Arial" w:eastAsia="Calibri" w:hAnsi="Arial" w:cs="Arial"/>
          <w:bCs/>
          <w:color w:val="000000"/>
          <w:sz w:val="26"/>
          <w:szCs w:val="26"/>
        </w:rPr>
        <w:t>**********</w:t>
      </w:r>
      <w:r w:rsidR="00F850FC" w:rsidRPr="00F850FC">
        <w:rPr>
          <w:rFonts w:ascii="Arial" w:eastAsia="Calibri" w:hAnsi="Arial" w:cs="Arial"/>
          <w:bCs/>
          <w:color w:val="000000"/>
          <w:sz w:val="26"/>
          <w:szCs w:val="26"/>
        </w:rPr>
        <w:t>, no demostró la afectación a sus intereses jurídicos o legítimos</w:t>
      </w:r>
      <w:r w:rsidR="00F850FC" w:rsidRPr="00F850FC">
        <w:rPr>
          <w:rFonts w:ascii="Arial" w:eastAsia="Calibri" w:hAnsi="Arial" w:cs="Arial"/>
          <w:bCs/>
          <w:i/>
          <w:color w:val="000000"/>
          <w:sz w:val="26"/>
          <w:szCs w:val="26"/>
        </w:rPr>
        <w:t>”</w:t>
      </w:r>
      <w:r w:rsidR="00456AA7">
        <w:rPr>
          <w:rFonts w:ascii="Arial" w:eastAsia="Calibri" w:hAnsi="Arial" w:cs="Arial"/>
          <w:bCs/>
          <w:color w:val="000000"/>
          <w:sz w:val="26"/>
          <w:szCs w:val="26"/>
        </w:rPr>
        <w:t>.</w:t>
      </w:r>
    </w:p>
    <w:p w:rsidR="00456AA7" w:rsidRDefault="004D79F8" w:rsidP="00456AA7">
      <w:pPr>
        <w:widowControl w:val="0"/>
        <w:spacing w:before="240" w:line="360" w:lineRule="auto"/>
        <w:ind w:right="49" w:firstLine="708"/>
        <w:jc w:val="both"/>
        <w:rPr>
          <w:rFonts w:ascii="Arial" w:hAnsi="Arial" w:cs="Arial"/>
          <w:bCs/>
          <w:sz w:val="26"/>
          <w:szCs w:val="26"/>
          <w:lang w:val="es-ES"/>
        </w:rPr>
      </w:pPr>
      <w:r>
        <w:rPr>
          <w:rFonts w:ascii="Arial" w:eastAsia="Calibri" w:hAnsi="Arial" w:cs="Arial"/>
          <w:bCs/>
          <w:color w:val="000000"/>
          <w:sz w:val="26"/>
          <w:szCs w:val="26"/>
        </w:rPr>
        <w:t>De la sentencia recurrida, se advierte que la primera instancia</w:t>
      </w:r>
      <w:r w:rsidR="00AA446D" w:rsidRPr="00F850FC">
        <w:rPr>
          <w:rFonts w:ascii="Arial" w:eastAsia="Calibri" w:hAnsi="Arial" w:cs="Arial"/>
          <w:bCs/>
          <w:color w:val="000000"/>
          <w:sz w:val="26"/>
          <w:szCs w:val="26"/>
        </w:rPr>
        <w:t xml:space="preserve"> determinó sobreseer el juicio en virtud de que </w:t>
      </w:r>
      <w:r w:rsidR="005A48BB">
        <w:rPr>
          <w:rFonts w:ascii="Arial" w:eastAsia="Calibri" w:hAnsi="Arial" w:cs="Arial"/>
          <w:bCs/>
          <w:color w:val="000000"/>
          <w:sz w:val="26"/>
          <w:szCs w:val="26"/>
        </w:rPr>
        <w:t>**********</w:t>
      </w:r>
      <w:r w:rsidR="00AA446D" w:rsidRPr="00F850FC">
        <w:rPr>
          <w:rFonts w:ascii="Arial" w:eastAsia="Calibri" w:hAnsi="Arial" w:cs="Arial"/>
          <w:bCs/>
          <w:color w:val="000000"/>
          <w:sz w:val="26"/>
          <w:szCs w:val="26"/>
        </w:rPr>
        <w:t xml:space="preserve">, no demostró </w:t>
      </w:r>
      <w:r w:rsidR="00AA446D" w:rsidRPr="007C47AA">
        <w:rPr>
          <w:rFonts w:ascii="Arial" w:eastAsia="Calibri" w:hAnsi="Arial" w:cs="Arial"/>
          <w:bCs/>
          <w:color w:val="000000"/>
          <w:sz w:val="26"/>
          <w:szCs w:val="26"/>
        </w:rPr>
        <w:t>la afectación a sus intereses jurídicos o legítimos</w:t>
      </w:r>
      <w:r w:rsidR="00AA446D" w:rsidRPr="00F850FC">
        <w:rPr>
          <w:rFonts w:ascii="Arial" w:eastAsia="Calibri" w:hAnsi="Arial" w:cs="Arial"/>
          <w:bCs/>
          <w:color w:val="000000"/>
          <w:sz w:val="26"/>
          <w:szCs w:val="26"/>
        </w:rPr>
        <w:t xml:space="preserve">; sin embargo </w:t>
      </w:r>
      <w:r w:rsidR="006852B0">
        <w:rPr>
          <w:rFonts w:ascii="Arial" w:eastAsia="Calibri" w:hAnsi="Arial" w:cs="Arial"/>
          <w:bCs/>
          <w:color w:val="000000"/>
          <w:sz w:val="26"/>
          <w:szCs w:val="26"/>
        </w:rPr>
        <w:t xml:space="preserve">cabe precisar </w:t>
      </w:r>
      <w:r w:rsidR="00AA446D" w:rsidRPr="00AA446D">
        <w:rPr>
          <w:rFonts w:ascii="Arial" w:hAnsi="Arial" w:cs="Arial"/>
          <w:bCs/>
          <w:sz w:val="26"/>
          <w:szCs w:val="26"/>
          <w:lang w:val="es-ES"/>
        </w:rPr>
        <w:t>que el interés legítimo y el interés jurídico tienen diversas connotaciones para el juic</w:t>
      </w:r>
      <w:r w:rsidR="006852B0">
        <w:rPr>
          <w:rFonts w:ascii="Arial" w:hAnsi="Arial" w:cs="Arial"/>
          <w:bCs/>
          <w:sz w:val="26"/>
          <w:szCs w:val="26"/>
          <w:lang w:val="es-ES"/>
        </w:rPr>
        <w:t>io contencioso administrativo. A</w:t>
      </w:r>
      <w:r w:rsidR="00AA446D" w:rsidRPr="00AA446D">
        <w:rPr>
          <w:rFonts w:ascii="Arial" w:hAnsi="Arial" w:cs="Arial"/>
          <w:bCs/>
          <w:sz w:val="26"/>
          <w:szCs w:val="26"/>
          <w:lang w:val="es-ES"/>
        </w:rPr>
        <w:t xml:space="preserve"> saber, el interés jurídico refiere a un derecho subjetivo, o sea, es aquélla facultad o potestad de exigencia que concede una norma objetiva y por ende supone dos elementos inseparables: </w:t>
      </w:r>
      <w:r w:rsidR="00AA446D" w:rsidRPr="00AA446D">
        <w:rPr>
          <w:rFonts w:ascii="Arial" w:hAnsi="Arial" w:cs="Arial"/>
          <w:b/>
          <w:bCs/>
          <w:sz w:val="26"/>
          <w:szCs w:val="26"/>
          <w:lang w:val="es-ES"/>
        </w:rPr>
        <w:t xml:space="preserve">a) </w:t>
      </w:r>
      <w:r w:rsidR="00AA446D" w:rsidRPr="00AA446D">
        <w:rPr>
          <w:rFonts w:ascii="Arial" w:hAnsi="Arial" w:cs="Arial"/>
          <w:bCs/>
          <w:sz w:val="26"/>
          <w:szCs w:val="26"/>
          <w:lang w:val="es-ES"/>
        </w:rPr>
        <w:t xml:space="preserve">la facultad de exigir y </w:t>
      </w:r>
      <w:r w:rsidR="00AA446D" w:rsidRPr="00AA446D">
        <w:rPr>
          <w:rFonts w:ascii="Arial" w:hAnsi="Arial" w:cs="Arial"/>
          <w:b/>
          <w:bCs/>
          <w:sz w:val="26"/>
          <w:szCs w:val="26"/>
          <w:lang w:val="es-ES"/>
        </w:rPr>
        <w:t>b)</w:t>
      </w:r>
      <w:r w:rsidR="00AA446D" w:rsidRPr="00AA446D">
        <w:rPr>
          <w:rFonts w:ascii="Arial" w:hAnsi="Arial" w:cs="Arial"/>
          <w:bCs/>
          <w:sz w:val="26"/>
          <w:szCs w:val="26"/>
          <w:lang w:val="es-ES"/>
        </w:rPr>
        <w:t xml:space="preserve"> la obligación correlativa que implica un deber jurídico de cumplir dicha exigencia. De esta manera, el interés jurídico necesariamente se da cuando la norma jurídica objetiva establezca la facultad de exigir. </w:t>
      </w:r>
      <w:r w:rsidR="00AA446D" w:rsidRPr="00AA446D">
        <w:rPr>
          <w:rFonts w:ascii="Arial" w:hAnsi="Arial" w:cs="Arial"/>
          <w:b/>
          <w:bCs/>
          <w:sz w:val="26"/>
          <w:szCs w:val="26"/>
          <w:lang w:val="es-ES"/>
        </w:rPr>
        <w:t xml:space="preserve">Entre tanto, </w:t>
      </w:r>
      <w:r w:rsidR="00AA446D" w:rsidRPr="00AA446D">
        <w:rPr>
          <w:rFonts w:ascii="Arial" w:hAnsi="Arial" w:cs="Arial"/>
          <w:bCs/>
          <w:sz w:val="26"/>
          <w:szCs w:val="26"/>
          <w:lang w:val="es-ES"/>
        </w:rPr>
        <w:t xml:space="preserve">el interés legítimo lo tienen todas las personas que sin ser titulares de un derecho subjetivo lesionado por un acto de una autoridad (el otorgado por la norma objetiva) tienen el interés en que la presunta violación del derecho o libertad sea reparado. Se habla pues, de la existencia de un interés cualificado frente a la legalidad de </w:t>
      </w:r>
      <w:r w:rsidR="001523C7">
        <w:rPr>
          <w:rFonts w:ascii="Arial" w:hAnsi="Arial" w:cs="Arial"/>
          <w:bCs/>
          <w:sz w:val="26"/>
          <w:szCs w:val="26"/>
          <w:lang w:val="es-ES"/>
        </w:rPr>
        <w:t>determinados actos de autoridad.</w:t>
      </w:r>
      <w:r w:rsidR="00AA446D" w:rsidRPr="00AA446D">
        <w:rPr>
          <w:rFonts w:ascii="Arial" w:hAnsi="Arial" w:cs="Arial"/>
          <w:bCs/>
          <w:sz w:val="26"/>
          <w:szCs w:val="26"/>
          <w:lang w:val="es-ES"/>
        </w:rPr>
        <w:t xml:space="preserve"> </w:t>
      </w:r>
      <w:r w:rsidR="00AA446D" w:rsidRPr="001523C7">
        <w:rPr>
          <w:rFonts w:ascii="Arial" w:hAnsi="Arial" w:cs="Arial"/>
          <w:b/>
          <w:bCs/>
          <w:sz w:val="26"/>
          <w:szCs w:val="26"/>
          <w:lang w:val="es-ES"/>
        </w:rPr>
        <w:t>De esta manera</w:t>
      </w:r>
      <w:r w:rsidR="00AA446D" w:rsidRPr="001523C7">
        <w:rPr>
          <w:rFonts w:ascii="Arial" w:hAnsi="Arial" w:cs="Arial"/>
          <w:bCs/>
          <w:sz w:val="26"/>
          <w:szCs w:val="26"/>
          <w:lang w:val="es-ES"/>
        </w:rPr>
        <w:t>,</w:t>
      </w:r>
      <w:r w:rsidR="00AA446D" w:rsidRPr="00AA446D">
        <w:rPr>
          <w:rFonts w:ascii="Arial" w:hAnsi="Arial" w:cs="Arial"/>
          <w:b/>
          <w:bCs/>
          <w:sz w:val="26"/>
          <w:szCs w:val="26"/>
          <w:lang w:val="es-ES"/>
        </w:rPr>
        <w:t xml:space="preserve"> </w:t>
      </w:r>
      <w:r w:rsidR="00AA446D" w:rsidRPr="00AA446D">
        <w:rPr>
          <w:rFonts w:ascii="Arial" w:hAnsi="Arial" w:cs="Arial"/>
          <w:bCs/>
          <w:sz w:val="26"/>
          <w:szCs w:val="26"/>
          <w:lang w:val="es-ES"/>
        </w:rPr>
        <w:t xml:space="preserve">la diferencia específica que existe entre el interés jurídico y el interés legítimo es que mientras en el primero se requiere que sea tutelado por una norma objetiva, es decir, que implique la afectación a un derecho subjetivo, en el segundo, </w:t>
      </w:r>
      <w:r w:rsidR="00AA446D" w:rsidRPr="001523C7">
        <w:rPr>
          <w:rFonts w:ascii="Arial" w:hAnsi="Arial" w:cs="Arial"/>
          <w:bCs/>
          <w:sz w:val="26"/>
          <w:szCs w:val="26"/>
          <w:lang w:val="es-ES"/>
        </w:rPr>
        <w:t xml:space="preserve">únicamente exige la existencia de un </w:t>
      </w:r>
      <w:r w:rsidR="00AA446D" w:rsidRPr="003C2B08">
        <w:rPr>
          <w:rFonts w:ascii="Arial" w:hAnsi="Arial" w:cs="Arial"/>
          <w:b/>
          <w:bCs/>
          <w:sz w:val="26"/>
          <w:szCs w:val="26"/>
          <w:lang w:val="es-ES"/>
        </w:rPr>
        <w:t>interés cualificado</w:t>
      </w:r>
      <w:r w:rsidR="00AA446D" w:rsidRPr="00AA446D">
        <w:rPr>
          <w:rFonts w:ascii="Arial" w:hAnsi="Arial" w:cs="Arial"/>
          <w:bCs/>
          <w:sz w:val="26"/>
          <w:szCs w:val="26"/>
          <w:lang w:val="es-ES"/>
        </w:rPr>
        <w:t xml:space="preserve"> respecto de la legalidad de determinados actos, y este interés deriva de la afectación a la esfera jurídica del individuo, ya sea directa o indirecta de su situación particular respecto del orden jurídico. </w:t>
      </w:r>
      <w:r w:rsidR="00AA446D" w:rsidRPr="00AA446D">
        <w:rPr>
          <w:rFonts w:ascii="Arial" w:hAnsi="Arial" w:cs="Arial"/>
          <w:b/>
          <w:bCs/>
          <w:sz w:val="26"/>
          <w:szCs w:val="26"/>
          <w:lang w:val="es-ES"/>
        </w:rPr>
        <w:t xml:space="preserve">En este sentido, </w:t>
      </w:r>
      <w:r w:rsidR="00AA446D" w:rsidRPr="00AA446D">
        <w:rPr>
          <w:rFonts w:ascii="Arial" w:hAnsi="Arial" w:cs="Arial"/>
          <w:bCs/>
          <w:sz w:val="26"/>
          <w:szCs w:val="26"/>
          <w:lang w:val="es-ES"/>
        </w:rPr>
        <w:t>el interés legítimo es aquél que tienen las personas que por la situación objetiva en que se hallen, ya sea personal o bien por ser destinatarias de la norma, se vuelven entonces los titulares de un interés propio, diferente al de las demás personas y que es tendente a que los poderes públicos, incluyendo el poder jurisdiccional, actúen acorde al ordenamiento jurídico cuando por la persecución de sus propios fines generales impacten en ámbito del interés propio, aun cuando la actuación de la autoridad, no les ocasione, en concreto un beneficio o servicio inmediato.</w:t>
      </w:r>
    </w:p>
    <w:p w:rsidR="00AA446D" w:rsidRPr="00456AA7" w:rsidRDefault="00AA446D" w:rsidP="00456AA7">
      <w:pPr>
        <w:widowControl w:val="0"/>
        <w:spacing w:before="240" w:line="360" w:lineRule="auto"/>
        <w:ind w:right="49" w:firstLine="708"/>
        <w:jc w:val="both"/>
        <w:rPr>
          <w:rFonts w:ascii="Arial" w:hAnsi="Arial" w:cs="Arial"/>
          <w:bCs/>
          <w:sz w:val="26"/>
          <w:szCs w:val="26"/>
          <w:lang w:val="es-ES"/>
        </w:rPr>
      </w:pPr>
      <w:r w:rsidRPr="00AA446D">
        <w:rPr>
          <w:rFonts w:ascii="Arial" w:hAnsi="Arial" w:cs="Arial"/>
          <w:bCs/>
          <w:sz w:val="26"/>
          <w:szCs w:val="26"/>
          <w:lang w:val="es-ES"/>
        </w:rPr>
        <w:t>Así,</w:t>
      </w:r>
      <w:r w:rsidRPr="00AA446D">
        <w:rPr>
          <w:rFonts w:ascii="Arial" w:hAnsi="Arial" w:cs="Arial"/>
          <w:b/>
          <w:bCs/>
          <w:sz w:val="26"/>
          <w:szCs w:val="26"/>
          <w:lang w:val="es-ES"/>
        </w:rPr>
        <w:t xml:space="preserve"> </w:t>
      </w:r>
      <w:r w:rsidRPr="00AA446D">
        <w:rPr>
          <w:rFonts w:ascii="Arial" w:hAnsi="Arial" w:cs="Arial"/>
          <w:bCs/>
          <w:sz w:val="26"/>
          <w:szCs w:val="26"/>
          <w:lang w:val="es-ES"/>
        </w:rPr>
        <w:t xml:space="preserve">la afectación al interés legítimo se colma cuando la situación de hecho creada o que pudiera crear el acto impugnado pueda ocasionar algún perjuicio, desde luego, cuando este sea el resultado </w:t>
      </w:r>
      <w:r w:rsidRPr="00AA446D">
        <w:rPr>
          <w:rFonts w:ascii="Arial" w:hAnsi="Arial" w:cs="Arial"/>
          <w:bCs/>
          <w:sz w:val="26"/>
          <w:szCs w:val="26"/>
          <w:lang w:val="es-ES"/>
        </w:rPr>
        <w:lastRenderedPageBreak/>
        <w:t xml:space="preserve">inmediato de la resolución que llegue a dictarse. Estas consideraciones encuentran apoyo en la ejecutoria que emergió de la contradicción de tesis </w:t>
      </w:r>
      <w:r w:rsidRPr="00AA446D">
        <w:rPr>
          <w:rFonts w:ascii="Arial" w:hAnsi="Arial" w:cs="Arial"/>
          <w:sz w:val="26"/>
          <w:szCs w:val="26"/>
          <w:lang w:val="es-ES"/>
        </w:rPr>
        <w:t>69/2002-SS sustentadas por los Tribunales Segundo, Cuarto y Décimo Tercero todos en Materia Administrativa del Primer Circuito y que</w:t>
      </w:r>
      <w:r w:rsidRPr="00AA446D">
        <w:rPr>
          <w:rFonts w:ascii="Arial" w:hAnsi="Arial" w:cs="Arial"/>
          <w:bCs/>
          <w:sz w:val="26"/>
          <w:szCs w:val="26"/>
          <w:lang w:val="es-ES"/>
        </w:rPr>
        <w:t xml:space="preserve"> dio origen a la jurisprudencia </w:t>
      </w:r>
      <w:r w:rsidRPr="00AA446D">
        <w:rPr>
          <w:rFonts w:ascii="Arial" w:hAnsi="Arial" w:cs="Arial"/>
          <w:sz w:val="26"/>
          <w:szCs w:val="26"/>
          <w:lang w:val="es-ES"/>
        </w:rPr>
        <w:t>2a./J. 141/2002 de la Segunda Sala de la Suprema Corte de Justicia de la Nación, de la novena época y que está publicada en el Semanario Judicial de la Federación y su Gaceta en el Tomo XVI, de diciembre de 2002, y que es consultable a página 241, con el rubro y texto del tenor literal siguiente:</w:t>
      </w:r>
      <w:r w:rsidR="007E2D30">
        <w:rPr>
          <w:rFonts w:ascii="Arial" w:hAnsi="Arial" w:cs="Arial"/>
          <w:sz w:val="26"/>
          <w:szCs w:val="26"/>
          <w:lang w:val="es-ES"/>
        </w:rPr>
        <w:t xml:space="preserve"> </w:t>
      </w:r>
    </w:p>
    <w:p w:rsidR="00AA446D" w:rsidRPr="00AA446D" w:rsidRDefault="00AA446D" w:rsidP="00AA446D">
      <w:pPr>
        <w:spacing w:line="360" w:lineRule="auto"/>
        <w:ind w:left="851" w:right="1041"/>
        <w:jc w:val="both"/>
        <w:rPr>
          <w:rFonts w:ascii="Arial" w:hAnsi="Arial" w:cs="Arial"/>
          <w:i/>
          <w:lang w:val="es-ES"/>
        </w:rPr>
      </w:pPr>
      <w:r w:rsidRPr="00AA446D">
        <w:rPr>
          <w:rFonts w:ascii="Arial" w:hAnsi="Arial" w:cs="Arial"/>
          <w:b/>
          <w:i/>
          <w:lang w:val="es-ES"/>
        </w:rPr>
        <w:t>“INTERÉS LEGÍTIMO E INTERÉS JURÍDICO. AMBOS TÉRMINOS TIENEN DIFERENTE CONNOTACIÓN EN EL JUICIO CONTENCIOSO ADMINISTRATIVO</w:t>
      </w:r>
      <w:r w:rsidRPr="00AA446D">
        <w:rPr>
          <w:rFonts w:ascii="Arial" w:hAnsi="Arial" w:cs="Arial"/>
          <w:i/>
          <w:lang w:val="es-ES"/>
        </w:rPr>
        <w:t>.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accesar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AA446D" w:rsidRPr="00AA446D" w:rsidRDefault="00AA446D" w:rsidP="00AA446D">
      <w:pPr>
        <w:spacing w:line="360" w:lineRule="auto"/>
        <w:ind w:right="49"/>
        <w:jc w:val="both"/>
        <w:rPr>
          <w:rFonts w:ascii="Arial" w:hAnsi="Arial" w:cs="Arial"/>
          <w:i/>
          <w:sz w:val="24"/>
          <w:szCs w:val="24"/>
          <w:lang w:val="es-ES"/>
        </w:rPr>
      </w:pPr>
    </w:p>
    <w:p w:rsidR="00456AA7" w:rsidRDefault="00C618EA" w:rsidP="00456AA7">
      <w:pPr>
        <w:spacing w:line="360" w:lineRule="auto"/>
        <w:ind w:right="49" w:firstLine="708"/>
        <w:jc w:val="both"/>
        <w:rPr>
          <w:rFonts w:ascii="Arial" w:eastAsia="Calibri" w:hAnsi="Arial" w:cs="Arial"/>
          <w:bCs/>
          <w:color w:val="000000"/>
          <w:sz w:val="26"/>
          <w:szCs w:val="26"/>
        </w:rPr>
      </w:pPr>
      <w:r>
        <w:rPr>
          <w:rFonts w:ascii="Arial" w:hAnsi="Arial" w:cs="Arial"/>
          <w:sz w:val="24"/>
          <w:szCs w:val="24"/>
          <w:lang w:val="es-ES"/>
        </w:rPr>
        <w:t xml:space="preserve">Y en </w:t>
      </w:r>
      <w:r w:rsidR="0027523C">
        <w:rPr>
          <w:rFonts w:ascii="Arial" w:eastAsia="Calibri" w:hAnsi="Arial" w:cs="Arial"/>
          <w:bCs/>
          <w:color w:val="000000"/>
          <w:sz w:val="26"/>
          <w:szCs w:val="26"/>
        </w:rPr>
        <w:t xml:space="preserve">el </w:t>
      </w:r>
      <w:r>
        <w:rPr>
          <w:rFonts w:ascii="Arial" w:eastAsia="Calibri" w:hAnsi="Arial" w:cs="Arial"/>
          <w:bCs/>
          <w:color w:val="000000"/>
          <w:sz w:val="26"/>
          <w:szCs w:val="26"/>
        </w:rPr>
        <w:t>asunto</w:t>
      </w:r>
      <w:r w:rsidR="0027523C">
        <w:rPr>
          <w:rFonts w:ascii="Arial" w:eastAsia="Calibri" w:hAnsi="Arial" w:cs="Arial"/>
          <w:bCs/>
          <w:color w:val="000000"/>
          <w:sz w:val="26"/>
          <w:szCs w:val="26"/>
        </w:rPr>
        <w:t xml:space="preserve"> en análisis el</w:t>
      </w:r>
      <w:r w:rsidR="006F2333">
        <w:rPr>
          <w:rFonts w:ascii="Arial" w:eastAsia="Calibri" w:hAnsi="Arial" w:cs="Arial"/>
          <w:bCs/>
          <w:color w:val="000000"/>
          <w:sz w:val="26"/>
          <w:szCs w:val="26"/>
        </w:rPr>
        <w:t xml:space="preserve"> hoy recurrente, señala</w:t>
      </w:r>
      <w:r w:rsidR="0027523C" w:rsidRPr="00F850FC">
        <w:rPr>
          <w:rFonts w:ascii="Arial" w:eastAsia="Calibri" w:hAnsi="Arial" w:cs="Arial"/>
          <w:bCs/>
          <w:color w:val="000000"/>
          <w:sz w:val="26"/>
          <w:szCs w:val="26"/>
        </w:rPr>
        <w:t xml:space="preserve"> ser chofer de taxi en </w:t>
      </w:r>
      <w:r w:rsidR="0027523C">
        <w:rPr>
          <w:rFonts w:ascii="Arial" w:eastAsia="Calibri" w:hAnsi="Arial" w:cs="Arial"/>
          <w:bCs/>
          <w:color w:val="000000"/>
          <w:sz w:val="26"/>
          <w:szCs w:val="26"/>
        </w:rPr>
        <w:t>la población de Villa de Tejupam de la Unión</w:t>
      </w:r>
      <w:r w:rsidR="0027523C" w:rsidRPr="00F850FC">
        <w:rPr>
          <w:rFonts w:ascii="Arial" w:eastAsia="Calibri" w:hAnsi="Arial" w:cs="Arial"/>
          <w:bCs/>
          <w:color w:val="000000"/>
          <w:sz w:val="26"/>
          <w:szCs w:val="26"/>
        </w:rPr>
        <w:t>, circunstancia que lo coloca en una situación cualificada</w:t>
      </w:r>
      <w:r w:rsidR="00087E7A">
        <w:rPr>
          <w:rFonts w:ascii="Arial" w:eastAsia="Calibri" w:hAnsi="Arial" w:cs="Arial"/>
          <w:bCs/>
          <w:color w:val="000000"/>
          <w:sz w:val="26"/>
          <w:szCs w:val="26"/>
        </w:rPr>
        <w:t xml:space="preserve">; esto es, como perteneciente a un grupo de personas a quienes, como a él, le puede causar un perjuicio especial la actuación de la autoridad, porque asegura que dicho servicio se encuentra plenamente cubierto por los </w:t>
      </w:r>
      <w:r w:rsidR="00087E7A">
        <w:rPr>
          <w:rFonts w:ascii="Arial" w:eastAsia="Calibri" w:hAnsi="Arial" w:cs="Arial"/>
          <w:bCs/>
          <w:color w:val="000000"/>
          <w:sz w:val="26"/>
          <w:szCs w:val="26"/>
        </w:rPr>
        <w:lastRenderedPageBreak/>
        <w:t>concesionarios</w:t>
      </w:r>
      <w:r w:rsidR="003E02BB">
        <w:rPr>
          <w:rFonts w:ascii="Arial" w:eastAsia="Calibri" w:hAnsi="Arial" w:cs="Arial"/>
          <w:bCs/>
          <w:color w:val="000000"/>
          <w:sz w:val="26"/>
          <w:szCs w:val="26"/>
        </w:rPr>
        <w:t xml:space="preserve"> de transporte público, sin que se encuentre acreditada la necesidad de aumentar el número de unidades de motor para ello, </w:t>
      </w:r>
      <w:r w:rsidR="003E02BB" w:rsidRPr="006927E0">
        <w:rPr>
          <w:rFonts w:ascii="Arial" w:eastAsia="Calibri" w:hAnsi="Arial" w:cs="Arial"/>
          <w:bCs/>
          <w:color w:val="000000"/>
          <w:sz w:val="26"/>
          <w:szCs w:val="26"/>
        </w:rPr>
        <w:t>al no haberse realizado ningún estudio de factibilidad que haya analizad</w:t>
      </w:r>
      <w:r w:rsidR="000C0C86">
        <w:rPr>
          <w:rFonts w:ascii="Arial" w:eastAsia="Calibri" w:hAnsi="Arial" w:cs="Arial"/>
          <w:bCs/>
          <w:color w:val="000000"/>
          <w:sz w:val="26"/>
          <w:szCs w:val="26"/>
        </w:rPr>
        <w:t xml:space="preserve">o el comportamiento del sistema </w:t>
      </w:r>
      <w:r w:rsidR="003E02BB" w:rsidRPr="006927E0">
        <w:rPr>
          <w:rFonts w:ascii="Arial" w:eastAsia="Calibri" w:hAnsi="Arial" w:cs="Arial"/>
          <w:bCs/>
          <w:color w:val="000000"/>
          <w:sz w:val="26"/>
          <w:szCs w:val="26"/>
        </w:rPr>
        <w:t xml:space="preserve">socioeconómico, demográfico, urbano del transporte público, y por ello considera </w:t>
      </w:r>
      <w:r w:rsidR="001072EB" w:rsidRPr="006927E0">
        <w:rPr>
          <w:rFonts w:ascii="Arial" w:eastAsia="Calibri" w:hAnsi="Arial" w:cs="Arial"/>
          <w:bCs/>
          <w:color w:val="000000"/>
          <w:sz w:val="26"/>
          <w:szCs w:val="26"/>
        </w:rPr>
        <w:t xml:space="preserve">que su derecho adquirido para prestar el servicio público de transporte en su modalidad de taxi, ha sido vulnerado por el supuesto </w:t>
      </w:r>
      <w:r w:rsidR="006C79DC" w:rsidRPr="006927E0">
        <w:rPr>
          <w:rFonts w:ascii="Arial" w:eastAsia="Calibri" w:hAnsi="Arial" w:cs="Arial"/>
          <w:bCs/>
          <w:color w:val="000000"/>
          <w:sz w:val="26"/>
          <w:szCs w:val="26"/>
        </w:rPr>
        <w:t>estudio de factibilidad, la convocatoria</w:t>
      </w:r>
      <w:r w:rsidR="00327F71">
        <w:rPr>
          <w:rFonts w:ascii="Arial" w:eastAsia="Calibri" w:hAnsi="Arial" w:cs="Arial"/>
          <w:bCs/>
          <w:color w:val="000000"/>
          <w:sz w:val="26"/>
          <w:szCs w:val="26"/>
        </w:rPr>
        <w:t xml:space="preserve">, </w:t>
      </w:r>
      <w:r w:rsidR="00E65563" w:rsidRPr="006927E0">
        <w:rPr>
          <w:rFonts w:ascii="Arial" w:eastAsia="Calibri" w:hAnsi="Arial" w:cs="Arial"/>
          <w:bCs/>
          <w:color w:val="000000"/>
          <w:sz w:val="26"/>
          <w:szCs w:val="26"/>
        </w:rPr>
        <w:t>el procedimiento viciado que surge de estas y con la resolución en la que se otorgan</w:t>
      </w:r>
      <w:r w:rsidR="005C3247">
        <w:rPr>
          <w:rFonts w:ascii="Arial" w:eastAsia="Calibri" w:hAnsi="Arial" w:cs="Arial"/>
          <w:bCs/>
          <w:color w:val="000000"/>
          <w:sz w:val="26"/>
          <w:szCs w:val="26"/>
        </w:rPr>
        <w:t xml:space="preserve"> doce concesiones de transporte</w:t>
      </w:r>
      <w:r w:rsidR="007F333F">
        <w:rPr>
          <w:rFonts w:ascii="Arial" w:eastAsia="Calibri" w:hAnsi="Arial" w:cs="Arial"/>
          <w:bCs/>
          <w:color w:val="000000"/>
          <w:sz w:val="26"/>
          <w:szCs w:val="26"/>
        </w:rPr>
        <w:t>, así como demás documentación relacionada a estas</w:t>
      </w:r>
      <w:r w:rsidR="00456AA7">
        <w:rPr>
          <w:rFonts w:ascii="Arial" w:eastAsia="Calibri" w:hAnsi="Arial" w:cs="Arial"/>
          <w:bCs/>
          <w:color w:val="000000"/>
          <w:sz w:val="26"/>
          <w:szCs w:val="26"/>
        </w:rPr>
        <w:t>.</w:t>
      </w:r>
    </w:p>
    <w:p w:rsidR="00456AA7" w:rsidRDefault="00456AA7" w:rsidP="00456AA7">
      <w:pPr>
        <w:spacing w:line="360" w:lineRule="auto"/>
        <w:ind w:right="49" w:firstLine="708"/>
        <w:jc w:val="both"/>
        <w:rPr>
          <w:rFonts w:ascii="Arial" w:eastAsia="Calibri" w:hAnsi="Arial" w:cs="Arial"/>
          <w:bCs/>
          <w:color w:val="000000"/>
          <w:sz w:val="26"/>
          <w:szCs w:val="26"/>
        </w:rPr>
      </w:pPr>
    </w:p>
    <w:p w:rsidR="00456AA7" w:rsidRDefault="00C72B1E" w:rsidP="00456AA7">
      <w:pPr>
        <w:spacing w:line="360" w:lineRule="auto"/>
        <w:ind w:right="49" w:firstLine="708"/>
        <w:jc w:val="both"/>
        <w:rPr>
          <w:rFonts w:ascii="Arial" w:eastAsia="Times New Roman" w:hAnsi="Arial" w:cs="Arial"/>
          <w:bCs/>
          <w:iCs/>
          <w:sz w:val="26"/>
          <w:szCs w:val="26"/>
          <w:lang w:eastAsia="es-ES"/>
        </w:rPr>
      </w:pPr>
      <w:r>
        <w:rPr>
          <w:rFonts w:ascii="Arial" w:hAnsi="Arial" w:cs="Arial"/>
          <w:sz w:val="26"/>
          <w:szCs w:val="26"/>
          <w:lang w:val="es-ES"/>
        </w:rPr>
        <w:t>D</w:t>
      </w:r>
      <w:r w:rsidR="00E65563">
        <w:rPr>
          <w:rFonts w:ascii="Arial" w:hAnsi="Arial" w:cs="Arial"/>
          <w:sz w:val="26"/>
          <w:szCs w:val="26"/>
          <w:lang w:val="es-ES"/>
        </w:rPr>
        <w:t>e ahí</w:t>
      </w:r>
      <w:r w:rsidR="00094BAD">
        <w:rPr>
          <w:rFonts w:ascii="Arial" w:hAnsi="Arial" w:cs="Arial"/>
          <w:sz w:val="26"/>
          <w:szCs w:val="26"/>
          <w:lang w:val="es-ES"/>
        </w:rPr>
        <w:t>,</w:t>
      </w:r>
      <w:r w:rsidR="00E65563">
        <w:rPr>
          <w:rFonts w:ascii="Arial" w:hAnsi="Arial" w:cs="Arial"/>
          <w:sz w:val="26"/>
          <w:szCs w:val="26"/>
          <w:lang w:val="es-ES"/>
        </w:rPr>
        <w:t xml:space="preserve"> que la </w:t>
      </w:r>
      <w:r w:rsidR="00237BC4" w:rsidRPr="00AA446D">
        <w:rPr>
          <w:rFonts w:ascii="Arial" w:hAnsi="Arial" w:cs="Arial"/>
          <w:sz w:val="26"/>
          <w:szCs w:val="26"/>
          <w:lang w:val="es-ES"/>
        </w:rPr>
        <w:t xml:space="preserve">determinación </w:t>
      </w:r>
      <w:r w:rsidR="00546819">
        <w:rPr>
          <w:rFonts w:ascii="Arial" w:hAnsi="Arial" w:cs="Arial"/>
          <w:sz w:val="26"/>
          <w:szCs w:val="26"/>
          <w:lang w:val="es-ES"/>
        </w:rPr>
        <w:t>recurrida</w:t>
      </w:r>
      <w:r w:rsidR="00237BC4" w:rsidRPr="00AA446D">
        <w:rPr>
          <w:rFonts w:ascii="Arial" w:hAnsi="Arial" w:cs="Arial"/>
          <w:sz w:val="26"/>
          <w:szCs w:val="26"/>
          <w:lang w:val="es-ES"/>
        </w:rPr>
        <w:t xml:space="preserve"> bajo el argumento de que</w:t>
      </w:r>
      <w:r w:rsidR="00237BC4">
        <w:rPr>
          <w:rFonts w:ascii="Arial" w:hAnsi="Arial" w:cs="Arial"/>
          <w:sz w:val="26"/>
          <w:szCs w:val="26"/>
          <w:lang w:val="es-ES"/>
        </w:rPr>
        <w:t xml:space="preserve"> el aquí disconforme no demostró una afectación </w:t>
      </w:r>
      <w:r w:rsidR="00094BAD">
        <w:rPr>
          <w:rFonts w:ascii="Arial" w:hAnsi="Arial" w:cs="Arial"/>
          <w:sz w:val="26"/>
          <w:szCs w:val="26"/>
          <w:lang w:val="es-ES"/>
        </w:rPr>
        <w:t>a sus intereses jurídicos o legítimos, por no haber sido parte del procedimiento de otorgamiento de concesión</w:t>
      </w:r>
      <w:r w:rsidR="00FB77D9">
        <w:rPr>
          <w:rFonts w:ascii="Arial" w:hAnsi="Arial" w:cs="Arial"/>
          <w:sz w:val="26"/>
          <w:szCs w:val="26"/>
          <w:lang w:val="es-ES"/>
        </w:rPr>
        <w:t xml:space="preserve"> y por no privársele su derecho adquirido para prestar el servicio de transporte en su modalidad de taxi</w:t>
      </w:r>
      <w:r w:rsidR="00094BAD">
        <w:rPr>
          <w:rFonts w:ascii="Arial" w:hAnsi="Arial" w:cs="Arial"/>
          <w:sz w:val="26"/>
          <w:szCs w:val="26"/>
          <w:lang w:val="es-ES"/>
        </w:rPr>
        <w:t xml:space="preserve">; </w:t>
      </w:r>
      <w:r w:rsidR="00237BC4" w:rsidRPr="00907754">
        <w:rPr>
          <w:rFonts w:ascii="Arial" w:eastAsia="Times New Roman" w:hAnsi="Arial" w:cs="Arial"/>
          <w:bCs/>
          <w:iCs/>
          <w:sz w:val="26"/>
          <w:szCs w:val="26"/>
          <w:lang w:val="es-ES" w:eastAsia="es-ES"/>
        </w:rPr>
        <w:t>es</w:t>
      </w:r>
      <w:r w:rsidR="00237BC4" w:rsidRPr="00AA446D">
        <w:rPr>
          <w:rFonts w:ascii="Arial" w:eastAsia="Times New Roman" w:hAnsi="Arial" w:cs="Arial"/>
          <w:b/>
          <w:bCs/>
          <w:iCs/>
          <w:sz w:val="26"/>
          <w:szCs w:val="26"/>
          <w:lang w:val="es-ES" w:eastAsia="es-ES"/>
        </w:rPr>
        <w:t xml:space="preserve"> ilegal </w:t>
      </w:r>
      <w:r w:rsidR="00FE4958">
        <w:rPr>
          <w:rFonts w:ascii="Arial" w:eastAsia="Times New Roman" w:hAnsi="Arial" w:cs="Arial"/>
          <w:bCs/>
          <w:iCs/>
          <w:sz w:val="26"/>
          <w:szCs w:val="26"/>
          <w:lang w:val="es-ES" w:eastAsia="es-ES"/>
        </w:rPr>
        <w:t xml:space="preserve">ya </w:t>
      </w:r>
      <w:r w:rsidR="00C75E32">
        <w:rPr>
          <w:rFonts w:ascii="Arial" w:eastAsia="Times New Roman" w:hAnsi="Arial" w:cs="Arial"/>
          <w:bCs/>
          <w:iCs/>
          <w:sz w:val="26"/>
          <w:szCs w:val="26"/>
          <w:lang w:val="es-ES" w:eastAsia="es-ES"/>
        </w:rPr>
        <w:t>que</w:t>
      </w:r>
      <w:r w:rsidR="00FE4958">
        <w:rPr>
          <w:rFonts w:ascii="Arial" w:eastAsia="Times New Roman" w:hAnsi="Arial" w:cs="Arial"/>
          <w:bCs/>
          <w:iCs/>
          <w:sz w:val="26"/>
          <w:szCs w:val="26"/>
          <w:lang w:val="es-ES" w:eastAsia="es-ES"/>
        </w:rPr>
        <w:t xml:space="preserve"> </w:t>
      </w:r>
      <w:r w:rsidR="005A48BB">
        <w:rPr>
          <w:rFonts w:ascii="Arial" w:eastAsia="Times New Roman" w:hAnsi="Arial" w:cs="Arial"/>
          <w:bCs/>
          <w:iCs/>
          <w:sz w:val="26"/>
          <w:szCs w:val="26"/>
          <w:lang w:val="es-ES" w:eastAsia="es-ES"/>
        </w:rPr>
        <w:t>**********</w:t>
      </w:r>
      <w:r w:rsidR="00FE4958">
        <w:rPr>
          <w:rFonts w:ascii="Arial" w:eastAsia="Times New Roman" w:hAnsi="Arial" w:cs="Arial"/>
          <w:bCs/>
          <w:iCs/>
          <w:sz w:val="26"/>
          <w:szCs w:val="26"/>
          <w:lang w:val="es-ES" w:eastAsia="es-ES"/>
        </w:rPr>
        <w:t xml:space="preserve">, </w:t>
      </w:r>
      <w:r w:rsidR="005C3247">
        <w:rPr>
          <w:rFonts w:ascii="Arial" w:eastAsia="Times New Roman" w:hAnsi="Arial" w:cs="Arial"/>
          <w:bCs/>
          <w:iCs/>
          <w:sz w:val="26"/>
          <w:szCs w:val="26"/>
          <w:lang w:val="es-ES" w:eastAsia="es-ES"/>
        </w:rPr>
        <w:t xml:space="preserve">primeramente </w:t>
      </w:r>
      <w:r w:rsidR="006361C1">
        <w:rPr>
          <w:rFonts w:ascii="Arial" w:eastAsia="Times New Roman" w:hAnsi="Arial" w:cs="Arial"/>
          <w:bCs/>
          <w:iCs/>
          <w:sz w:val="26"/>
          <w:szCs w:val="26"/>
          <w:lang w:val="es-ES" w:eastAsia="es-ES"/>
        </w:rPr>
        <w:t xml:space="preserve">para demostrar su interés legítimo en el presente juicio exhibió la </w:t>
      </w:r>
      <w:r w:rsidR="006361C1" w:rsidRPr="00FC6B2F">
        <w:rPr>
          <w:rFonts w:ascii="Arial" w:hAnsi="Arial" w:cs="Arial"/>
          <w:sz w:val="26"/>
          <w:szCs w:val="26"/>
        </w:rPr>
        <w:t xml:space="preserve">copia de su prórroga de concesión para prestar el servicio público de alquiler taxi en la población de </w:t>
      </w:r>
      <w:r w:rsidR="006361C1">
        <w:rPr>
          <w:rFonts w:ascii="Arial" w:eastAsia="Times New Roman" w:hAnsi="Arial" w:cs="Arial"/>
          <w:bCs/>
          <w:iCs/>
          <w:sz w:val="26"/>
          <w:szCs w:val="26"/>
          <w:lang w:val="es-ES" w:eastAsia="es-ES"/>
        </w:rPr>
        <w:t>Villa de Tejupam de la Unión</w:t>
      </w:r>
      <w:r w:rsidR="006361C1">
        <w:rPr>
          <w:rFonts w:ascii="Arial" w:eastAsia="Times New Roman" w:hAnsi="Arial" w:cs="Arial"/>
          <w:bCs/>
          <w:iCs/>
          <w:sz w:val="26"/>
          <w:szCs w:val="26"/>
          <w:lang w:eastAsia="es-ES"/>
        </w:rPr>
        <w:t xml:space="preserve">, </w:t>
      </w:r>
      <w:r w:rsidR="006361C1" w:rsidRPr="00FC6B2F">
        <w:rPr>
          <w:rFonts w:ascii="Arial" w:eastAsia="Times New Roman" w:hAnsi="Arial" w:cs="Arial"/>
          <w:bCs/>
          <w:iCs/>
          <w:sz w:val="26"/>
          <w:szCs w:val="26"/>
          <w:lang w:eastAsia="es-ES"/>
        </w:rPr>
        <w:t xml:space="preserve">Municipio de </w:t>
      </w:r>
      <w:r w:rsidR="006361C1">
        <w:rPr>
          <w:rFonts w:ascii="Arial" w:eastAsia="Times New Roman" w:hAnsi="Arial" w:cs="Arial"/>
          <w:bCs/>
          <w:iCs/>
          <w:sz w:val="26"/>
          <w:szCs w:val="26"/>
          <w:lang w:eastAsia="es-ES"/>
        </w:rPr>
        <w:t>Villa Tejupam de la Unión</w:t>
      </w:r>
      <w:r w:rsidR="006361C1" w:rsidRPr="00FC6B2F">
        <w:rPr>
          <w:rFonts w:ascii="Arial" w:eastAsia="Times New Roman" w:hAnsi="Arial" w:cs="Arial"/>
          <w:bCs/>
          <w:iCs/>
          <w:sz w:val="26"/>
          <w:szCs w:val="26"/>
          <w:lang w:eastAsia="es-ES"/>
        </w:rPr>
        <w:t xml:space="preserve">, Distrito de </w:t>
      </w:r>
      <w:r w:rsidR="006361C1">
        <w:rPr>
          <w:rFonts w:ascii="Arial" w:eastAsia="Times New Roman" w:hAnsi="Arial" w:cs="Arial"/>
          <w:bCs/>
          <w:iCs/>
          <w:sz w:val="26"/>
          <w:szCs w:val="26"/>
          <w:lang w:eastAsia="es-ES"/>
        </w:rPr>
        <w:t>Teposcolula</w:t>
      </w:r>
      <w:r w:rsidR="006361C1" w:rsidRPr="00FC6B2F">
        <w:rPr>
          <w:rFonts w:ascii="Arial" w:eastAsia="Times New Roman" w:hAnsi="Arial" w:cs="Arial"/>
          <w:bCs/>
          <w:iCs/>
          <w:sz w:val="26"/>
          <w:szCs w:val="26"/>
          <w:lang w:eastAsia="es-ES"/>
        </w:rPr>
        <w:t>,  con un vehículo de su propiedad</w:t>
      </w:r>
      <w:r w:rsidR="005C3247">
        <w:rPr>
          <w:rFonts w:ascii="Arial" w:eastAsia="Times New Roman" w:hAnsi="Arial" w:cs="Arial"/>
          <w:bCs/>
          <w:iCs/>
          <w:sz w:val="26"/>
          <w:szCs w:val="26"/>
          <w:lang w:eastAsia="es-ES"/>
        </w:rPr>
        <w:t>;</w:t>
      </w:r>
      <w:r w:rsidR="006361C1">
        <w:rPr>
          <w:rFonts w:ascii="Arial" w:eastAsia="Times New Roman" w:hAnsi="Arial" w:cs="Arial"/>
          <w:bCs/>
          <w:iCs/>
          <w:sz w:val="26"/>
          <w:szCs w:val="26"/>
          <w:lang w:eastAsia="es-ES"/>
        </w:rPr>
        <w:t xml:space="preserve"> </w:t>
      </w:r>
      <w:r w:rsidR="00E57CA8">
        <w:rPr>
          <w:rFonts w:ascii="Arial" w:eastAsia="Times New Roman" w:hAnsi="Arial" w:cs="Arial"/>
          <w:bCs/>
          <w:iCs/>
          <w:sz w:val="26"/>
          <w:szCs w:val="26"/>
          <w:lang w:eastAsia="es-ES"/>
        </w:rPr>
        <w:t xml:space="preserve">documental con la que demostró su calidad de concesionario, y con la que </w:t>
      </w:r>
      <w:r w:rsidR="00E57CA8" w:rsidRPr="00E57CA8">
        <w:rPr>
          <w:rFonts w:ascii="Arial" w:eastAsia="Times New Roman" w:hAnsi="Arial" w:cs="Arial"/>
          <w:bCs/>
          <w:iCs/>
          <w:sz w:val="26"/>
          <w:szCs w:val="26"/>
          <w:lang w:eastAsia="es-ES"/>
        </w:rPr>
        <w:t xml:space="preserve">controvierte </w:t>
      </w:r>
      <w:r w:rsidR="00C75E32" w:rsidRPr="00E57CA8">
        <w:rPr>
          <w:rFonts w:ascii="Arial" w:eastAsia="Times New Roman" w:hAnsi="Arial" w:cs="Arial"/>
          <w:bCs/>
          <w:iCs/>
          <w:sz w:val="26"/>
          <w:szCs w:val="26"/>
          <w:lang w:eastAsia="es-ES"/>
        </w:rPr>
        <w:t xml:space="preserve"> </w:t>
      </w:r>
      <w:r w:rsidR="00E57CA8">
        <w:rPr>
          <w:rFonts w:ascii="Arial" w:eastAsia="Times New Roman" w:hAnsi="Arial" w:cs="Arial"/>
          <w:bCs/>
          <w:iCs/>
          <w:sz w:val="26"/>
          <w:szCs w:val="26"/>
          <w:lang w:eastAsia="es-ES"/>
        </w:rPr>
        <w:t xml:space="preserve">el </w:t>
      </w:r>
      <w:r w:rsidR="00E57CA8" w:rsidRPr="00E57CA8">
        <w:rPr>
          <w:rFonts w:ascii="Arial" w:eastAsia="Calibri" w:hAnsi="Arial" w:cs="Arial"/>
          <w:bCs/>
          <w:color w:val="000000"/>
          <w:sz w:val="26"/>
          <w:szCs w:val="26"/>
        </w:rPr>
        <w:t>estudio de factibilidad</w:t>
      </w:r>
      <w:r w:rsidR="00E57CA8">
        <w:rPr>
          <w:rFonts w:ascii="Arial" w:eastAsia="Calibri" w:hAnsi="Arial" w:cs="Arial"/>
          <w:bCs/>
          <w:color w:val="000000"/>
          <w:sz w:val="26"/>
          <w:szCs w:val="26"/>
        </w:rPr>
        <w:t xml:space="preserve"> que supuestamente fue realizado en la población de Villa de Tejupam de la Unión</w:t>
      </w:r>
      <w:r w:rsidR="00327F71">
        <w:rPr>
          <w:rFonts w:ascii="Arial" w:eastAsia="Calibri" w:hAnsi="Arial" w:cs="Arial"/>
          <w:bCs/>
          <w:color w:val="000000"/>
          <w:sz w:val="26"/>
          <w:szCs w:val="26"/>
        </w:rPr>
        <w:t>;</w:t>
      </w:r>
      <w:r w:rsidR="00E57CA8" w:rsidRPr="00E57CA8">
        <w:rPr>
          <w:rFonts w:ascii="Arial" w:eastAsia="Calibri" w:hAnsi="Arial" w:cs="Arial"/>
          <w:bCs/>
          <w:color w:val="000000"/>
          <w:sz w:val="26"/>
          <w:szCs w:val="26"/>
        </w:rPr>
        <w:t xml:space="preserve"> la convocatoria</w:t>
      </w:r>
      <w:r w:rsidR="002D51A2">
        <w:rPr>
          <w:rFonts w:ascii="Arial" w:eastAsia="Calibri" w:hAnsi="Arial" w:cs="Arial"/>
          <w:bCs/>
          <w:color w:val="000000"/>
          <w:sz w:val="26"/>
          <w:szCs w:val="26"/>
        </w:rPr>
        <w:t xml:space="preserve"> para el otorgamiento de concesiones para la prestación del </w:t>
      </w:r>
      <w:r w:rsidR="00327F71">
        <w:rPr>
          <w:rFonts w:ascii="Arial" w:eastAsia="Calibri" w:hAnsi="Arial" w:cs="Arial"/>
          <w:bCs/>
          <w:color w:val="000000"/>
          <w:sz w:val="26"/>
          <w:szCs w:val="26"/>
        </w:rPr>
        <w:t xml:space="preserve">servicio público de transporte; </w:t>
      </w:r>
      <w:r w:rsidR="002D51A2">
        <w:rPr>
          <w:rFonts w:ascii="Arial" w:eastAsia="Calibri" w:hAnsi="Arial" w:cs="Arial"/>
          <w:bCs/>
          <w:color w:val="000000"/>
          <w:sz w:val="26"/>
          <w:szCs w:val="26"/>
        </w:rPr>
        <w:t xml:space="preserve">y </w:t>
      </w:r>
      <w:r w:rsidR="00E57CA8" w:rsidRPr="00E57CA8">
        <w:rPr>
          <w:rFonts w:ascii="Arial" w:eastAsia="Calibri" w:hAnsi="Arial" w:cs="Arial"/>
          <w:bCs/>
          <w:color w:val="000000"/>
          <w:sz w:val="26"/>
          <w:szCs w:val="26"/>
        </w:rPr>
        <w:t xml:space="preserve">la resolución </w:t>
      </w:r>
      <w:r w:rsidR="002D51A2">
        <w:rPr>
          <w:rFonts w:ascii="Arial" w:eastAsia="Calibri" w:hAnsi="Arial" w:cs="Arial"/>
          <w:bCs/>
          <w:color w:val="000000"/>
          <w:sz w:val="26"/>
          <w:szCs w:val="26"/>
        </w:rPr>
        <w:t xml:space="preserve">dictada el 21 veintiuno de octubre de 2016 dos mil dieciséis, </w:t>
      </w:r>
      <w:r w:rsidR="00E57CA8" w:rsidRPr="00E57CA8">
        <w:rPr>
          <w:rFonts w:ascii="Arial" w:eastAsia="Calibri" w:hAnsi="Arial" w:cs="Arial"/>
          <w:bCs/>
          <w:color w:val="000000"/>
          <w:sz w:val="26"/>
          <w:szCs w:val="26"/>
        </w:rPr>
        <w:t xml:space="preserve">en la que se otorgan </w:t>
      </w:r>
      <w:r w:rsidR="002D51A2">
        <w:rPr>
          <w:rFonts w:ascii="Arial" w:eastAsia="Calibri" w:hAnsi="Arial" w:cs="Arial"/>
          <w:bCs/>
          <w:color w:val="000000"/>
          <w:sz w:val="26"/>
          <w:szCs w:val="26"/>
        </w:rPr>
        <w:t xml:space="preserve">12 </w:t>
      </w:r>
      <w:r w:rsidR="00E57CA8" w:rsidRPr="00E57CA8">
        <w:rPr>
          <w:rFonts w:ascii="Arial" w:eastAsia="Calibri" w:hAnsi="Arial" w:cs="Arial"/>
          <w:bCs/>
          <w:color w:val="000000"/>
          <w:sz w:val="26"/>
          <w:szCs w:val="26"/>
        </w:rPr>
        <w:t>doce concesiones de transporte</w:t>
      </w:r>
      <w:r w:rsidR="002D51A2">
        <w:rPr>
          <w:rFonts w:ascii="Arial" w:eastAsia="Times New Roman" w:hAnsi="Arial" w:cs="Arial"/>
          <w:bCs/>
          <w:iCs/>
          <w:sz w:val="26"/>
          <w:szCs w:val="26"/>
          <w:lang w:eastAsia="es-ES"/>
        </w:rPr>
        <w:t>, así como demás documentación relacionada a dichas concesiones</w:t>
      </w:r>
      <w:r w:rsidR="00863EC2">
        <w:rPr>
          <w:rFonts w:ascii="Arial" w:eastAsia="Times New Roman" w:hAnsi="Arial" w:cs="Arial"/>
          <w:bCs/>
          <w:iCs/>
          <w:sz w:val="26"/>
          <w:szCs w:val="26"/>
          <w:lang w:eastAsia="es-ES"/>
        </w:rPr>
        <w:t>;</w:t>
      </w:r>
      <w:r w:rsidR="006413B4">
        <w:rPr>
          <w:rFonts w:ascii="Arial" w:eastAsia="Times New Roman" w:hAnsi="Arial" w:cs="Arial"/>
          <w:bCs/>
          <w:iCs/>
          <w:sz w:val="26"/>
          <w:szCs w:val="26"/>
          <w:lang w:eastAsia="es-ES"/>
        </w:rPr>
        <w:t xml:space="preserve"> </w:t>
      </w:r>
      <w:r w:rsidR="007854C5">
        <w:rPr>
          <w:rFonts w:ascii="Arial" w:eastAsia="Times New Roman" w:hAnsi="Arial" w:cs="Arial"/>
          <w:bCs/>
          <w:iCs/>
          <w:sz w:val="26"/>
          <w:szCs w:val="26"/>
          <w:lang w:eastAsia="es-ES"/>
        </w:rPr>
        <w:t xml:space="preserve">y en segundo término, </w:t>
      </w:r>
      <w:r w:rsidR="00227342">
        <w:rPr>
          <w:rFonts w:ascii="Arial" w:eastAsia="Times New Roman" w:hAnsi="Arial" w:cs="Arial"/>
          <w:bCs/>
          <w:iCs/>
          <w:sz w:val="26"/>
          <w:szCs w:val="26"/>
          <w:lang w:eastAsia="es-ES"/>
        </w:rPr>
        <w:t xml:space="preserve">porque </w:t>
      </w:r>
      <w:r w:rsidR="00D1765D">
        <w:rPr>
          <w:rFonts w:ascii="Arial" w:eastAsia="Times New Roman" w:hAnsi="Arial" w:cs="Arial"/>
          <w:bCs/>
          <w:iCs/>
          <w:sz w:val="26"/>
          <w:szCs w:val="26"/>
          <w:lang w:eastAsia="es-ES"/>
        </w:rPr>
        <w:t xml:space="preserve">el aquí recurrente </w:t>
      </w:r>
      <w:r w:rsidR="00CB6C1F">
        <w:rPr>
          <w:rFonts w:ascii="Arial" w:eastAsia="Times New Roman" w:hAnsi="Arial" w:cs="Arial"/>
          <w:bCs/>
          <w:iCs/>
          <w:sz w:val="26"/>
          <w:szCs w:val="26"/>
          <w:lang w:eastAsia="es-ES"/>
        </w:rPr>
        <w:t xml:space="preserve">en sus conceptos de impugnación </w:t>
      </w:r>
      <w:r w:rsidR="00227342">
        <w:rPr>
          <w:rFonts w:ascii="Arial" w:eastAsia="Times New Roman" w:hAnsi="Arial" w:cs="Arial"/>
          <w:bCs/>
          <w:iCs/>
          <w:sz w:val="26"/>
          <w:szCs w:val="26"/>
          <w:lang w:eastAsia="es-ES"/>
        </w:rPr>
        <w:t xml:space="preserve">afirma que </w:t>
      </w:r>
      <w:r w:rsidR="00D1765D">
        <w:rPr>
          <w:rFonts w:ascii="Arial" w:eastAsia="Times New Roman" w:hAnsi="Arial" w:cs="Arial"/>
          <w:bCs/>
          <w:iCs/>
          <w:sz w:val="26"/>
          <w:szCs w:val="26"/>
          <w:lang w:eastAsia="es-ES"/>
        </w:rPr>
        <w:t xml:space="preserve">los </w:t>
      </w:r>
      <w:r w:rsidR="00C1427A">
        <w:rPr>
          <w:rFonts w:ascii="Arial" w:eastAsia="Times New Roman" w:hAnsi="Arial" w:cs="Arial"/>
          <w:bCs/>
          <w:iCs/>
          <w:sz w:val="26"/>
          <w:szCs w:val="26"/>
          <w:lang w:eastAsia="es-ES"/>
        </w:rPr>
        <w:t xml:space="preserve">actos administrativos </w:t>
      </w:r>
      <w:r w:rsidR="003B7869">
        <w:rPr>
          <w:rFonts w:ascii="Arial" w:eastAsia="Times New Roman" w:hAnsi="Arial" w:cs="Arial"/>
          <w:bCs/>
          <w:iCs/>
          <w:sz w:val="26"/>
          <w:szCs w:val="26"/>
          <w:lang w:eastAsia="es-ES"/>
        </w:rPr>
        <w:t>que combate en el presente juicio</w:t>
      </w:r>
      <w:r w:rsidR="00D1765D">
        <w:rPr>
          <w:rFonts w:ascii="Arial" w:eastAsia="Times New Roman" w:hAnsi="Arial" w:cs="Arial"/>
          <w:bCs/>
          <w:iCs/>
          <w:sz w:val="26"/>
          <w:szCs w:val="26"/>
          <w:lang w:eastAsia="es-ES"/>
        </w:rPr>
        <w:t xml:space="preserve">, </w:t>
      </w:r>
      <w:r w:rsidR="002D53E5">
        <w:rPr>
          <w:rFonts w:ascii="Arial" w:eastAsia="Times New Roman" w:hAnsi="Arial" w:cs="Arial"/>
          <w:bCs/>
          <w:iCs/>
          <w:sz w:val="26"/>
          <w:szCs w:val="26"/>
          <w:lang w:eastAsia="es-ES"/>
        </w:rPr>
        <w:t>carecen de validez y eficacia jurídica,</w:t>
      </w:r>
      <w:r w:rsidR="007854C5">
        <w:rPr>
          <w:rFonts w:ascii="Arial" w:eastAsia="Times New Roman" w:hAnsi="Arial" w:cs="Arial"/>
          <w:bCs/>
          <w:iCs/>
          <w:sz w:val="26"/>
          <w:szCs w:val="26"/>
          <w:lang w:eastAsia="es-ES"/>
        </w:rPr>
        <w:t xml:space="preserve"> además de que </w:t>
      </w:r>
      <w:r w:rsidR="00D1765D">
        <w:rPr>
          <w:rFonts w:ascii="Arial" w:eastAsia="Times New Roman" w:hAnsi="Arial" w:cs="Arial"/>
          <w:bCs/>
          <w:iCs/>
          <w:sz w:val="26"/>
          <w:szCs w:val="26"/>
          <w:lang w:eastAsia="es-ES"/>
        </w:rPr>
        <w:t xml:space="preserve">refiere que </w:t>
      </w:r>
      <w:r w:rsidR="007854C5">
        <w:rPr>
          <w:rFonts w:ascii="Arial" w:eastAsia="Times New Roman" w:hAnsi="Arial" w:cs="Arial"/>
          <w:bCs/>
          <w:iCs/>
          <w:sz w:val="26"/>
          <w:szCs w:val="26"/>
          <w:lang w:eastAsia="es-ES"/>
        </w:rPr>
        <w:t xml:space="preserve">la convocatoria publicada el seis de agosto de 2016 dos mil dieciséis, en el </w:t>
      </w:r>
      <w:r w:rsidR="00D1765D">
        <w:rPr>
          <w:rFonts w:ascii="Arial" w:eastAsia="Times New Roman" w:hAnsi="Arial" w:cs="Arial"/>
          <w:bCs/>
          <w:iCs/>
          <w:sz w:val="26"/>
          <w:szCs w:val="26"/>
          <w:lang w:eastAsia="es-ES"/>
        </w:rPr>
        <w:t>Periódico</w:t>
      </w:r>
      <w:r w:rsidR="007854C5">
        <w:rPr>
          <w:rFonts w:ascii="Arial" w:eastAsia="Times New Roman" w:hAnsi="Arial" w:cs="Arial"/>
          <w:bCs/>
          <w:iCs/>
          <w:sz w:val="26"/>
          <w:szCs w:val="26"/>
          <w:lang w:eastAsia="es-ES"/>
        </w:rPr>
        <w:t xml:space="preserve"> Oficial del </w:t>
      </w:r>
      <w:r w:rsidR="00D1765D">
        <w:rPr>
          <w:rFonts w:ascii="Arial" w:eastAsia="Times New Roman" w:hAnsi="Arial" w:cs="Arial"/>
          <w:bCs/>
          <w:iCs/>
          <w:sz w:val="26"/>
          <w:szCs w:val="26"/>
          <w:lang w:eastAsia="es-ES"/>
        </w:rPr>
        <w:t>Gobierno</w:t>
      </w:r>
      <w:r w:rsidR="007854C5">
        <w:rPr>
          <w:rFonts w:ascii="Arial" w:eastAsia="Times New Roman" w:hAnsi="Arial" w:cs="Arial"/>
          <w:bCs/>
          <w:iCs/>
          <w:sz w:val="26"/>
          <w:szCs w:val="26"/>
          <w:lang w:eastAsia="es-ES"/>
        </w:rPr>
        <w:t xml:space="preserve"> del Estado, fue emitida por autoridades incompetentes,</w:t>
      </w:r>
      <w:r w:rsidR="00327F71">
        <w:rPr>
          <w:rFonts w:ascii="Arial" w:eastAsia="Times New Roman" w:hAnsi="Arial" w:cs="Arial"/>
          <w:bCs/>
          <w:iCs/>
          <w:sz w:val="26"/>
          <w:szCs w:val="26"/>
          <w:lang w:eastAsia="es-ES"/>
        </w:rPr>
        <w:t xml:space="preserve"> lo que le ocasiona una afectación a sus </w:t>
      </w:r>
      <w:r w:rsidR="00D07547">
        <w:rPr>
          <w:rFonts w:ascii="Arial" w:eastAsia="Times New Roman" w:hAnsi="Arial" w:cs="Arial"/>
          <w:bCs/>
          <w:iCs/>
          <w:sz w:val="26"/>
          <w:szCs w:val="26"/>
          <w:lang w:eastAsia="es-ES"/>
        </w:rPr>
        <w:t>intereses</w:t>
      </w:r>
      <w:r w:rsidR="00327F71">
        <w:rPr>
          <w:rFonts w:ascii="Arial" w:eastAsia="Times New Roman" w:hAnsi="Arial" w:cs="Arial"/>
          <w:bCs/>
          <w:iCs/>
          <w:sz w:val="26"/>
          <w:szCs w:val="26"/>
          <w:lang w:eastAsia="es-ES"/>
        </w:rPr>
        <w:t xml:space="preserve"> legítimos</w:t>
      </w:r>
      <w:r w:rsidR="00863EC2">
        <w:rPr>
          <w:rFonts w:ascii="Arial" w:eastAsia="Times New Roman" w:hAnsi="Arial" w:cs="Arial"/>
          <w:bCs/>
          <w:iCs/>
          <w:sz w:val="26"/>
          <w:szCs w:val="26"/>
          <w:lang w:eastAsia="es-ES"/>
        </w:rPr>
        <w:t xml:space="preserve">, </w:t>
      </w:r>
      <w:r w:rsidR="00BA2ECD">
        <w:rPr>
          <w:rFonts w:ascii="Arial" w:eastAsia="Times New Roman" w:hAnsi="Arial" w:cs="Arial"/>
          <w:bCs/>
          <w:iCs/>
          <w:sz w:val="26"/>
          <w:szCs w:val="26"/>
          <w:lang w:eastAsia="es-ES"/>
        </w:rPr>
        <w:t xml:space="preserve">pues dice que el procedimiento para el otorgamiento de concesiones en el municipio de Villa Tejupam de la Unión, no fue </w:t>
      </w:r>
      <w:r w:rsidR="00863EC2">
        <w:rPr>
          <w:rFonts w:ascii="Arial" w:eastAsia="Times New Roman" w:hAnsi="Arial" w:cs="Arial"/>
          <w:bCs/>
          <w:iCs/>
          <w:sz w:val="26"/>
          <w:szCs w:val="26"/>
          <w:lang w:eastAsia="es-ES"/>
        </w:rPr>
        <w:t>realizado de forma</w:t>
      </w:r>
      <w:r w:rsidR="00BA2ECD">
        <w:rPr>
          <w:rFonts w:ascii="Arial" w:eastAsia="Times New Roman" w:hAnsi="Arial" w:cs="Arial"/>
          <w:bCs/>
          <w:iCs/>
          <w:sz w:val="26"/>
          <w:szCs w:val="26"/>
          <w:lang w:eastAsia="es-ES"/>
        </w:rPr>
        <w:t xml:space="preserve"> legal, </w:t>
      </w:r>
      <w:r w:rsidR="00CB6C1F">
        <w:rPr>
          <w:rFonts w:ascii="Arial" w:eastAsia="Times New Roman" w:hAnsi="Arial" w:cs="Arial"/>
          <w:bCs/>
          <w:iCs/>
          <w:sz w:val="26"/>
          <w:szCs w:val="26"/>
          <w:lang w:eastAsia="es-ES"/>
        </w:rPr>
        <w:t xml:space="preserve">motivo por </w:t>
      </w:r>
      <w:r w:rsidR="00CB6C1F">
        <w:rPr>
          <w:rFonts w:ascii="Arial" w:eastAsia="Times New Roman" w:hAnsi="Arial" w:cs="Arial"/>
          <w:bCs/>
          <w:iCs/>
          <w:sz w:val="26"/>
          <w:szCs w:val="26"/>
          <w:lang w:eastAsia="es-ES"/>
        </w:rPr>
        <w:lastRenderedPageBreak/>
        <w:t xml:space="preserve">el </w:t>
      </w:r>
      <w:r w:rsidR="00BD04AA">
        <w:rPr>
          <w:rFonts w:ascii="Arial" w:eastAsia="Times New Roman" w:hAnsi="Arial" w:cs="Arial"/>
          <w:bCs/>
          <w:iCs/>
          <w:sz w:val="26"/>
          <w:szCs w:val="26"/>
          <w:lang w:eastAsia="es-ES"/>
        </w:rPr>
        <w:t>cual</w:t>
      </w:r>
      <w:r w:rsidR="00BA2ECD">
        <w:rPr>
          <w:rFonts w:ascii="Arial" w:eastAsia="Times New Roman" w:hAnsi="Arial" w:cs="Arial"/>
          <w:bCs/>
          <w:iCs/>
          <w:sz w:val="26"/>
          <w:szCs w:val="26"/>
          <w:lang w:eastAsia="es-ES"/>
        </w:rPr>
        <w:t xml:space="preserve"> su derecho adquirido ha sido vulnerado</w:t>
      </w:r>
      <w:r w:rsidR="003B7869">
        <w:rPr>
          <w:rFonts w:ascii="Arial" w:eastAsia="Times New Roman" w:hAnsi="Arial" w:cs="Arial"/>
          <w:bCs/>
          <w:iCs/>
          <w:sz w:val="26"/>
          <w:szCs w:val="26"/>
          <w:lang w:eastAsia="es-ES"/>
        </w:rPr>
        <w:t>, por ser concesionario del transporte pú</w:t>
      </w:r>
      <w:r w:rsidR="00456AA7">
        <w:rPr>
          <w:rFonts w:ascii="Arial" w:eastAsia="Times New Roman" w:hAnsi="Arial" w:cs="Arial"/>
          <w:bCs/>
          <w:iCs/>
          <w:sz w:val="26"/>
          <w:szCs w:val="26"/>
          <w:lang w:eastAsia="es-ES"/>
        </w:rPr>
        <w:t>blico en su modalidad de taxi.</w:t>
      </w:r>
    </w:p>
    <w:p w:rsidR="00456AA7" w:rsidRDefault="0006784F" w:rsidP="00456AA7">
      <w:pPr>
        <w:spacing w:after="200" w:line="360" w:lineRule="auto"/>
        <w:ind w:firstLine="708"/>
        <w:jc w:val="both"/>
        <w:rPr>
          <w:rFonts w:ascii="Arial" w:eastAsia="Calibri" w:hAnsi="Arial"/>
          <w:sz w:val="26"/>
          <w:szCs w:val="26"/>
          <w:lang w:val="es-ES"/>
        </w:rPr>
      </w:pPr>
      <w:r>
        <w:rPr>
          <w:rFonts w:ascii="Arial" w:eastAsia="Calibri" w:hAnsi="Arial"/>
          <w:sz w:val="26"/>
          <w:szCs w:val="26"/>
          <w:lang w:val="es-ES"/>
        </w:rPr>
        <w:t>Por tanto</w:t>
      </w:r>
      <w:r w:rsidR="006361C1" w:rsidRPr="006361C1">
        <w:rPr>
          <w:rFonts w:ascii="Arial" w:eastAsia="Calibri" w:hAnsi="Arial"/>
          <w:sz w:val="26"/>
          <w:szCs w:val="26"/>
          <w:lang w:val="es-ES"/>
        </w:rPr>
        <w:t>,</w:t>
      </w:r>
      <w:r>
        <w:rPr>
          <w:rFonts w:ascii="Arial" w:eastAsia="Calibri" w:hAnsi="Arial"/>
          <w:sz w:val="26"/>
          <w:szCs w:val="26"/>
          <w:lang w:val="es-ES"/>
        </w:rPr>
        <w:t xml:space="preserve"> </w:t>
      </w:r>
      <w:r w:rsidR="006413B4">
        <w:rPr>
          <w:rFonts w:ascii="Arial" w:eastAsia="Calibri" w:hAnsi="Arial"/>
          <w:sz w:val="26"/>
          <w:szCs w:val="26"/>
          <w:lang w:val="es-ES"/>
        </w:rPr>
        <w:t>al</w:t>
      </w:r>
      <w:r w:rsidR="00A37708">
        <w:rPr>
          <w:rFonts w:ascii="Arial" w:eastAsia="Calibri" w:hAnsi="Arial"/>
          <w:sz w:val="26"/>
          <w:szCs w:val="26"/>
          <w:lang w:val="es-ES"/>
        </w:rPr>
        <w:t xml:space="preserve"> no considerarlo de esta forma</w:t>
      </w:r>
      <w:r w:rsidR="006413B4">
        <w:rPr>
          <w:rFonts w:ascii="Arial" w:eastAsia="Calibri" w:hAnsi="Arial"/>
          <w:sz w:val="26"/>
          <w:szCs w:val="26"/>
          <w:lang w:val="es-ES"/>
        </w:rPr>
        <w:t xml:space="preserve"> </w:t>
      </w:r>
      <w:r>
        <w:rPr>
          <w:rFonts w:ascii="Arial" w:eastAsia="Calibri" w:hAnsi="Arial"/>
          <w:sz w:val="26"/>
          <w:szCs w:val="26"/>
          <w:lang w:val="es-ES"/>
        </w:rPr>
        <w:t>la sala primigenia</w:t>
      </w:r>
      <w:r w:rsidR="00A37708">
        <w:rPr>
          <w:rFonts w:ascii="Arial" w:eastAsia="Calibri" w:hAnsi="Arial"/>
          <w:sz w:val="26"/>
          <w:szCs w:val="26"/>
          <w:lang w:val="es-ES"/>
        </w:rPr>
        <w:t xml:space="preserve">, </w:t>
      </w:r>
      <w:r w:rsidR="00464C68">
        <w:rPr>
          <w:rFonts w:ascii="Arial" w:eastAsia="Calibri" w:hAnsi="Arial"/>
          <w:sz w:val="26"/>
          <w:szCs w:val="26"/>
          <w:lang w:val="es-ES"/>
        </w:rPr>
        <w:t>es que</w:t>
      </w:r>
      <w:r w:rsidR="00A37708">
        <w:rPr>
          <w:rFonts w:ascii="Arial" w:eastAsia="Calibri" w:hAnsi="Arial"/>
          <w:sz w:val="26"/>
          <w:szCs w:val="26"/>
          <w:lang w:val="es-ES"/>
        </w:rPr>
        <w:t xml:space="preserve"> d</w:t>
      </w:r>
      <w:r w:rsidR="006361C1" w:rsidRPr="006361C1">
        <w:rPr>
          <w:rFonts w:ascii="Arial" w:hAnsi="Arial" w:cs="Arial"/>
          <w:sz w:val="26"/>
          <w:szCs w:val="26"/>
          <w:lang w:val="es-ES"/>
        </w:rPr>
        <w:t>e</w:t>
      </w:r>
      <w:r w:rsidR="00464C68">
        <w:rPr>
          <w:rFonts w:ascii="Arial" w:hAnsi="Arial" w:cs="Arial"/>
          <w:sz w:val="26"/>
          <w:szCs w:val="26"/>
          <w:lang w:val="es-ES"/>
        </w:rPr>
        <w:t>jó de</w:t>
      </w:r>
      <w:r w:rsidR="006361C1" w:rsidRPr="006361C1">
        <w:rPr>
          <w:rFonts w:ascii="Arial" w:hAnsi="Arial" w:cs="Arial"/>
          <w:sz w:val="26"/>
          <w:szCs w:val="26"/>
          <w:lang w:val="es-ES"/>
        </w:rPr>
        <w:t xml:space="preserve"> analizar el fondo del asunto planteado, pues si bien, dice e</w:t>
      </w:r>
      <w:r w:rsidR="006812C4">
        <w:rPr>
          <w:rFonts w:ascii="Arial" w:hAnsi="Arial" w:cs="Arial"/>
          <w:sz w:val="26"/>
          <w:szCs w:val="26"/>
          <w:lang w:val="es-ES"/>
        </w:rPr>
        <w:t>ntrar a</w:t>
      </w:r>
      <w:r>
        <w:rPr>
          <w:rFonts w:ascii="Arial" w:hAnsi="Arial" w:cs="Arial"/>
          <w:sz w:val="26"/>
          <w:szCs w:val="26"/>
          <w:lang w:val="es-ES"/>
        </w:rPr>
        <w:t xml:space="preserve">l estudio de los conceptos de impugnación del actor, respecto </w:t>
      </w:r>
      <w:r w:rsidR="00A37708">
        <w:rPr>
          <w:rFonts w:ascii="Arial" w:hAnsi="Arial" w:cs="Arial"/>
          <w:sz w:val="26"/>
          <w:szCs w:val="26"/>
          <w:lang w:val="es-ES"/>
        </w:rPr>
        <w:t>de</w:t>
      </w:r>
      <w:r>
        <w:rPr>
          <w:rFonts w:ascii="Arial" w:hAnsi="Arial" w:cs="Arial"/>
          <w:sz w:val="26"/>
          <w:szCs w:val="26"/>
          <w:lang w:val="es-ES"/>
        </w:rPr>
        <w:t xml:space="preserve"> </w:t>
      </w:r>
      <w:r w:rsidR="00A85F4E">
        <w:rPr>
          <w:rFonts w:ascii="Arial" w:hAnsi="Arial" w:cs="Arial"/>
          <w:sz w:val="26"/>
          <w:szCs w:val="26"/>
          <w:lang w:val="es-ES"/>
        </w:rPr>
        <w:t>los actos impugnados</w:t>
      </w:r>
      <w:r w:rsidR="006361C1" w:rsidRPr="006361C1">
        <w:rPr>
          <w:rFonts w:ascii="Arial" w:hAnsi="Arial" w:cs="Arial"/>
          <w:sz w:val="26"/>
          <w:szCs w:val="26"/>
          <w:lang w:val="es-ES" w:eastAsia="es-MX"/>
        </w:rPr>
        <w:t xml:space="preserve">, no lo hace así, </w:t>
      </w:r>
      <w:r w:rsidR="001E1FF0">
        <w:rPr>
          <w:rFonts w:ascii="Arial" w:hAnsi="Arial" w:cs="Arial"/>
          <w:sz w:val="26"/>
          <w:szCs w:val="26"/>
          <w:lang w:val="es-ES" w:eastAsia="es-MX"/>
        </w:rPr>
        <w:t xml:space="preserve">pues únicamente se concretó a señalar </w:t>
      </w:r>
      <w:r w:rsidR="001829FE">
        <w:rPr>
          <w:rFonts w:ascii="Arial" w:eastAsia="Times New Roman" w:hAnsi="Arial" w:cs="Arial"/>
          <w:bCs/>
          <w:iCs/>
          <w:sz w:val="26"/>
          <w:szCs w:val="26"/>
          <w:lang w:val="es-ES" w:eastAsia="es-ES"/>
        </w:rPr>
        <w:t xml:space="preserve">que de acuerdo al artículo 73 de la Ley de Transporte del Estado, debe realizarse el estudio socioeconómico previo a la convocatoria; que de </w:t>
      </w:r>
      <w:r w:rsidR="001829FE" w:rsidRPr="003B7869">
        <w:rPr>
          <w:rFonts w:ascii="Arial" w:eastAsia="Times New Roman" w:hAnsi="Arial" w:cs="Arial"/>
          <w:bCs/>
          <w:iCs/>
          <w:sz w:val="26"/>
          <w:szCs w:val="26"/>
          <w:lang w:val="es-ES" w:eastAsia="es-ES"/>
        </w:rPr>
        <w:t>no existir dicho estudio técnico</w:t>
      </w:r>
      <w:r w:rsidR="001829FE">
        <w:rPr>
          <w:rFonts w:ascii="Arial" w:eastAsia="Times New Roman" w:hAnsi="Arial" w:cs="Arial"/>
          <w:bCs/>
          <w:iCs/>
          <w:sz w:val="26"/>
          <w:szCs w:val="26"/>
          <w:lang w:val="es-ES" w:eastAsia="es-ES"/>
        </w:rPr>
        <w:t xml:space="preserve"> de ninguna manera invalida lo realizado por la autoridad demandada, ya que nada la obliga a </w:t>
      </w:r>
      <w:r w:rsidR="001829FE" w:rsidRPr="003B7869">
        <w:rPr>
          <w:rFonts w:ascii="Arial" w:eastAsia="Times New Roman" w:hAnsi="Arial" w:cs="Arial"/>
          <w:bCs/>
          <w:iCs/>
          <w:sz w:val="26"/>
          <w:szCs w:val="26"/>
          <w:lang w:val="es-ES" w:eastAsia="es-ES"/>
        </w:rPr>
        <w:t>publicarlo</w:t>
      </w:r>
      <w:r w:rsidR="001829FE">
        <w:rPr>
          <w:rFonts w:ascii="Arial" w:eastAsia="Times New Roman" w:hAnsi="Arial" w:cs="Arial"/>
          <w:bCs/>
          <w:i/>
          <w:iCs/>
          <w:sz w:val="26"/>
          <w:szCs w:val="26"/>
          <w:lang w:val="es-ES" w:eastAsia="es-ES"/>
        </w:rPr>
        <w:t>,</w:t>
      </w:r>
      <w:r w:rsidR="001829FE">
        <w:rPr>
          <w:rFonts w:ascii="Arial" w:eastAsia="Times New Roman" w:hAnsi="Arial" w:cs="Arial"/>
          <w:bCs/>
          <w:iCs/>
          <w:sz w:val="26"/>
          <w:szCs w:val="26"/>
          <w:lang w:val="es-ES" w:eastAsia="es-ES"/>
        </w:rPr>
        <w:t xml:space="preserve"> que la Secretaría emitirá la convocatoria dentro del Periódico Oficial del Estado, así como en un periódico de mayor circulación; qu</w:t>
      </w:r>
      <w:r w:rsidR="003B7869">
        <w:rPr>
          <w:rFonts w:ascii="Arial" w:eastAsia="Times New Roman" w:hAnsi="Arial" w:cs="Arial"/>
          <w:bCs/>
          <w:iCs/>
          <w:sz w:val="26"/>
          <w:szCs w:val="26"/>
          <w:lang w:val="es-ES" w:eastAsia="es-ES"/>
        </w:rPr>
        <w:t>e el actor en el juicio no probó</w:t>
      </w:r>
      <w:r w:rsidR="001829FE">
        <w:rPr>
          <w:rFonts w:ascii="Arial" w:eastAsia="Times New Roman" w:hAnsi="Arial" w:cs="Arial"/>
          <w:bCs/>
          <w:iCs/>
          <w:sz w:val="26"/>
          <w:szCs w:val="26"/>
          <w:lang w:val="es-ES" w:eastAsia="es-ES"/>
        </w:rPr>
        <w:t xml:space="preserve"> su afirmación consistente en que no es necesario la ampliación del servicio de transporte en la modalidad de taxi, además de que ya es concesionario</w:t>
      </w:r>
      <w:r w:rsidR="00CC6BA8">
        <w:rPr>
          <w:rFonts w:ascii="Arial" w:eastAsia="Times New Roman" w:hAnsi="Arial" w:cs="Arial"/>
          <w:bCs/>
          <w:iCs/>
          <w:sz w:val="26"/>
          <w:szCs w:val="26"/>
          <w:lang w:val="es-ES" w:eastAsia="es-ES"/>
        </w:rPr>
        <w:t xml:space="preserve">; </w:t>
      </w:r>
      <w:r w:rsidR="006361C1" w:rsidRPr="006361C1">
        <w:rPr>
          <w:rFonts w:ascii="Arial" w:hAnsi="Arial" w:cs="Arial"/>
          <w:sz w:val="26"/>
          <w:szCs w:val="26"/>
          <w:lang w:val="es-ES" w:eastAsia="es-MX"/>
        </w:rPr>
        <w:t xml:space="preserve">violentando con su actuar </w:t>
      </w:r>
      <w:r w:rsidR="006361C1" w:rsidRPr="006361C1">
        <w:rPr>
          <w:rFonts w:ascii="Arial" w:eastAsia="Calibri" w:hAnsi="Arial"/>
          <w:sz w:val="26"/>
          <w:szCs w:val="26"/>
          <w:lang w:val="es-ES"/>
        </w:rPr>
        <w:t xml:space="preserve">el artículo 177 fracciones I y II de la Ley de Justicia Administrativa para el Estado de Oaxaca, del que se deduce que el juzgador debe emitir sus resoluciones en concordancia con la demanda y por la contestación formulada por las partes, además de </w:t>
      </w:r>
      <w:r w:rsidR="006361C1" w:rsidRPr="00CC6BA8">
        <w:rPr>
          <w:rFonts w:ascii="Arial" w:eastAsia="Calibri" w:hAnsi="Arial"/>
          <w:i/>
          <w:sz w:val="26"/>
          <w:szCs w:val="26"/>
          <w:lang w:val="es-ES"/>
        </w:rPr>
        <w:t>no existir afirmaciones que se contradigan entre sí</w:t>
      </w:r>
      <w:r w:rsidR="006361C1" w:rsidRPr="006361C1">
        <w:rPr>
          <w:rFonts w:ascii="Arial" w:eastAsia="Calibri" w:hAnsi="Arial"/>
          <w:sz w:val="26"/>
          <w:szCs w:val="26"/>
          <w:lang w:val="es-ES"/>
        </w:rPr>
        <w:t>.</w:t>
      </w:r>
    </w:p>
    <w:p w:rsidR="00456AA7" w:rsidRDefault="003B7869" w:rsidP="00456AA7">
      <w:pPr>
        <w:spacing w:after="200" w:line="360" w:lineRule="auto"/>
        <w:ind w:firstLine="708"/>
        <w:jc w:val="both"/>
        <w:rPr>
          <w:rFonts w:ascii="Arial" w:eastAsia="Calibri" w:hAnsi="Arial" w:cs="Arial"/>
          <w:sz w:val="26"/>
          <w:szCs w:val="26"/>
          <w:lang w:val="es-ES"/>
        </w:rPr>
      </w:pPr>
      <w:r>
        <w:rPr>
          <w:rFonts w:ascii="Arial" w:eastAsia="Calibri" w:hAnsi="Arial"/>
          <w:sz w:val="26"/>
          <w:szCs w:val="26"/>
          <w:lang w:val="es-ES"/>
        </w:rPr>
        <w:t>En consecuencia, a</w:t>
      </w:r>
      <w:r w:rsidR="00464C68">
        <w:rPr>
          <w:rFonts w:ascii="Arial" w:eastAsia="Calibri" w:hAnsi="Arial"/>
          <w:sz w:val="26"/>
          <w:szCs w:val="26"/>
          <w:lang w:val="es-ES"/>
        </w:rPr>
        <w:t xml:space="preserve"> </w:t>
      </w:r>
      <w:r w:rsidR="00464C68">
        <w:rPr>
          <w:rFonts w:ascii="Arial" w:hAnsi="Arial" w:cs="Arial"/>
          <w:sz w:val="26"/>
          <w:szCs w:val="26"/>
        </w:rPr>
        <w:t xml:space="preserve">fin de reparar el agravio cometido al actor, lo procedente es  </w:t>
      </w:r>
      <w:r w:rsidR="00D46EA7">
        <w:rPr>
          <w:rFonts w:ascii="Arial" w:hAnsi="Arial" w:cs="Arial"/>
          <w:b/>
          <w:sz w:val="26"/>
          <w:szCs w:val="26"/>
        </w:rPr>
        <w:t>REVOCAR</w:t>
      </w:r>
      <w:r w:rsidR="00464C68">
        <w:rPr>
          <w:rFonts w:ascii="Arial" w:hAnsi="Arial" w:cs="Arial"/>
          <w:b/>
          <w:sz w:val="26"/>
          <w:szCs w:val="26"/>
        </w:rPr>
        <w:t xml:space="preserve"> </w:t>
      </w:r>
      <w:r w:rsidR="00464C68">
        <w:rPr>
          <w:rFonts w:ascii="Arial" w:hAnsi="Arial" w:cs="Arial"/>
          <w:sz w:val="26"/>
          <w:szCs w:val="26"/>
        </w:rPr>
        <w:t xml:space="preserve">la resolución de </w:t>
      </w:r>
      <w:r w:rsidR="00D46EA7">
        <w:rPr>
          <w:rFonts w:ascii="Arial" w:hAnsi="Arial" w:cs="Arial"/>
          <w:sz w:val="26"/>
          <w:szCs w:val="26"/>
        </w:rPr>
        <w:t>15 quince de octubre de 2018 dos mil dieciocho</w:t>
      </w:r>
      <w:r w:rsidR="00464C68">
        <w:rPr>
          <w:rFonts w:ascii="Arial" w:hAnsi="Arial" w:cs="Arial"/>
          <w:sz w:val="26"/>
          <w:szCs w:val="26"/>
        </w:rPr>
        <w:t xml:space="preserve">, </w:t>
      </w:r>
      <w:r w:rsidR="009624C8">
        <w:rPr>
          <w:rFonts w:ascii="Arial" w:hAnsi="Arial" w:cs="Arial"/>
          <w:bCs/>
          <w:color w:val="000000"/>
          <w:sz w:val="26"/>
          <w:szCs w:val="26"/>
        </w:rPr>
        <w:t>devolviéndose los autos a la sala de origen, a fin de que agote su jurisdicción, en atención a la existencia de</w:t>
      </w:r>
      <w:r w:rsidR="00EC6803">
        <w:rPr>
          <w:rFonts w:ascii="Arial" w:hAnsi="Arial" w:cs="Arial"/>
          <w:bCs/>
          <w:color w:val="000000"/>
          <w:sz w:val="26"/>
          <w:szCs w:val="26"/>
        </w:rPr>
        <w:t xml:space="preserve"> </w:t>
      </w:r>
      <w:r w:rsidR="009624C8">
        <w:rPr>
          <w:rFonts w:ascii="Arial" w:hAnsi="Arial" w:cs="Arial"/>
          <w:bCs/>
          <w:color w:val="000000"/>
          <w:sz w:val="26"/>
          <w:szCs w:val="26"/>
        </w:rPr>
        <w:t>l</w:t>
      </w:r>
      <w:r w:rsidR="00EC6803">
        <w:rPr>
          <w:rFonts w:ascii="Arial" w:hAnsi="Arial" w:cs="Arial"/>
          <w:bCs/>
          <w:color w:val="000000"/>
          <w:sz w:val="26"/>
          <w:szCs w:val="26"/>
        </w:rPr>
        <w:t>a afectación del</w:t>
      </w:r>
      <w:r w:rsidR="009624C8">
        <w:rPr>
          <w:rFonts w:ascii="Arial" w:hAnsi="Arial" w:cs="Arial"/>
          <w:bCs/>
          <w:color w:val="000000"/>
          <w:sz w:val="26"/>
          <w:szCs w:val="26"/>
        </w:rPr>
        <w:t xml:space="preserve"> interés legítimo de la </w:t>
      </w:r>
      <w:r w:rsidR="00D46EA7">
        <w:rPr>
          <w:rFonts w:ascii="Arial" w:hAnsi="Arial" w:cs="Arial"/>
          <w:bCs/>
          <w:color w:val="000000"/>
          <w:sz w:val="26"/>
          <w:szCs w:val="26"/>
        </w:rPr>
        <w:t xml:space="preserve">parte </w:t>
      </w:r>
      <w:r w:rsidR="009624C8">
        <w:rPr>
          <w:rFonts w:ascii="Arial" w:hAnsi="Arial" w:cs="Arial"/>
          <w:bCs/>
          <w:color w:val="000000"/>
          <w:sz w:val="26"/>
          <w:szCs w:val="26"/>
        </w:rPr>
        <w:t>actora, debiendo realizar el estudio del fondo del asunto</w:t>
      </w:r>
      <w:r w:rsidR="009624C8" w:rsidRPr="007306F7">
        <w:rPr>
          <w:rFonts w:ascii="Arial" w:hAnsi="Arial" w:cs="Arial"/>
          <w:sz w:val="28"/>
          <w:szCs w:val="28"/>
        </w:rPr>
        <w:t xml:space="preserve">, </w:t>
      </w:r>
      <w:r w:rsidR="009624C8">
        <w:rPr>
          <w:rFonts w:ascii="Arial" w:hAnsi="Arial" w:cs="Arial"/>
          <w:sz w:val="26"/>
          <w:szCs w:val="26"/>
        </w:rPr>
        <w:t>a fin de resolver</w:t>
      </w:r>
      <w:r w:rsidR="009624C8" w:rsidRPr="00B7080A">
        <w:rPr>
          <w:rFonts w:ascii="Arial" w:hAnsi="Arial" w:cs="Arial"/>
          <w:sz w:val="26"/>
          <w:szCs w:val="26"/>
        </w:rPr>
        <w:t xml:space="preserve"> sobre la validez o nulidad de</w:t>
      </w:r>
      <w:r w:rsidR="00D46EA7">
        <w:rPr>
          <w:rFonts w:ascii="Arial" w:hAnsi="Arial" w:cs="Arial"/>
          <w:sz w:val="26"/>
          <w:szCs w:val="26"/>
        </w:rPr>
        <w:t xml:space="preserve"> </w:t>
      </w:r>
      <w:r w:rsidR="009624C8" w:rsidRPr="00B7080A">
        <w:rPr>
          <w:rFonts w:ascii="Arial" w:hAnsi="Arial" w:cs="Arial"/>
          <w:sz w:val="26"/>
          <w:szCs w:val="26"/>
        </w:rPr>
        <w:t>l</w:t>
      </w:r>
      <w:r w:rsidR="00D46EA7">
        <w:rPr>
          <w:rFonts w:ascii="Arial" w:hAnsi="Arial" w:cs="Arial"/>
          <w:sz w:val="26"/>
          <w:szCs w:val="26"/>
        </w:rPr>
        <w:t>os</w:t>
      </w:r>
      <w:r w:rsidR="009624C8" w:rsidRPr="00B7080A">
        <w:rPr>
          <w:rFonts w:ascii="Arial" w:hAnsi="Arial" w:cs="Arial"/>
          <w:sz w:val="26"/>
          <w:szCs w:val="26"/>
        </w:rPr>
        <w:t xml:space="preserve"> acto</w:t>
      </w:r>
      <w:r w:rsidR="00D46EA7">
        <w:rPr>
          <w:rFonts w:ascii="Arial" w:hAnsi="Arial" w:cs="Arial"/>
          <w:sz w:val="26"/>
          <w:szCs w:val="26"/>
        </w:rPr>
        <w:t>s</w:t>
      </w:r>
      <w:r w:rsidR="009624C8" w:rsidRPr="00B7080A">
        <w:rPr>
          <w:rFonts w:ascii="Arial" w:hAnsi="Arial" w:cs="Arial"/>
          <w:sz w:val="26"/>
          <w:szCs w:val="26"/>
        </w:rPr>
        <w:t xml:space="preserve"> impugnado</w:t>
      </w:r>
      <w:r w:rsidR="00D46EA7">
        <w:rPr>
          <w:rFonts w:ascii="Arial" w:hAnsi="Arial" w:cs="Arial"/>
          <w:sz w:val="26"/>
          <w:szCs w:val="26"/>
        </w:rPr>
        <w:t>s</w:t>
      </w:r>
      <w:r w:rsidR="009624C8" w:rsidRPr="00B7080A">
        <w:rPr>
          <w:rFonts w:ascii="Arial" w:hAnsi="Arial" w:cs="Arial"/>
          <w:sz w:val="26"/>
          <w:szCs w:val="26"/>
        </w:rPr>
        <w:t>, sin que ello implique reenvió,</w:t>
      </w:r>
      <w:r w:rsidR="009624C8">
        <w:rPr>
          <w:rFonts w:ascii="Arial" w:hAnsi="Arial" w:cs="Arial"/>
          <w:sz w:val="26"/>
          <w:szCs w:val="26"/>
        </w:rPr>
        <w:t xml:space="preserve"> </w:t>
      </w:r>
      <w:r w:rsidR="009624C8" w:rsidRPr="00B7080A">
        <w:rPr>
          <w:rFonts w:ascii="Arial" w:hAnsi="Arial" w:cs="Arial"/>
          <w:sz w:val="26"/>
          <w:szCs w:val="26"/>
        </w:rPr>
        <w:t>virtud a que</w:t>
      </w:r>
      <w:r w:rsidR="009624C8" w:rsidRPr="00E118DE">
        <w:rPr>
          <w:rFonts w:ascii="Arial" w:hAnsi="Arial" w:cs="Arial"/>
          <w:sz w:val="26"/>
          <w:szCs w:val="26"/>
        </w:rPr>
        <w:t xml:space="preserve"> este órgano revisor no tiene facultades para pronunciarse de un asunto, donde </w:t>
      </w:r>
      <w:r w:rsidR="009624C8">
        <w:rPr>
          <w:rFonts w:ascii="Arial" w:hAnsi="Arial" w:cs="Arial"/>
          <w:sz w:val="26"/>
          <w:szCs w:val="26"/>
        </w:rPr>
        <w:t>e</w:t>
      </w:r>
      <w:r w:rsidR="009624C8" w:rsidRPr="00E118DE">
        <w:rPr>
          <w:rFonts w:ascii="Arial" w:hAnsi="Arial" w:cs="Arial"/>
          <w:sz w:val="26"/>
          <w:szCs w:val="26"/>
        </w:rPr>
        <w:t xml:space="preserve">l juzgador no agotó </w:t>
      </w:r>
      <w:r w:rsidR="009624C8">
        <w:rPr>
          <w:rFonts w:ascii="Arial" w:hAnsi="Arial" w:cs="Arial"/>
          <w:sz w:val="26"/>
          <w:szCs w:val="26"/>
        </w:rPr>
        <w:t>la</w:t>
      </w:r>
      <w:r w:rsidR="009624C8" w:rsidRPr="00E118DE">
        <w:rPr>
          <w:rFonts w:ascii="Arial" w:hAnsi="Arial" w:cs="Arial"/>
          <w:sz w:val="26"/>
          <w:szCs w:val="26"/>
        </w:rPr>
        <w:t xml:space="preserve"> obligación que le impone la ley para resolver acerca de todas las cuestione</w:t>
      </w:r>
      <w:r w:rsidR="00D46EA7">
        <w:rPr>
          <w:rFonts w:ascii="Arial" w:hAnsi="Arial" w:cs="Arial"/>
          <w:sz w:val="26"/>
          <w:szCs w:val="26"/>
        </w:rPr>
        <w:t>s sometidas a su consideración</w:t>
      </w:r>
      <w:r w:rsidR="00F850FC" w:rsidRPr="00F850FC">
        <w:rPr>
          <w:rFonts w:ascii="Arial" w:eastAsia="Calibri" w:hAnsi="Arial" w:cs="Arial"/>
          <w:sz w:val="26"/>
          <w:szCs w:val="26"/>
          <w:lang w:val="es-ES"/>
        </w:rPr>
        <w:t>, como lo establece el artículo 177 de la Ley de Justicia Administr</w:t>
      </w:r>
      <w:r w:rsidR="00456AA7">
        <w:rPr>
          <w:rFonts w:ascii="Arial" w:eastAsia="Calibri" w:hAnsi="Arial" w:cs="Arial"/>
          <w:sz w:val="26"/>
          <w:szCs w:val="26"/>
          <w:lang w:val="es-ES"/>
        </w:rPr>
        <w:t>ativa para el Estado de Oaxaca.</w:t>
      </w:r>
    </w:p>
    <w:p w:rsidR="00AD648D" w:rsidRPr="000C0C86" w:rsidRDefault="00F850FC" w:rsidP="000C0C86">
      <w:pPr>
        <w:spacing w:after="200" w:line="360" w:lineRule="auto"/>
        <w:ind w:firstLine="708"/>
        <w:jc w:val="both"/>
        <w:rPr>
          <w:rFonts w:ascii="Arial" w:eastAsia="Times New Roman" w:hAnsi="Arial" w:cs="Times New Roman"/>
          <w:color w:val="000000"/>
          <w:sz w:val="26"/>
          <w:szCs w:val="26"/>
        </w:rPr>
      </w:pPr>
      <w:r w:rsidRPr="00F850FC">
        <w:rPr>
          <w:rFonts w:ascii="Arial" w:eastAsia="Calibri" w:hAnsi="Arial" w:cs="Arial"/>
          <w:bCs/>
          <w:sz w:val="26"/>
          <w:szCs w:val="26"/>
        </w:rPr>
        <w:t xml:space="preserve">Tiene aplicación el criterio emitido por la Sala Superior de este Tribunal, Tesis TCASS0008/2011TO.1AD, Número de Registro 8, Primera </w:t>
      </w:r>
      <w:r w:rsidRPr="00F850FC">
        <w:rPr>
          <w:rFonts w:ascii="Arial" w:eastAsia="Times New Roman" w:hAnsi="Arial" w:cs="Arial"/>
          <w:color w:val="000000"/>
          <w:sz w:val="26"/>
          <w:szCs w:val="26"/>
        </w:rPr>
        <w:t xml:space="preserve">Época, fuente Boletín número 1 </w:t>
      </w:r>
      <w:r w:rsidRPr="00F850FC">
        <w:rPr>
          <w:rFonts w:ascii="Arial" w:eastAsia="Times New Roman" w:hAnsi="Arial" w:cs="Times New Roman"/>
          <w:color w:val="000000"/>
          <w:sz w:val="26"/>
          <w:szCs w:val="26"/>
        </w:rPr>
        <w:t>del Tribunal de lo Contencioso Administrativo para el Estado de Oaxaca, Tomo I, Enero de 2011, visible a página 8,</w:t>
      </w:r>
      <w:r w:rsidR="00456AA7">
        <w:rPr>
          <w:rFonts w:ascii="Arial" w:eastAsia="Times New Roman" w:hAnsi="Arial" w:cs="Times New Roman"/>
          <w:color w:val="000000"/>
          <w:sz w:val="26"/>
          <w:szCs w:val="26"/>
        </w:rPr>
        <w:t xml:space="preserve"> de rubro y texto, siguientes:</w:t>
      </w:r>
    </w:p>
    <w:p w:rsidR="00AD648D" w:rsidRPr="00E06E23" w:rsidRDefault="00AD648D" w:rsidP="00456AA7">
      <w:pPr>
        <w:spacing w:line="276" w:lineRule="auto"/>
        <w:ind w:left="851" w:right="616"/>
        <w:jc w:val="both"/>
        <w:rPr>
          <w:rFonts w:ascii="Arial" w:hAnsi="Arial" w:cs="Arial"/>
          <w:bCs/>
          <w:i/>
        </w:rPr>
      </w:pPr>
      <w:r w:rsidRPr="00FE237A">
        <w:rPr>
          <w:rFonts w:ascii="Arial" w:hAnsi="Arial" w:cs="Arial"/>
          <w:b/>
          <w:bCs/>
          <w:i/>
        </w:rPr>
        <w:lastRenderedPageBreak/>
        <w:t xml:space="preserve"> “SENTENCIA PARA EFECTOS. LA SALA SUPERIOR AL RESOLVER EL RECURSO DE REVISIÓN NO PUEDE DICTARLA CUANDO LA PRIMERA INSTANCIA NO AGOTÓ SU JURISDICCIÓN.</w:t>
      </w:r>
      <w:r w:rsidRPr="00FE237A">
        <w:rPr>
          <w:rFonts w:ascii="Arial" w:hAnsi="Arial" w:cs="Arial"/>
          <w:bCs/>
          <w:i/>
        </w:rPr>
        <w:t xml:space="preserve"> </w:t>
      </w:r>
      <w:r w:rsidRPr="00E06E23">
        <w:rPr>
          <w:rFonts w:ascii="Arial" w:hAnsi="Arial" w:cs="Arial"/>
          <w:bCs/>
          <w:i/>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pronuncie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00456AA7">
        <w:rPr>
          <w:rFonts w:ascii="Arial" w:hAnsi="Arial" w:cs="Arial"/>
          <w:bCs/>
          <w:i/>
        </w:rPr>
        <w:t>.</w:t>
      </w:r>
    </w:p>
    <w:p w:rsidR="00456AA7" w:rsidRDefault="00F850FC" w:rsidP="00456AA7">
      <w:pPr>
        <w:spacing w:before="240" w:line="360" w:lineRule="auto"/>
        <w:ind w:firstLine="708"/>
        <w:jc w:val="both"/>
        <w:rPr>
          <w:rFonts w:ascii="Arial" w:eastAsia="Calibri" w:hAnsi="Arial" w:cs="Arial"/>
          <w:sz w:val="26"/>
          <w:szCs w:val="26"/>
        </w:rPr>
      </w:pPr>
      <w:r w:rsidRPr="00F850FC">
        <w:rPr>
          <w:rFonts w:ascii="Arial" w:eastAsia="Times New Roman" w:hAnsi="Arial" w:cs="Times New Roman"/>
          <w:color w:val="000000"/>
          <w:sz w:val="26"/>
          <w:szCs w:val="26"/>
        </w:rPr>
        <w:t xml:space="preserve"> </w:t>
      </w:r>
      <w:r w:rsidRPr="00F850FC">
        <w:rPr>
          <w:rFonts w:ascii="Arial" w:eastAsia="Calibri" w:hAnsi="Arial" w:cs="Arial"/>
          <w:sz w:val="26"/>
          <w:szCs w:val="26"/>
        </w:rPr>
        <w:t>Ante tales consideraciones, con fundamento en los artículos 207 y 208 de la Ley de Justicia Administrativa para el Estad</w:t>
      </w:r>
      <w:r w:rsidR="00456AA7">
        <w:rPr>
          <w:rFonts w:ascii="Arial" w:eastAsia="Calibri" w:hAnsi="Arial" w:cs="Arial"/>
          <w:sz w:val="26"/>
          <w:szCs w:val="26"/>
        </w:rPr>
        <w:t>o, vigente hasta el veinte de octubre de dos mil diecisiete, se:</w:t>
      </w:r>
    </w:p>
    <w:p w:rsidR="00456AA7" w:rsidRDefault="00456AA7" w:rsidP="00456AA7">
      <w:pPr>
        <w:spacing w:before="240" w:line="360" w:lineRule="auto"/>
        <w:ind w:firstLine="708"/>
        <w:jc w:val="center"/>
        <w:rPr>
          <w:rFonts w:ascii="Arial" w:eastAsia="Calibri" w:hAnsi="Arial" w:cs="Arial"/>
          <w:b/>
          <w:sz w:val="26"/>
          <w:szCs w:val="26"/>
          <w:lang w:val="es-ES"/>
        </w:rPr>
      </w:pPr>
      <w:r>
        <w:rPr>
          <w:rFonts w:ascii="Arial" w:eastAsia="Calibri" w:hAnsi="Arial" w:cs="Arial"/>
          <w:b/>
          <w:sz w:val="26"/>
          <w:szCs w:val="26"/>
          <w:lang w:val="es-ES"/>
        </w:rPr>
        <w:t>R E S U E L V E</w:t>
      </w:r>
    </w:p>
    <w:p w:rsidR="00456AA7" w:rsidRDefault="00F850FC" w:rsidP="00456AA7">
      <w:pPr>
        <w:spacing w:before="240" w:line="360" w:lineRule="auto"/>
        <w:ind w:firstLine="708"/>
        <w:jc w:val="both"/>
        <w:rPr>
          <w:rFonts w:ascii="Arial" w:eastAsia="Calibri" w:hAnsi="Arial" w:cs="Arial"/>
          <w:sz w:val="26"/>
          <w:szCs w:val="26"/>
          <w:lang w:val="es-ES"/>
        </w:rPr>
      </w:pPr>
      <w:r w:rsidRPr="00F850FC">
        <w:rPr>
          <w:rFonts w:ascii="Arial" w:eastAsia="Calibri" w:hAnsi="Arial" w:cs="Arial"/>
          <w:b/>
          <w:sz w:val="26"/>
          <w:szCs w:val="26"/>
          <w:lang w:val="es-ES"/>
        </w:rPr>
        <w:t>PRIMERO</w:t>
      </w:r>
      <w:r w:rsidRPr="00F850FC">
        <w:rPr>
          <w:rFonts w:ascii="Arial" w:eastAsia="Calibri" w:hAnsi="Arial" w:cs="Arial"/>
          <w:sz w:val="26"/>
          <w:szCs w:val="26"/>
        </w:rPr>
        <w:t xml:space="preserve">. </w:t>
      </w:r>
      <w:r w:rsidRPr="00F850FC">
        <w:rPr>
          <w:rFonts w:ascii="Arial" w:eastAsia="Calibri" w:hAnsi="Arial" w:cs="Arial"/>
          <w:sz w:val="26"/>
          <w:szCs w:val="26"/>
          <w:lang w:val="es-ES"/>
        </w:rPr>
        <w:t xml:space="preserve">Se </w:t>
      </w:r>
      <w:r w:rsidRPr="00F850FC">
        <w:rPr>
          <w:rFonts w:ascii="Arial" w:eastAsia="Calibri" w:hAnsi="Arial" w:cs="Arial"/>
          <w:b/>
          <w:sz w:val="26"/>
          <w:szCs w:val="26"/>
          <w:lang w:val="es-ES"/>
        </w:rPr>
        <w:t xml:space="preserve">REVOCA </w:t>
      </w:r>
      <w:r w:rsidRPr="00F850FC">
        <w:rPr>
          <w:rFonts w:ascii="Arial" w:eastAsia="Calibri" w:hAnsi="Arial" w:cs="Arial"/>
          <w:sz w:val="26"/>
          <w:szCs w:val="26"/>
          <w:lang w:val="es-ES"/>
        </w:rPr>
        <w:t xml:space="preserve">la resolución </w:t>
      </w:r>
      <w:r w:rsidR="00D46EA7">
        <w:rPr>
          <w:rFonts w:ascii="Arial" w:eastAsia="Calibri" w:hAnsi="Arial" w:cs="Arial"/>
          <w:sz w:val="26"/>
          <w:szCs w:val="26"/>
          <w:lang w:val="es-ES"/>
        </w:rPr>
        <w:t>de 15 quince de octubre de 2018 dos mil dieciocho</w:t>
      </w:r>
      <w:r w:rsidRPr="00F850FC">
        <w:rPr>
          <w:rFonts w:ascii="Arial" w:eastAsia="Calibri" w:hAnsi="Arial" w:cs="Arial"/>
          <w:sz w:val="26"/>
          <w:szCs w:val="26"/>
          <w:lang w:val="es-ES"/>
        </w:rPr>
        <w:t xml:space="preserve">, </w:t>
      </w:r>
      <w:r w:rsidRPr="00F850FC">
        <w:rPr>
          <w:rFonts w:ascii="Arial" w:eastAsia="Calibri" w:hAnsi="Arial" w:cs="Arial"/>
          <w:color w:val="000000"/>
          <w:sz w:val="26"/>
          <w:szCs w:val="26"/>
        </w:rPr>
        <w:t xml:space="preserve">y se ordena la devolución </w:t>
      </w:r>
      <w:r w:rsidRPr="00F850FC">
        <w:rPr>
          <w:rFonts w:ascii="Arial" w:eastAsia="Calibri" w:hAnsi="Arial" w:cs="Arial"/>
          <w:sz w:val="26"/>
          <w:szCs w:val="26"/>
          <w:lang w:val="es-ES"/>
        </w:rPr>
        <w:t xml:space="preserve">de los autos a la primera instancia, sin que ello implique reenvió, virtud que este órgano revisor no tiene facultades para pronunciarse de un asunto, donde la juzgadora no agotó la obligación que le impone la Ley para resolver acerca de todas las cuestiones sometidas a su consideración, como quedó precisado en la última </w:t>
      </w:r>
      <w:r w:rsidR="00456AA7">
        <w:rPr>
          <w:rFonts w:ascii="Arial" w:eastAsia="Calibri" w:hAnsi="Arial" w:cs="Arial"/>
          <w:sz w:val="26"/>
          <w:szCs w:val="26"/>
          <w:lang w:val="es-ES"/>
        </w:rPr>
        <w:t>parte del considerando Tercero.</w:t>
      </w:r>
    </w:p>
    <w:p w:rsidR="000C0C86" w:rsidRPr="0097694C" w:rsidRDefault="00F850FC" w:rsidP="000C0C86">
      <w:pPr>
        <w:spacing w:before="240" w:line="360" w:lineRule="auto"/>
        <w:ind w:firstLine="708"/>
        <w:jc w:val="both"/>
        <w:rPr>
          <w:rFonts w:ascii="Arial" w:eastAsia="Calibri" w:hAnsi="Arial" w:cs="Arial"/>
          <w:bCs/>
          <w:sz w:val="26"/>
          <w:szCs w:val="26"/>
        </w:rPr>
      </w:pPr>
      <w:r w:rsidRPr="00F850FC">
        <w:rPr>
          <w:rFonts w:ascii="Arial" w:eastAsia="Calibri" w:hAnsi="Arial" w:cs="Arial"/>
          <w:b/>
          <w:sz w:val="26"/>
          <w:szCs w:val="26"/>
          <w:lang w:val="es-ES"/>
        </w:rPr>
        <w:t xml:space="preserve">SEGUNDO. </w:t>
      </w:r>
      <w:r w:rsidRPr="00F850FC">
        <w:rPr>
          <w:rFonts w:ascii="Arial" w:eastAsia="Calibri" w:hAnsi="Arial" w:cs="Arial"/>
          <w:b/>
          <w:bCs/>
          <w:sz w:val="26"/>
          <w:szCs w:val="26"/>
        </w:rPr>
        <w:t>NOTIFÍQUESE Y CÚMPLASE;</w:t>
      </w:r>
      <w:r w:rsidRPr="00F850FC">
        <w:rPr>
          <w:rFonts w:ascii="Arial" w:eastAsia="Calibri" w:hAnsi="Arial" w:cs="Arial"/>
          <w:bCs/>
          <w:sz w:val="26"/>
          <w:szCs w:val="26"/>
        </w:rPr>
        <w:t xml:space="preserve"> con copia certificada de la presente resolución, vuelvan</w:t>
      </w:r>
      <w:r w:rsidRPr="00F850FC">
        <w:rPr>
          <w:rFonts w:ascii="Arial" w:eastAsia="Calibri" w:hAnsi="Arial" w:cs="Arial"/>
          <w:b/>
          <w:bCs/>
          <w:sz w:val="26"/>
          <w:szCs w:val="26"/>
        </w:rPr>
        <w:t xml:space="preserve"> </w:t>
      </w:r>
      <w:r w:rsidRPr="00F850FC">
        <w:rPr>
          <w:rFonts w:ascii="Arial" w:eastAsia="Calibri" w:hAnsi="Arial" w:cs="Arial"/>
          <w:bCs/>
          <w:sz w:val="26"/>
          <w:szCs w:val="26"/>
        </w:rPr>
        <w:t xml:space="preserve">las constancias remitidas a la </w:t>
      </w:r>
      <w:r w:rsidR="00D46EA7">
        <w:rPr>
          <w:rFonts w:ascii="Arial" w:eastAsia="Calibri" w:hAnsi="Arial" w:cs="Arial"/>
          <w:bCs/>
          <w:sz w:val="26"/>
          <w:szCs w:val="26"/>
        </w:rPr>
        <w:t>Primera</w:t>
      </w:r>
      <w:r w:rsidRPr="00F850FC">
        <w:rPr>
          <w:rFonts w:ascii="Arial" w:eastAsia="Calibri" w:hAnsi="Arial" w:cs="Arial"/>
          <w:bCs/>
          <w:sz w:val="26"/>
          <w:szCs w:val="26"/>
        </w:rPr>
        <w:t xml:space="preserve"> Sala Unitaria de este Tribunal, y en su oportunidad archívese el cuaderno de revisión como asunt</w:t>
      </w:r>
      <w:r w:rsidR="00456AA7">
        <w:rPr>
          <w:rFonts w:ascii="Arial" w:eastAsia="Calibri" w:hAnsi="Arial" w:cs="Arial"/>
          <w:bCs/>
          <w:sz w:val="26"/>
          <w:szCs w:val="26"/>
        </w:rPr>
        <w:t>o concluido.</w:t>
      </w:r>
    </w:p>
    <w:p w:rsidR="00456AA7" w:rsidRDefault="00456AA7" w:rsidP="00456AA7">
      <w:pPr>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456AA7" w:rsidRDefault="00456AA7" w:rsidP="00456AA7">
      <w:pPr>
        <w:rPr>
          <w:rFonts w:ascii="Arial" w:eastAsia="Calibri" w:hAnsi="Arial" w:cs="Arial"/>
          <w:sz w:val="26"/>
          <w:szCs w:val="26"/>
        </w:rPr>
      </w:pPr>
    </w:p>
    <w:p w:rsidR="00456AA7" w:rsidRDefault="00456AA7" w:rsidP="00456AA7">
      <w:pPr>
        <w:rPr>
          <w:rFonts w:ascii="Arial" w:eastAsia="Calibri" w:hAnsi="Arial" w:cs="Arial"/>
          <w:sz w:val="26"/>
          <w:szCs w:val="26"/>
        </w:rPr>
      </w:pPr>
    </w:p>
    <w:p w:rsidR="00456AA7" w:rsidRDefault="00456AA7" w:rsidP="00456AA7">
      <w:pPr>
        <w:rPr>
          <w:rFonts w:ascii="Arial" w:eastAsia="Calibri" w:hAnsi="Arial" w:cs="Arial"/>
          <w:sz w:val="26"/>
          <w:szCs w:val="26"/>
        </w:rPr>
      </w:pPr>
    </w:p>
    <w:p w:rsidR="00456AA7" w:rsidRDefault="00456AA7" w:rsidP="00456AA7">
      <w:pPr>
        <w:rPr>
          <w:rFonts w:ascii="Arial" w:eastAsia="Calibri" w:hAnsi="Arial" w:cs="Arial"/>
          <w:sz w:val="26"/>
          <w:szCs w:val="26"/>
        </w:rPr>
      </w:pPr>
    </w:p>
    <w:p w:rsidR="00456AA7" w:rsidRDefault="00456AA7" w:rsidP="00456AA7">
      <w:pPr>
        <w:rPr>
          <w:rFonts w:ascii="Arial" w:eastAsia="Calibri" w:hAnsi="Arial" w:cs="Arial"/>
          <w:sz w:val="26"/>
          <w:szCs w:val="26"/>
        </w:rPr>
      </w:pPr>
    </w:p>
    <w:p w:rsidR="00456AA7" w:rsidRDefault="00456AA7" w:rsidP="00456AA7">
      <w:pPr>
        <w:rPr>
          <w:rFonts w:ascii="Arial" w:eastAsia="Calibri" w:hAnsi="Arial" w:cs="Arial"/>
          <w:sz w:val="26"/>
          <w:szCs w:val="26"/>
        </w:rPr>
      </w:pPr>
    </w:p>
    <w:p w:rsidR="00456AA7" w:rsidRDefault="00456AA7" w:rsidP="00456AA7">
      <w:pPr>
        <w:rPr>
          <w:rFonts w:ascii="Arial" w:eastAsia="Calibri" w:hAnsi="Arial" w:cs="Arial"/>
          <w:sz w:val="26"/>
          <w:szCs w:val="26"/>
        </w:rPr>
      </w:pPr>
    </w:p>
    <w:p w:rsidR="00456AA7" w:rsidRPr="009B6852" w:rsidRDefault="00456AA7" w:rsidP="00456AA7">
      <w:pPr>
        <w:jc w:val="center"/>
        <w:rPr>
          <w:rFonts w:ascii="Arial" w:hAnsi="Arial" w:cs="Arial"/>
          <w:sz w:val="26"/>
          <w:szCs w:val="26"/>
        </w:rPr>
      </w:pPr>
      <w:r w:rsidRPr="009B6852">
        <w:rPr>
          <w:rFonts w:ascii="Arial" w:hAnsi="Arial" w:cs="Arial"/>
          <w:sz w:val="26"/>
          <w:szCs w:val="26"/>
        </w:rPr>
        <w:t>MAGISTRADO ADRIÁN QUIROGA AVENDAÑO.</w:t>
      </w:r>
    </w:p>
    <w:p w:rsidR="00456AA7" w:rsidRPr="009B6852" w:rsidRDefault="00456AA7" w:rsidP="00456AA7">
      <w:pPr>
        <w:jc w:val="center"/>
        <w:rPr>
          <w:rFonts w:ascii="Arial" w:hAnsi="Arial" w:cs="Arial"/>
          <w:sz w:val="26"/>
          <w:szCs w:val="26"/>
        </w:rPr>
      </w:pPr>
      <w:r w:rsidRPr="009B6852">
        <w:rPr>
          <w:rFonts w:ascii="Arial" w:hAnsi="Arial" w:cs="Arial"/>
          <w:sz w:val="26"/>
          <w:szCs w:val="26"/>
        </w:rPr>
        <w:t>PRESIDENTE</w:t>
      </w:r>
    </w:p>
    <w:p w:rsidR="00456AA7" w:rsidRDefault="00456AA7" w:rsidP="00456AA7">
      <w:pPr>
        <w:rPr>
          <w:rFonts w:ascii="Arial" w:hAnsi="Arial" w:cs="Arial"/>
          <w:sz w:val="26"/>
          <w:szCs w:val="26"/>
        </w:rPr>
      </w:pPr>
    </w:p>
    <w:p w:rsidR="00456AA7" w:rsidRDefault="00456AA7" w:rsidP="00456AA7">
      <w:pPr>
        <w:rPr>
          <w:rFonts w:ascii="Arial" w:hAnsi="Arial" w:cs="Arial"/>
          <w:sz w:val="26"/>
          <w:szCs w:val="26"/>
        </w:rPr>
      </w:pPr>
    </w:p>
    <w:p w:rsidR="00456AA7" w:rsidRPr="00C7535E" w:rsidRDefault="00C7535E" w:rsidP="00C7535E">
      <w:pPr>
        <w:jc w:val="center"/>
        <w:rPr>
          <w:rFonts w:ascii="Arial" w:hAnsi="Arial" w:cs="Arial"/>
          <w:b/>
          <w:sz w:val="14"/>
          <w:szCs w:val="26"/>
        </w:rPr>
      </w:pPr>
      <w:r w:rsidRPr="00C7535E">
        <w:rPr>
          <w:rFonts w:ascii="Arial" w:hAnsi="Arial" w:cs="Arial"/>
          <w:b/>
          <w:sz w:val="14"/>
          <w:szCs w:val="26"/>
        </w:rPr>
        <w:t>LAS PRESENTES FIRMAS CORRESPONDEN AL RECURSO DE REVISIÓN 501/2018</w:t>
      </w:r>
    </w:p>
    <w:p w:rsidR="00456AA7" w:rsidRPr="00C7535E" w:rsidRDefault="00456AA7" w:rsidP="00C7535E">
      <w:pPr>
        <w:jc w:val="center"/>
        <w:rPr>
          <w:rFonts w:ascii="Arial" w:hAnsi="Arial" w:cs="Arial"/>
          <w:b/>
          <w:sz w:val="14"/>
          <w:szCs w:val="26"/>
        </w:rPr>
      </w:pPr>
    </w:p>
    <w:p w:rsidR="00456AA7" w:rsidRDefault="00456AA7" w:rsidP="00456AA7">
      <w:pPr>
        <w:rPr>
          <w:rFonts w:ascii="Arial" w:hAnsi="Arial" w:cs="Arial"/>
          <w:sz w:val="26"/>
          <w:szCs w:val="26"/>
        </w:rPr>
      </w:pPr>
    </w:p>
    <w:p w:rsidR="00456AA7" w:rsidRDefault="00456AA7" w:rsidP="00456AA7">
      <w:pPr>
        <w:rPr>
          <w:rFonts w:ascii="Arial" w:hAnsi="Arial" w:cs="Arial"/>
          <w:sz w:val="26"/>
          <w:szCs w:val="26"/>
        </w:rPr>
      </w:pPr>
    </w:p>
    <w:p w:rsidR="00C7535E" w:rsidRDefault="00C7535E" w:rsidP="00456AA7">
      <w:pPr>
        <w:rPr>
          <w:rFonts w:ascii="Arial" w:hAnsi="Arial" w:cs="Arial"/>
          <w:sz w:val="26"/>
          <w:szCs w:val="26"/>
        </w:rPr>
      </w:pPr>
    </w:p>
    <w:p w:rsidR="00C7535E" w:rsidRDefault="00C7535E" w:rsidP="00456AA7">
      <w:pPr>
        <w:rPr>
          <w:rFonts w:ascii="Arial" w:hAnsi="Arial" w:cs="Arial"/>
          <w:sz w:val="26"/>
          <w:szCs w:val="26"/>
        </w:rPr>
      </w:pPr>
    </w:p>
    <w:p w:rsidR="00C7535E" w:rsidRDefault="00C7535E" w:rsidP="00456AA7">
      <w:pPr>
        <w:rPr>
          <w:rFonts w:ascii="Arial" w:hAnsi="Arial" w:cs="Arial"/>
          <w:sz w:val="26"/>
          <w:szCs w:val="26"/>
        </w:rPr>
      </w:pPr>
    </w:p>
    <w:p w:rsidR="00C7535E" w:rsidRPr="009B6852" w:rsidRDefault="00C7535E" w:rsidP="00456AA7">
      <w:pPr>
        <w:rPr>
          <w:rFonts w:ascii="Arial" w:hAnsi="Arial" w:cs="Arial"/>
          <w:sz w:val="26"/>
          <w:szCs w:val="26"/>
        </w:rPr>
      </w:pPr>
    </w:p>
    <w:p w:rsidR="00456AA7" w:rsidRPr="009B6852" w:rsidRDefault="00456AA7" w:rsidP="00456AA7">
      <w:pPr>
        <w:jc w:val="center"/>
        <w:rPr>
          <w:rFonts w:ascii="Arial" w:hAnsi="Arial" w:cs="Arial"/>
          <w:sz w:val="26"/>
          <w:szCs w:val="26"/>
        </w:rPr>
      </w:pPr>
    </w:p>
    <w:p w:rsidR="00456AA7" w:rsidRPr="00221787" w:rsidRDefault="00456AA7" w:rsidP="00456AA7">
      <w:pPr>
        <w:pStyle w:val="Ttulo1"/>
        <w:spacing w:before="0" w:line="360" w:lineRule="auto"/>
        <w:jc w:val="center"/>
        <w:rPr>
          <w:rFonts w:ascii="Arial" w:eastAsia="Calibri" w:hAnsi="Arial" w:cs="Arial"/>
          <w:b w:val="0"/>
          <w:color w:val="auto"/>
          <w:sz w:val="26"/>
          <w:szCs w:val="26"/>
        </w:rPr>
      </w:pPr>
      <w:r w:rsidRPr="00221787">
        <w:rPr>
          <w:rFonts w:ascii="Arial" w:eastAsia="Calibri" w:hAnsi="Arial" w:cs="Arial"/>
          <w:b w:val="0"/>
          <w:color w:val="auto"/>
          <w:sz w:val="26"/>
          <w:szCs w:val="26"/>
        </w:rPr>
        <w:t>MAGISTRADO HUGO VILLEGAS AQUINO</w:t>
      </w:r>
    </w:p>
    <w:p w:rsidR="00456AA7" w:rsidRDefault="00456AA7" w:rsidP="00456AA7">
      <w:pPr>
        <w:jc w:val="center"/>
        <w:rPr>
          <w:rFonts w:ascii="Arial" w:hAnsi="Arial" w:cs="Arial"/>
          <w:sz w:val="26"/>
          <w:szCs w:val="26"/>
        </w:rPr>
      </w:pPr>
    </w:p>
    <w:p w:rsidR="00456AA7" w:rsidRDefault="00456AA7" w:rsidP="00456AA7">
      <w:pPr>
        <w:jc w:val="center"/>
        <w:rPr>
          <w:rFonts w:ascii="Arial" w:hAnsi="Arial" w:cs="Arial"/>
          <w:sz w:val="26"/>
          <w:szCs w:val="26"/>
        </w:rPr>
      </w:pPr>
    </w:p>
    <w:p w:rsidR="00456AA7" w:rsidRDefault="00456AA7" w:rsidP="00456AA7">
      <w:pPr>
        <w:jc w:val="center"/>
        <w:rPr>
          <w:rFonts w:ascii="Arial" w:hAnsi="Arial" w:cs="Arial"/>
          <w:sz w:val="26"/>
          <w:szCs w:val="26"/>
        </w:rPr>
      </w:pPr>
    </w:p>
    <w:p w:rsidR="00C7535E" w:rsidRDefault="00C7535E" w:rsidP="00456AA7">
      <w:pPr>
        <w:jc w:val="center"/>
        <w:rPr>
          <w:rFonts w:ascii="Arial" w:hAnsi="Arial" w:cs="Arial"/>
          <w:sz w:val="26"/>
          <w:szCs w:val="26"/>
        </w:rPr>
      </w:pPr>
    </w:p>
    <w:p w:rsidR="00456AA7" w:rsidRDefault="00456AA7" w:rsidP="00456AA7">
      <w:pPr>
        <w:jc w:val="center"/>
        <w:rPr>
          <w:rFonts w:ascii="Arial" w:hAnsi="Arial" w:cs="Arial"/>
          <w:sz w:val="26"/>
          <w:szCs w:val="26"/>
        </w:rPr>
      </w:pPr>
    </w:p>
    <w:p w:rsidR="00456AA7" w:rsidRDefault="00456AA7" w:rsidP="00456AA7">
      <w:pPr>
        <w:jc w:val="center"/>
        <w:rPr>
          <w:rFonts w:ascii="Arial" w:hAnsi="Arial" w:cs="Arial"/>
          <w:sz w:val="26"/>
          <w:szCs w:val="26"/>
        </w:rPr>
      </w:pPr>
    </w:p>
    <w:p w:rsidR="00456AA7" w:rsidRPr="009B6852" w:rsidRDefault="00456AA7" w:rsidP="00456AA7">
      <w:pPr>
        <w:jc w:val="center"/>
        <w:rPr>
          <w:rFonts w:ascii="Arial" w:hAnsi="Arial" w:cs="Arial"/>
          <w:sz w:val="26"/>
          <w:szCs w:val="26"/>
        </w:rPr>
      </w:pPr>
    </w:p>
    <w:p w:rsidR="00456AA7" w:rsidRPr="009B6852" w:rsidRDefault="00456AA7" w:rsidP="00456AA7">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ENRIQUE PACHECO MARTÍNEZ</w:t>
      </w:r>
    </w:p>
    <w:p w:rsidR="00456AA7" w:rsidRDefault="00456AA7" w:rsidP="00456AA7">
      <w:pPr>
        <w:spacing w:line="360" w:lineRule="auto"/>
        <w:jc w:val="center"/>
        <w:rPr>
          <w:rFonts w:ascii="Arial" w:hAnsi="Arial" w:cs="Arial"/>
          <w:sz w:val="26"/>
          <w:szCs w:val="26"/>
        </w:rPr>
      </w:pPr>
    </w:p>
    <w:p w:rsidR="00456AA7" w:rsidRDefault="00456AA7" w:rsidP="00456AA7">
      <w:pPr>
        <w:spacing w:line="360" w:lineRule="auto"/>
        <w:jc w:val="center"/>
        <w:rPr>
          <w:rFonts w:ascii="Arial" w:hAnsi="Arial" w:cs="Arial"/>
          <w:sz w:val="26"/>
          <w:szCs w:val="26"/>
        </w:rPr>
      </w:pPr>
    </w:p>
    <w:p w:rsidR="00456AA7" w:rsidRDefault="00456AA7" w:rsidP="00456AA7">
      <w:pPr>
        <w:spacing w:line="360" w:lineRule="auto"/>
        <w:jc w:val="center"/>
        <w:rPr>
          <w:rFonts w:ascii="Arial" w:hAnsi="Arial" w:cs="Arial"/>
          <w:sz w:val="26"/>
          <w:szCs w:val="26"/>
        </w:rPr>
      </w:pPr>
    </w:p>
    <w:p w:rsidR="00C7535E" w:rsidRDefault="00C7535E" w:rsidP="00456AA7">
      <w:pPr>
        <w:spacing w:line="360" w:lineRule="auto"/>
        <w:jc w:val="center"/>
        <w:rPr>
          <w:rFonts w:ascii="Arial" w:hAnsi="Arial" w:cs="Arial"/>
          <w:sz w:val="26"/>
          <w:szCs w:val="26"/>
        </w:rPr>
      </w:pPr>
    </w:p>
    <w:p w:rsidR="00456AA7" w:rsidRDefault="00456AA7" w:rsidP="00456AA7">
      <w:pPr>
        <w:spacing w:line="360" w:lineRule="auto"/>
        <w:jc w:val="center"/>
        <w:rPr>
          <w:rFonts w:ascii="Arial" w:hAnsi="Arial" w:cs="Arial"/>
          <w:sz w:val="26"/>
          <w:szCs w:val="26"/>
        </w:rPr>
      </w:pPr>
    </w:p>
    <w:p w:rsidR="00456AA7" w:rsidRDefault="00456AA7" w:rsidP="00456AA7">
      <w:pPr>
        <w:spacing w:line="360" w:lineRule="auto"/>
        <w:jc w:val="center"/>
        <w:rPr>
          <w:rFonts w:ascii="Arial" w:hAnsi="Arial" w:cs="Arial"/>
          <w:sz w:val="26"/>
          <w:szCs w:val="26"/>
        </w:rPr>
      </w:pPr>
      <w:r>
        <w:rPr>
          <w:rFonts w:ascii="Arial" w:hAnsi="Arial" w:cs="Arial"/>
          <w:sz w:val="26"/>
          <w:szCs w:val="26"/>
        </w:rPr>
        <w:t>MAGISTRADA MARÍA ELENA VILLA DE JARQUÍN</w:t>
      </w:r>
    </w:p>
    <w:p w:rsidR="00456AA7" w:rsidRDefault="00456AA7" w:rsidP="00456AA7">
      <w:pPr>
        <w:spacing w:line="360" w:lineRule="auto"/>
        <w:rPr>
          <w:rFonts w:ascii="Arial" w:hAnsi="Arial" w:cs="Arial"/>
          <w:sz w:val="26"/>
          <w:szCs w:val="26"/>
        </w:rPr>
      </w:pPr>
    </w:p>
    <w:p w:rsidR="00456AA7" w:rsidRDefault="00456AA7" w:rsidP="00456AA7">
      <w:pPr>
        <w:spacing w:line="360" w:lineRule="auto"/>
        <w:rPr>
          <w:rFonts w:ascii="Arial" w:hAnsi="Arial" w:cs="Arial"/>
          <w:sz w:val="26"/>
          <w:szCs w:val="26"/>
        </w:rPr>
      </w:pPr>
    </w:p>
    <w:p w:rsidR="00456AA7" w:rsidRDefault="00456AA7" w:rsidP="00456AA7">
      <w:pPr>
        <w:spacing w:line="360" w:lineRule="auto"/>
        <w:rPr>
          <w:rFonts w:ascii="Arial" w:hAnsi="Arial" w:cs="Arial"/>
          <w:sz w:val="26"/>
          <w:szCs w:val="26"/>
        </w:rPr>
      </w:pPr>
    </w:p>
    <w:p w:rsidR="00456AA7" w:rsidRDefault="00456AA7" w:rsidP="00456AA7">
      <w:pPr>
        <w:spacing w:line="360" w:lineRule="auto"/>
        <w:rPr>
          <w:rFonts w:ascii="Arial" w:hAnsi="Arial" w:cs="Arial"/>
          <w:sz w:val="26"/>
          <w:szCs w:val="26"/>
        </w:rPr>
      </w:pPr>
    </w:p>
    <w:p w:rsidR="00456AA7" w:rsidRDefault="00456AA7" w:rsidP="00456AA7">
      <w:pPr>
        <w:spacing w:line="360" w:lineRule="auto"/>
        <w:rPr>
          <w:rFonts w:ascii="Arial" w:hAnsi="Arial" w:cs="Arial"/>
          <w:sz w:val="26"/>
          <w:szCs w:val="26"/>
        </w:rPr>
      </w:pPr>
    </w:p>
    <w:p w:rsidR="00456AA7" w:rsidRDefault="00456AA7" w:rsidP="00456AA7">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456AA7" w:rsidRDefault="00456AA7" w:rsidP="00456AA7">
      <w:pPr>
        <w:jc w:val="center"/>
        <w:rPr>
          <w:rFonts w:ascii="Arial" w:eastAsia="Times New Roman" w:hAnsi="Arial" w:cs="Arial"/>
          <w:sz w:val="26"/>
          <w:szCs w:val="26"/>
        </w:rPr>
      </w:pPr>
    </w:p>
    <w:p w:rsidR="00456AA7" w:rsidRDefault="00456AA7" w:rsidP="00456AA7">
      <w:pPr>
        <w:jc w:val="center"/>
        <w:rPr>
          <w:rFonts w:ascii="Arial" w:eastAsia="Times New Roman" w:hAnsi="Arial" w:cs="Arial"/>
          <w:sz w:val="26"/>
          <w:szCs w:val="26"/>
        </w:rPr>
      </w:pPr>
    </w:p>
    <w:p w:rsidR="00456AA7" w:rsidRDefault="00456AA7" w:rsidP="00456AA7">
      <w:pPr>
        <w:jc w:val="center"/>
        <w:rPr>
          <w:rFonts w:ascii="Arial" w:eastAsia="Times New Roman" w:hAnsi="Arial" w:cs="Arial"/>
          <w:sz w:val="26"/>
          <w:szCs w:val="26"/>
        </w:rPr>
      </w:pPr>
    </w:p>
    <w:p w:rsidR="00456AA7" w:rsidRDefault="00456AA7" w:rsidP="00456AA7">
      <w:pPr>
        <w:jc w:val="center"/>
        <w:rPr>
          <w:rFonts w:ascii="Arial" w:eastAsia="Times New Roman" w:hAnsi="Arial" w:cs="Arial"/>
          <w:sz w:val="26"/>
          <w:szCs w:val="26"/>
        </w:rPr>
      </w:pPr>
    </w:p>
    <w:p w:rsidR="00456AA7" w:rsidRDefault="00456AA7" w:rsidP="00456AA7">
      <w:pPr>
        <w:jc w:val="center"/>
        <w:rPr>
          <w:rFonts w:ascii="Arial" w:eastAsia="Times New Roman" w:hAnsi="Arial" w:cs="Arial"/>
          <w:sz w:val="26"/>
          <w:szCs w:val="26"/>
        </w:rPr>
      </w:pPr>
    </w:p>
    <w:p w:rsidR="00456AA7" w:rsidRDefault="00456AA7" w:rsidP="00456AA7">
      <w:pPr>
        <w:jc w:val="center"/>
        <w:rPr>
          <w:rFonts w:ascii="Arial" w:eastAsia="Times New Roman" w:hAnsi="Arial" w:cs="Arial"/>
          <w:sz w:val="26"/>
          <w:szCs w:val="26"/>
        </w:rPr>
      </w:pPr>
    </w:p>
    <w:p w:rsidR="00456AA7" w:rsidRDefault="00456AA7" w:rsidP="00456AA7">
      <w:pPr>
        <w:jc w:val="center"/>
        <w:rPr>
          <w:rFonts w:ascii="Arial" w:eastAsia="Times New Roman" w:hAnsi="Arial" w:cs="Arial"/>
          <w:sz w:val="26"/>
          <w:szCs w:val="26"/>
        </w:rPr>
      </w:pPr>
    </w:p>
    <w:p w:rsidR="00456AA7" w:rsidRDefault="00456AA7" w:rsidP="00456AA7">
      <w:pPr>
        <w:jc w:val="center"/>
        <w:rPr>
          <w:rFonts w:ascii="Arial" w:hAnsi="Arial" w:cs="Arial"/>
          <w:sz w:val="26"/>
          <w:szCs w:val="26"/>
        </w:rPr>
      </w:pPr>
      <w:r>
        <w:rPr>
          <w:rFonts w:ascii="Arial" w:hAnsi="Arial" w:cs="Arial"/>
          <w:sz w:val="26"/>
          <w:szCs w:val="26"/>
        </w:rPr>
        <w:t>LICENCIADA LETICIA GARCIA SOTO.</w:t>
      </w:r>
    </w:p>
    <w:p w:rsidR="00456AA7" w:rsidRPr="00514BDC" w:rsidRDefault="00456AA7" w:rsidP="00456AA7">
      <w:pPr>
        <w:jc w:val="center"/>
        <w:rPr>
          <w:rFonts w:ascii="Arial" w:hAnsi="Arial" w:cs="Arial"/>
          <w:sz w:val="26"/>
          <w:szCs w:val="26"/>
        </w:rPr>
      </w:pPr>
      <w:r>
        <w:rPr>
          <w:rFonts w:ascii="Arial" w:hAnsi="Arial" w:cs="Arial"/>
          <w:sz w:val="26"/>
          <w:szCs w:val="26"/>
        </w:rPr>
        <w:t xml:space="preserve">  SECRETARIA GENERAL DE ACUERDOS.</w:t>
      </w:r>
    </w:p>
    <w:p w:rsidR="00F850FC" w:rsidRPr="00F850FC" w:rsidRDefault="00F850FC" w:rsidP="00F850FC">
      <w:pPr>
        <w:spacing w:after="200" w:line="276" w:lineRule="auto"/>
        <w:rPr>
          <w:rFonts w:ascii="Calibri" w:eastAsia="Calibri" w:hAnsi="Calibri" w:cs="Times New Roman"/>
          <w:lang w:val="es-ES"/>
        </w:rPr>
      </w:pPr>
    </w:p>
    <w:sectPr w:rsidR="00F850FC" w:rsidRPr="00F850FC" w:rsidSect="001B34AD">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F2" w:rsidRDefault="00E449F2">
      <w:r>
        <w:separator/>
      </w:r>
    </w:p>
  </w:endnote>
  <w:endnote w:type="continuationSeparator" w:id="0">
    <w:p w:rsidR="00E449F2" w:rsidRDefault="00E4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E2" w:rsidRDefault="009132E2">
    <w:pPr>
      <w:pStyle w:val="Piedepgina"/>
    </w:pPr>
    <w:bookmarkStart w:id="0" w:name="_GoBack"/>
    <w:r>
      <w:rPr>
        <w:noProof/>
        <w:lang w:eastAsia="es-MX"/>
      </w:rPr>
      <w:drawing>
        <wp:anchor distT="0" distB="0" distL="114300" distR="114300" simplePos="0" relativeHeight="251670528" behindDoc="0" locked="0" layoutInCell="1" allowOverlap="1" wp14:anchorId="1964A52F" wp14:editId="4521C7AD">
          <wp:simplePos x="0" y="0"/>
          <wp:positionH relativeFrom="column">
            <wp:posOffset>5250031</wp:posOffset>
          </wp:positionH>
          <wp:positionV relativeFrom="paragraph">
            <wp:posOffset>-5645299</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E2" w:rsidRDefault="009132E2">
    <w:pPr>
      <w:pStyle w:val="Piedepgina"/>
    </w:pPr>
    <w:r>
      <w:rPr>
        <w:noProof/>
        <w:lang w:eastAsia="es-MX"/>
      </w:rPr>
      <w:drawing>
        <wp:anchor distT="0" distB="0" distL="114300" distR="114300" simplePos="0" relativeHeight="251672576" behindDoc="0" locked="0" layoutInCell="1" allowOverlap="1" wp14:anchorId="4D34DF93" wp14:editId="0071F6FA">
          <wp:simplePos x="0" y="0"/>
          <wp:positionH relativeFrom="column">
            <wp:posOffset>-1450601</wp:posOffset>
          </wp:positionH>
          <wp:positionV relativeFrom="paragraph">
            <wp:posOffset>-5349464</wp:posOffset>
          </wp:positionV>
          <wp:extent cx="1317251" cy="1121668"/>
          <wp:effectExtent l="0" t="0" r="0" b="254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847" cy="1127284"/>
                  </a:xfrm>
                  <a:prstGeom prst="rect">
                    <a:avLst/>
                  </a:prstGeom>
                  <a:noFill/>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E2" w:rsidRDefault="009132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F2" w:rsidRDefault="00E449F2">
      <w:r>
        <w:separator/>
      </w:r>
    </w:p>
  </w:footnote>
  <w:footnote w:type="continuationSeparator" w:id="0">
    <w:p w:rsidR="00E449F2" w:rsidRDefault="00E44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880FAE" w:rsidRDefault="000D6E56">
        <w:pPr>
          <w:pStyle w:val="Encabezado"/>
          <w:jc w:val="center"/>
        </w:pPr>
        <w:r>
          <w:fldChar w:fldCharType="begin"/>
        </w:r>
        <w:r>
          <w:instrText>PAGE   \* MERGEFORMAT</w:instrText>
        </w:r>
        <w:r>
          <w:fldChar w:fldCharType="separate"/>
        </w:r>
        <w:r w:rsidR="009132E2">
          <w:rPr>
            <w:noProof/>
          </w:rPr>
          <w:t>2</w:t>
        </w:r>
        <w:r>
          <w:fldChar w:fldCharType="end"/>
        </w:r>
      </w:p>
    </w:sdtContent>
  </w:sdt>
  <w:p w:rsidR="00880FAE" w:rsidRDefault="00880FA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880FAE" w:rsidRDefault="000D6E56" w:rsidP="00880FAE">
        <w:pPr>
          <w:pStyle w:val="Encabezado"/>
          <w:jc w:val="center"/>
          <w:rPr>
            <w:noProof/>
          </w:rPr>
        </w:pPr>
        <w:r>
          <w:fldChar w:fldCharType="begin"/>
        </w:r>
        <w:r>
          <w:instrText xml:space="preserve"> PAGE   \* MERGEFORMAT </w:instrText>
        </w:r>
        <w:r>
          <w:fldChar w:fldCharType="separate"/>
        </w:r>
        <w:r w:rsidR="009132E2">
          <w:rPr>
            <w:noProof/>
          </w:rPr>
          <w:t>1</w:t>
        </w:r>
        <w:r>
          <w:rPr>
            <w:noProof/>
          </w:rPr>
          <w:fldChar w:fldCharType="end"/>
        </w:r>
      </w:p>
    </w:sdtContent>
  </w:sdt>
  <w:p w:rsidR="00880FAE" w:rsidRDefault="000D6E56" w:rsidP="00880FAE">
    <w:pPr>
      <w:pStyle w:val="Encabezado"/>
      <w:jc w:val="center"/>
    </w:pPr>
    <w:r>
      <w:rPr>
        <w:noProof/>
        <w:lang w:val="es-MX" w:eastAsia="es-MX"/>
      </w:rPr>
      <w:drawing>
        <wp:anchor distT="0" distB="0" distL="114300" distR="114300" simplePos="0" relativeHeight="251659264" behindDoc="1" locked="0" layoutInCell="1" allowOverlap="1" wp14:anchorId="040D58E0" wp14:editId="0F1731E1">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1072" behindDoc="0" locked="0" layoutInCell="1" allowOverlap="1" wp14:anchorId="07E12BD1" wp14:editId="645AAD0E">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2E2" w:rsidRDefault="009132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D3F"/>
    <w:multiLevelType w:val="hybridMultilevel"/>
    <w:tmpl w:val="6C9E5530"/>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AEE7EFB"/>
    <w:multiLevelType w:val="hybridMultilevel"/>
    <w:tmpl w:val="1B2012CA"/>
    <w:lvl w:ilvl="0" w:tplc="080A000B">
      <w:start w:val="1"/>
      <w:numFmt w:val="bullet"/>
      <w:lvlText w:val=""/>
      <w:lvlJc w:val="left"/>
      <w:pPr>
        <w:ind w:left="2496" w:hanging="360"/>
      </w:pPr>
      <w:rPr>
        <w:rFonts w:ascii="Wingdings" w:hAnsi="Wingdings"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2">
    <w:nsid w:val="1C186BDC"/>
    <w:multiLevelType w:val="hybridMultilevel"/>
    <w:tmpl w:val="A27CE50E"/>
    <w:lvl w:ilvl="0" w:tplc="D138FC4C">
      <w:start w:val="1"/>
      <w:numFmt w:val="decimal"/>
      <w:lvlText w:val="%1)"/>
      <w:lvlJc w:val="left"/>
      <w:pPr>
        <w:ind w:left="1065" w:hanging="360"/>
      </w:pPr>
      <w:rPr>
        <w:rFonts w:hint="default"/>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2206776B"/>
    <w:multiLevelType w:val="hybridMultilevel"/>
    <w:tmpl w:val="595E005A"/>
    <w:lvl w:ilvl="0" w:tplc="3806AE68">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33AF0F9B"/>
    <w:multiLevelType w:val="hybridMultilevel"/>
    <w:tmpl w:val="73A87C26"/>
    <w:lvl w:ilvl="0" w:tplc="61C063A0">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
    <w:nsid w:val="6DC27283"/>
    <w:multiLevelType w:val="hybridMultilevel"/>
    <w:tmpl w:val="A1001E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02166C5"/>
    <w:multiLevelType w:val="hybridMultilevel"/>
    <w:tmpl w:val="8EB075BC"/>
    <w:lvl w:ilvl="0" w:tplc="080A000B">
      <w:start w:val="1"/>
      <w:numFmt w:val="bullet"/>
      <w:lvlText w:val=""/>
      <w:lvlJc w:val="left"/>
      <w:pPr>
        <w:ind w:left="1776" w:hanging="360"/>
      </w:pPr>
      <w:rPr>
        <w:rFonts w:ascii="Wingdings" w:hAnsi="Wingdings" w:hint="default"/>
        <w:color w:val="auto"/>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nsid w:val="71441639"/>
    <w:multiLevelType w:val="hybridMultilevel"/>
    <w:tmpl w:val="25AED548"/>
    <w:lvl w:ilvl="0" w:tplc="080A000B">
      <w:start w:val="1"/>
      <w:numFmt w:val="bullet"/>
      <w:lvlText w:val=""/>
      <w:lvlJc w:val="left"/>
      <w:pPr>
        <w:ind w:left="644"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79"/>
    <w:rsid w:val="000027B6"/>
    <w:rsid w:val="00004CF6"/>
    <w:rsid w:val="00011BA9"/>
    <w:rsid w:val="00030D02"/>
    <w:rsid w:val="00032BC7"/>
    <w:rsid w:val="00040B95"/>
    <w:rsid w:val="00041640"/>
    <w:rsid w:val="0004266C"/>
    <w:rsid w:val="00043FCA"/>
    <w:rsid w:val="00055EA0"/>
    <w:rsid w:val="00056C72"/>
    <w:rsid w:val="00066700"/>
    <w:rsid w:val="0006743E"/>
    <w:rsid w:val="0006784F"/>
    <w:rsid w:val="00067AA7"/>
    <w:rsid w:val="00071BDA"/>
    <w:rsid w:val="000822A0"/>
    <w:rsid w:val="00087E7A"/>
    <w:rsid w:val="00094BAD"/>
    <w:rsid w:val="000A4ABE"/>
    <w:rsid w:val="000A4AC8"/>
    <w:rsid w:val="000A613B"/>
    <w:rsid w:val="000B03CF"/>
    <w:rsid w:val="000B28CA"/>
    <w:rsid w:val="000B6F15"/>
    <w:rsid w:val="000B788A"/>
    <w:rsid w:val="000B7D5C"/>
    <w:rsid w:val="000C0C86"/>
    <w:rsid w:val="000C5718"/>
    <w:rsid w:val="000D2CAD"/>
    <w:rsid w:val="000D6E56"/>
    <w:rsid w:val="000E7AC8"/>
    <w:rsid w:val="000F098C"/>
    <w:rsid w:val="000F30AF"/>
    <w:rsid w:val="001061F4"/>
    <w:rsid w:val="001072EB"/>
    <w:rsid w:val="001134BC"/>
    <w:rsid w:val="0011451A"/>
    <w:rsid w:val="00114F88"/>
    <w:rsid w:val="001157A8"/>
    <w:rsid w:val="00115D69"/>
    <w:rsid w:val="00117894"/>
    <w:rsid w:val="00122CB0"/>
    <w:rsid w:val="00132733"/>
    <w:rsid w:val="00132BA3"/>
    <w:rsid w:val="00135060"/>
    <w:rsid w:val="001458F2"/>
    <w:rsid w:val="0014611C"/>
    <w:rsid w:val="00150369"/>
    <w:rsid w:val="00151672"/>
    <w:rsid w:val="001523C7"/>
    <w:rsid w:val="0016397D"/>
    <w:rsid w:val="001665B8"/>
    <w:rsid w:val="001721DD"/>
    <w:rsid w:val="00173657"/>
    <w:rsid w:val="00173E00"/>
    <w:rsid w:val="001760BC"/>
    <w:rsid w:val="001829FE"/>
    <w:rsid w:val="00185331"/>
    <w:rsid w:val="00186EFE"/>
    <w:rsid w:val="0019178A"/>
    <w:rsid w:val="001965C1"/>
    <w:rsid w:val="00197E66"/>
    <w:rsid w:val="001A1030"/>
    <w:rsid w:val="001A4A04"/>
    <w:rsid w:val="001A5EB1"/>
    <w:rsid w:val="001B1417"/>
    <w:rsid w:val="001B1B6A"/>
    <w:rsid w:val="001B2960"/>
    <w:rsid w:val="001B34AD"/>
    <w:rsid w:val="001B4572"/>
    <w:rsid w:val="001C1524"/>
    <w:rsid w:val="001C4CC4"/>
    <w:rsid w:val="001C6583"/>
    <w:rsid w:val="001C67A3"/>
    <w:rsid w:val="001D122A"/>
    <w:rsid w:val="001D3AF3"/>
    <w:rsid w:val="001E1FF0"/>
    <w:rsid w:val="001E7E11"/>
    <w:rsid w:val="001F0CD3"/>
    <w:rsid w:val="00206F2D"/>
    <w:rsid w:val="00226790"/>
    <w:rsid w:val="00227342"/>
    <w:rsid w:val="00230AB0"/>
    <w:rsid w:val="00231234"/>
    <w:rsid w:val="00231486"/>
    <w:rsid w:val="002337CE"/>
    <w:rsid w:val="00237BC4"/>
    <w:rsid w:val="002401EF"/>
    <w:rsid w:val="002420C7"/>
    <w:rsid w:val="0024345B"/>
    <w:rsid w:val="002452B1"/>
    <w:rsid w:val="00253FB7"/>
    <w:rsid w:val="0026216D"/>
    <w:rsid w:val="0026469C"/>
    <w:rsid w:val="0027523C"/>
    <w:rsid w:val="00275547"/>
    <w:rsid w:val="00275872"/>
    <w:rsid w:val="0028024D"/>
    <w:rsid w:val="0029246B"/>
    <w:rsid w:val="00293595"/>
    <w:rsid w:val="00294793"/>
    <w:rsid w:val="002B4649"/>
    <w:rsid w:val="002C3EE4"/>
    <w:rsid w:val="002C6B31"/>
    <w:rsid w:val="002D1553"/>
    <w:rsid w:val="002D51A2"/>
    <w:rsid w:val="002D53E5"/>
    <w:rsid w:val="002E2D96"/>
    <w:rsid w:val="002F063D"/>
    <w:rsid w:val="00313817"/>
    <w:rsid w:val="0032248C"/>
    <w:rsid w:val="00325B71"/>
    <w:rsid w:val="00327F71"/>
    <w:rsid w:val="00330592"/>
    <w:rsid w:val="00330769"/>
    <w:rsid w:val="00331538"/>
    <w:rsid w:val="003333A3"/>
    <w:rsid w:val="00334DD2"/>
    <w:rsid w:val="00336650"/>
    <w:rsid w:val="003432E7"/>
    <w:rsid w:val="003557AE"/>
    <w:rsid w:val="00364CD3"/>
    <w:rsid w:val="00365072"/>
    <w:rsid w:val="00367BA9"/>
    <w:rsid w:val="0038585C"/>
    <w:rsid w:val="003901BB"/>
    <w:rsid w:val="003936DF"/>
    <w:rsid w:val="0039615F"/>
    <w:rsid w:val="00396F1D"/>
    <w:rsid w:val="003A1310"/>
    <w:rsid w:val="003B25F5"/>
    <w:rsid w:val="003B3E44"/>
    <w:rsid w:val="003B498F"/>
    <w:rsid w:val="003B6272"/>
    <w:rsid w:val="003B7869"/>
    <w:rsid w:val="003C2B08"/>
    <w:rsid w:val="003C6021"/>
    <w:rsid w:val="003D07B9"/>
    <w:rsid w:val="003E02BB"/>
    <w:rsid w:val="003E0B5D"/>
    <w:rsid w:val="003E43C5"/>
    <w:rsid w:val="003E5667"/>
    <w:rsid w:val="003E6461"/>
    <w:rsid w:val="003F0924"/>
    <w:rsid w:val="003F34A2"/>
    <w:rsid w:val="003F6B62"/>
    <w:rsid w:val="00400116"/>
    <w:rsid w:val="00411C39"/>
    <w:rsid w:val="0041492F"/>
    <w:rsid w:val="004154BA"/>
    <w:rsid w:val="00416DA2"/>
    <w:rsid w:val="00416EDF"/>
    <w:rsid w:val="00421743"/>
    <w:rsid w:val="0043149C"/>
    <w:rsid w:val="004345EB"/>
    <w:rsid w:val="00442B2F"/>
    <w:rsid w:val="004440C6"/>
    <w:rsid w:val="004442A0"/>
    <w:rsid w:val="00444D43"/>
    <w:rsid w:val="004453D6"/>
    <w:rsid w:val="0044645D"/>
    <w:rsid w:val="004475D5"/>
    <w:rsid w:val="00451740"/>
    <w:rsid w:val="00456AA7"/>
    <w:rsid w:val="00464C68"/>
    <w:rsid w:val="00466490"/>
    <w:rsid w:val="00472191"/>
    <w:rsid w:val="00474BA7"/>
    <w:rsid w:val="00477FB9"/>
    <w:rsid w:val="00486DFE"/>
    <w:rsid w:val="00486FD1"/>
    <w:rsid w:val="00491E51"/>
    <w:rsid w:val="004A4DFA"/>
    <w:rsid w:val="004B5DB7"/>
    <w:rsid w:val="004C13A6"/>
    <w:rsid w:val="004C3D8B"/>
    <w:rsid w:val="004D79F8"/>
    <w:rsid w:val="004E2FE6"/>
    <w:rsid w:val="004E6DE8"/>
    <w:rsid w:val="004F476C"/>
    <w:rsid w:val="00504042"/>
    <w:rsid w:val="00505074"/>
    <w:rsid w:val="005051F5"/>
    <w:rsid w:val="00505D74"/>
    <w:rsid w:val="005063F6"/>
    <w:rsid w:val="00513153"/>
    <w:rsid w:val="0052296A"/>
    <w:rsid w:val="005326AB"/>
    <w:rsid w:val="00540736"/>
    <w:rsid w:val="00544CB0"/>
    <w:rsid w:val="00545967"/>
    <w:rsid w:val="00546819"/>
    <w:rsid w:val="0055489E"/>
    <w:rsid w:val="00563D6B"/>
    <w:rsid w:val="00571B15"/>
    <w:rsid w:val="0059406B"/>
    <w:rsid w:val="005A1269"/>
    <w:rsid w:val="005A48BB"/>
    <w:rsid w:val="005B00FD"/>
    <w:rsid w:val="005B0127"/>
    <w:rsid w:val="005B0ED8"/>
    <w:rsid w:val="005B28CD"/>
    <w:rsid w:val="005C1599"/>
    <w:rsid w:val="005C2769"/>
    <w:rsid w:val="005C3247"/>
    <w:rsid w:val="005C5213"/>
    <w:rsid w:val="005C61CB"/>
    <w:rsid w:val="005C75F5"/>
    <w:rsid w:val="005D4F11"/>
    <w:rsid w:val="005E3ECA"/>
    <w:rsid w:val="005E5FED"/>
    <w:rsid w:val="005F1357"/>
    <w:rsid w:val="005F23C9"/>
    <w:rsid w:val="00601575"/>
    <w:rsid w:val="00602D2B"/>
    <w:rsid w:val="00603B59"/>
    <w:rsid w:val="00621F43"/>
    <w:rsid w:val="006222DD"/>
    <w:rsid w:val="006311BB"/>
    <w:rsid w:val="006361C1"/>
    <w:rsid w:val="006413B4"/>
    <w:rsid w:val="006423C6"/>
    <w:rsid w:val="0064622E"/>
    <w:rsid w:val="00650CEF"/>
    <w:rsid w:val="006533E1"/>
    <w:rsid w:val="00660759"/>
    <w:rsid w:val="00660B35"/>
    <w:rsid w:val="006716D9"/>
    <w:rsid w:val="006812C4"/>
    <w:rsid w:val="006852B0"/>
    <w:rsid w:val="006927E0"/>
    <w:rsid w:val="006968A0"/>
    <w:rsid w:val="00697883"/>
    <w:rsid w:val="006A6DE7"/>
    <w:rsid w:val="006B351B"/>
    <w:rsid w:val="006B5CF9"/>
    <w:rsid w:val="006C2156"/>
    <w:rsid w:val="006C4366"/>
    <w:rsid w:val="006C79DC"/>
    <w:rsid w:val="006D175C"/>
    <w:rsid w:val="006D4860"/>
    <w:rsid w:val="006E4EDC"/>
    <w:rsid w:val="006E65FC"/>
    <w:rsid w:val="006F114C"/>
    <w:rsid w:val="006F2333"/>
    <w:rsid w:val="006F5563"/>
    <w:rsid w:val="00710CC1"/>
    <w:rsid w:val="007119DF"/>
    <w:rsid w:val="007173A4"/>
    <w:rsid w:val="00720EAE"/>
    <w:rsid w:val="00734879"/>
    <w:rsid w:val="00746065"/>
    <w:rsid w:val="007472B9"/>
    <w:rsid w:val="00747B6D"/>
    <w:rsid w:val="00751104"/>
    <w:rsid w:val="0075485C"/>
    <w:rsid w:val="0075545A"/>
    <w:rsid w:val="00763B30"/>
    <w:rsid w:val="00766A71"/>
    <w:rsid w:val="00771CBC"/>
    <w:rsid w:val="00777F94"/>
    <w:rsid w:val="007845BA"/>
    <w:rsid w:val="007854C5"/>
    <w:rsid w:val="00786639"/>
    <w:rsid w:val="00790F13"/>
    <w:rsid w:val="007A6ED7"/>
    <w:rsid w:val="007B3915"/>
    <w:rsid w:val="007B5890"/>
    <w:rsid w:val="007B65CC"/>
    <w:rsid w:val="007B7DBC"/>
    <w:rsid w:val="007C2CAB"/>
    <w:rsid w:val="007C47AA"/>
    <w:rsid w:val="007D0BE6"/>
    <w:rsid w:val="007D1573"/>
    <w:rsid w:val="007D6304"/>
    <w:rsid w:val="007E01C3"/>
    <w:rsid w:val="007E2D30"/>
    <w:rsid w:val="007E716A"/>
    <w:rsid w:val="007F2ADA"/>
    <w:rsid w:val="007F2FEC"/>
    <w:rsid w:val="007F333F"/>
    <w:rsid w:val="007F3964"/>
    <w:rsid w:val="007F3E20"/>
    <w:rsid w:val="00802B05"/>
    <w:rsid w:val="00805B76"/>
    <w:rsid w:val="0081598D"/>
    <w:rsid w:val="00816D09"/>
    <w:rsid w:val="00816D75"/>
    <w:rsid w:val="0083160A"/>
    <w:rsid w:val="008422F9"/>
    <w:rsid w:val="008630FC"/>
    <w:rsid w:val="00863EC2"/>
    <w:rsid w:val="008663A0"/>
    <w:rsid w:val="00872982"/>
    <w:rsid w:val="00880FAE"/>
    <w:rsid w:val="008922FC"/>
    <w:rsid w:val="00893CB6"/>
    <w:rsid w:val="008A0736"/>
    <w:rsid w:val="008B23CE"/>
    <w:rsid w:val="008B2C30"/>
    <w:rsid w:val="008B4A59"/>
    <w:rsid w:val="008B6D46"/>
    <w:rsid w:val="008B7891"/>
    <w:rsid w:val="008C518D"/>
    <w:rsid w:val="008D76F0"/>
    <w:rsid w:val="008D7CD3"/>
    <w:rsid w:val="008E043C"/>
    <w:rsid w:val="008E0FC0"/>
    <w:rsid w:val="009031D4"/>
    <w:rsid w:val="00904EF5"/>
    <w:rsid w:val="00907754"/>
    <w:rsid w:val="009120D5"/>
    <w:rsid w:val="009132E2"/>
    <w:rsid w:val="0091457B"/>
    <w:rsid w:val="0092550D"/>
    <w:rsid w:val="00926C41"/>
    <w:rsid w:val="00956BC0"/>
    <w:rsid w:val="009570F5"/>
    <w:rsid w:val="009609AF"/>
    <w:rsid w:val="009624C8"/>
    <w:rsid w:val="00971A66"/>
    <w:rsid w:val="00972258"/>
    <w:rsid w:val="0097694C"/>
    <w:rsid w:val="00977D4B"/>
    <w:rsid w:val="00983001"/>
    <w:rsid w:val="0098553B"/>
    <w:rsid w:val="00985850"/>
    <w:rsid w:val="0099122A"/>
    <w:rsid w:val="009C6721"/>
    <w:rsid w:val="009D0ED1"/>
    <w:rsid w:val="009E01CF"/>
    <w:rsid w:val="009E56C6"/>
    <w:rsid w:val="009E625C"/>
    <w:rsid w:val="009E7304"/>
    <w:rsid w:val="009F796C"/>
    <w:rsid w:val="00A06D56"/>
    <w:rsid w:val="00A14D89"/>
    <w:rsid w:val="00A217A2"/>
    <w:rsid w:val="00A37708"/>
    <w:rsid w:val="00A41CAC"/>
    <w:rsid w:val="00A43859"/>
    <w:rsid w:val="00A4503A"/>
    <w:rsid w:val="00A62F36"/>
    <w:rsid w:val="00A657AD"/>
    <w:rsid w:val="00A749C6"/>
    <w:rsid w:val="00A82205"/>
    <w:rsid w:val="00A85F4E"/>
    <w:rsid w:val="00A9386E"/>
    <w:rsid w:val="00A9761E"/>
    <w:rsid w:val="00AA00C2"/>
    <w:rsid w:val="00AA446D"/>
    <w:rsid w:val="00AA7143"/>
    <w:rsid w:val="00AB28FA"/>
    <w:rsid w:val="00AB2CA3"/>
    <w:rsid w:val="00AB7A7E"/>
    <w:rsid w:val="00AC7A56"/>
    <w:rsid w:val="00AD21ED"/>
    <w:rsid w:val="00AD2FA6"/>
    <w:rsid w:val="00AD648D"/>
    <w:rsid w:val="00AE040C"/>
    <w:rsid w:val="00AE64D2"/>
    <w:rsid w:val="00AF0EEC"/>
    <w:rsid w:val="00AF496C"/>
    <w:rsid w:val="00AF6814"/>
    <w:rsid w:val="00B10D1F"/>
    <w:rsid w:val="00B1362C"/>
    <w:rsid w:val="00B2345C"/>
    <w:rsid w:val="00B24C60"/>
    <w:rsid w:val="00B25282"/>
    <w:rsid w:val="00B26E81"/>
    <w:rsid w:val="00B35508"/>
    <w:rsid w:val="00B410FB"/>
    <w:rsid w:val="00B5126D"/>
    <w:rsid w:val="00B56BD9"/>
    <w:rsid w:val="00B81D1F"/>
    <w:rsid w:val="00B8222A"/>
    <w:rsid w:val="00B84AB1"/>
    <w:rsid w:val="00B85800"/>
    <w:rsid w:val="00B93CDC"/>
    <w:rsid w:val="00B976E6"/>
    <w:rsid w:val="00BA2358"/>
    <w:rsid w:val="00BA2ECD"/>
    <w:rsid w:val="00BA6544"/>
    <w:rsid w:val="00BB67D5"/>
    <w:rsid w:val="00BC0A08"/>
    <w:rsid w:val="00BC500E"/>
    <w:rsid w:val="00BC54CC"/>
    <w:rsid w:val="00BC6F99"/>
    <w:rsid w:val="00BC7043"/>
    <w:rsid w:val="00BC7192"/>
    <w:rsid w:val="00BD04AA"/>
    <w:rsid w:val="00BD10C4"/>
    <w:rsid w:val="00BD2260"/>
    <w:rsid w:val="00BD37D9"/>
    <w:rsid w:val="00BD64D2"/>
    <w:rsid w:val="00BD7FF2"/>
    <w:rsid w:val="00BE1AAC"/>
    <w:rsid w:val="00BE24B5"/>
    <w:rsid w:val="00BE515C"/>
    <w:rsid w:val="00BE7D43"/>
    <w:rsid w:val="00BF1C22"/>
    <w:rsid w:val="00C03F72"/>
    <w:rsid w:val="00C106A0"/>
    <w:rsid w:val="00C13653"/>
    <w:rsid w:val="00C1427A"/>
    <w:rsid w:val="00C1654E"/>
    <w:rsid w:val="00C35713"/>
    <w:rsid w:val="00C40145"/>
    <w:rsid w:val="00C41886"/>
    <w:rsid w:val="00C4602E"/>
    <w:rsid w:val="00C4671A"/>
    <w:rsid w:val="00C53D4E"/>
    <w:rsid w:val="00C54151"/>
    <w:rsid w:val="00C55785"/>
    <w:rsid w:val="00C55C79"/>
    <w:rsid w:val="00C618EA"/>
    <w:rsid w:val="00C618FD"/>
    <w:rsid w:val="00C62BAA"/>
    <w:rsid w:val="00C671B9"/>
    <w:rsid w:val="00C710FD"/>
    <w:rsid w:val="00C72B1E"/>
    <w:rsid w:val="00C7535E"/>
    <w:rsid w:val="00C75E32"/>
    <w:rsid w:val="00C837B9"/>
    <w:rsid w:val="00C91703"/>
    <w:rsid w:val="00C923A3"/>
    <w:rsid w:val="00CA2393"/>
    <w:rsid w:val="00CA52C4"/>
    <w:rsid w:val="00CA6D65"/>
    <w:rsid w:val="00CB550F"/>
    <w:rsid w:val="00CB5E80"/>
    <w:rsid w:val="00CB6C1F"/>
    <w:rsid w:val="00CC05EE"/>
    <w:rsid w:val="00CC3988"/>
    <w:rsid w:val="00CC590F"/>
    <w:rsid w:val="00CC6BA8"/>
    <w:rsid w:val="00CD08E7"/>
    <w:rsid w:val="00CD1223"/>
    <w:rsid w:val="00CD1EA9"/>
    <w:rsid w:val="00CE2854"/>
    <w:rsid w:val="00CF230B"/>
    <w:rsid w:val="00D03E9B"/>
    <w:rsid w:val="00D07547"/>
    <w:rsid w:val="00D111BD"/>
    <w:rsid w:val="00D13D6A"/>
    <w:rsid w:val="00D1489D"/>
    <w:rsid w:val="00D17043"/>
    <w:rsid w:val="00D1765D"/>
    <w:rsid w:val="00D23BE5"/>
    <w:rsid w:val="00D34EB1"/>
    <w:rsid w:val="00D37615"/>
    <w:rsid w:val="00D41255"/>
    <w:rsid w:val="00D429AC"/>
    <w:rsid w:val="00D43F5F"/>
    <w:rsid w:val="00D46DEE"/>
    <w:rsid w:val="00D46EA7"/>
    <w:rsid w:val="00D62868"/>
    <w:rsid w:val="00D629D1"/>
    <w:rsid w:val="00D64D70"/>
    <w:rsid w:val="00D65837"/>
    <w:rsid w:val="00D66669"/>
    <w:rsid w:val="00D67578"/>
    <w:rsid w:val="00D75F1D"/>
    <w:rsid w:val="00D7649F"/>
    <w:rsid w:val="00D77133"/>
    <w:rsid w:val="00D864B9"/>
    <w:rsid w:val="00D917D1"/>
    <w:rsid w:val="00D94979"/>
    <w:rsid w:val="00DA01D7"/>
    <w:rsid w:val="00DA0324"/>
    <w:rsid w:val="00DA42AB"/>
    <w:rsid w:val="00DB4E46"/>
    <w:rsid w:val="00DB563F"/>
    <w:rsid w:val="00DC1540"/>
    <w:rsid w:val="00DD2B85"/>
    <w:rsid w:val="00DD3E96"/>
    <w:rsid w:val="00DD5423"/>
    <w:rsid w:val="00DD589C"/>
    <w:rsid w:val="00DF0ADC"/>
    <w:rsid w:val="00DF26F3"/>
    <w:rsid w:val="00DF4A96"/>
    <w:rsid w:val="00E40282"/>
    <w:rsid w:val="00E43450"/>
    <w:rsid w:val="00E449F2"/>
    <w:rsid w:val="00E46FD3"/>
    <w:rsid w:val="00E51F58"/>
    <w:rsid w:val="00E56D4D"/>
    <w:rsid w:val="00E57CA8"/>
    <w:rsid w:val="00E61B00"/>
    <w:rsid w:val="00E65563"/>
    <w:rsid w:val="00E76553"/>
    <w:rsid w:val="00E82EE5"/>
    <w:rsid w:val="00EA17B1"/>
    <w:rsid w:val="00EA3C24"/>
    <w:rsid w:val="00EA6E56"/>
    <w:rsid w:val="00EB4DD9"/>
    <w:rsid w:val="00EB5F48"/>
    <w:rsid w:val="00EC10AD"/>
    <w:rsid w:val="00EC382A"/>
    <w:rsid w:val="00EC3931"/>
    <w:rsid w:val="00EC6803"/>
    <w:rsid w:val="00ED29A9"/>
    <w:rsid w:val="00EF1E5E"/>
    <w:rsid w:val="00F025A6"/>
    <w:rsid w:val="00F073DB"/>
    <w:rsid w:val="00F146A0"/>
    <w:rsid w:val="00F14D76"/>
    <w:rsid w:val="00F15FE3"/>
    <w:rsid w:val="00F16E67"/>
    <w:rsid w:val="00F17655"/>
    <w:rsid w:val="00F17812"/>
    <w:rsid w:val="00F20A6A"/>
    <w:rsid w:val="00F221DC"/>
    <w:rsid w:val="00F2600F"/>
    <w:rsid w:val="00F42535"/>
    <w:rsid w:val="00F43342"/>
    <w:rsid w:val="00F475F7"/>
    <w:rsid w:val="00F47CC3"/>
    <w:rsid w:val="00F538F6"/>
    <w:rsid w:val="00F56B1A"/>
    <w:rsid w:val="00F6532F"/>
    <w:rsid w:val="00F66738"/>
    <w:rsid w:val="00F72CD9"/>
    <w:rsid w:val="00F850FC"/>
    <w:rsid w:val="00F859D4"/>
    <w:rsid w:val="00F94EBB"/>
    <w:rsid w:val="00FB2416"/>
    <w:rsid w:val="00FB2762"/>
    <w:rsid w:val="00FB296E"/>
    <w:rsid w:val="00FB77D9"/>
    <w:rsid w:val="00FC58B8"/>
    <w:rsid w:val="00FD3199"/>
    <w:rsid w:val="00FD5502"/>
    <w:rsid w:val="00FE08D0"/>
    <w:rsid w:val="00FE4958"/>
    <w:rsid w:val="00FF65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06881-B088-4293-B3A0-DA2AE84B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879"/>
    <w:pPr>
      <w:spacing w:after="0" w:line="240" w:lineRule="auto"/>
    </w:pPr>
  </w:style>
  <w:style w:type="paragraph" w:styleId="Ttulo1">
    <w:name w:val="heading 1"/>
    <w:basedOn w:val="Normal"/>
    <w:next w:val="Normal"/>
    <w:link w:val="Ttulo1Car"/>
    <w:uiPriority w:val="9"/>
    <w:qFormat/>
    <w:rsid w:val="00456AA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34879"/>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734879"/>
    <w:rPr>
      <w:rFonts w:ascii="Times New Roman" w:eastAsia="PMingLiU" w:hAnsi="Times New Roman" w:cs="Times New Roman"/>
      <w:sz w:val="24"/>
      <w:szCs w:val="24"/>
      <w:lang w:val="es-ES" w:eastAsia="zh-TW"/>
    </w:rPr>
  </w:style>
  <w:style w:type="paragraph" w:styleId="Sinespaciado">
    <w:name w:val="No Spacing"/>
    <w:uiPriority w:val="1"/>
    <w:qFormat/>
    <w:rsid w:val="00734879"/>
    <w:pPr>
      <w:spacing w:after="0" w:line="240" w:lineRule="auto"/>
    </w:pPr>
    <w:rPr>
      <w:lang w:val="es-ES"/>
    </w:rPr>
  </w:style>
  <w:style w:type="paragraph" w:styleId="Prrafodelista">
    <w:name w:val="List Paragraph"/>
    <w:basedOn w:val="Normal"/>
    <w:uiPriority w:val="34"/>
    <w:qFormat/>
    <w:rsid w:val="00734879"/>
    <w:pPr>
      <w:ind w:left="720"/>
      <w:contextualSpacing/>
    </w:pPr>
  </w:style>
  <w:style w:type="paragraph" w:styleId="Textodeglobo">
    <w:name w:val="Balloon Text"/>
    <w:basedOn w:val="Normal"/>
    <w:link w:val="TextodegloboCar"/>
    <w:uiPriority w:val="99"/>
    <w:semiHidden/>
    <w:unhideWhenUsed/>
    <w:rsid w:val="003B25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25F5"/>
    <w:rPr>
      <w:rFonts w:ascii="Segoe UI" w:hAnsi="Segoe UI" w:cs="Segoe UI"/>
      <w:sz w:val="18"/>
      <w:szCs w:val="18"/>
    </w:rPr>
  </w:style>
  <w:style w:type="paragraph" w:styleId="Textonotapie">
    <w:name w:val="footnote text"/>
    <w:basedOn w:val="Normal"/>
    <w:link w:val="TextonotapieCar"/>
    <w:uiPriority w:val="99"/>
    <w:unhideWhenUsed/>
    <w:rsid w:val="00AA446D"/>
    <w:rPr>
      <w:sz w:val="20"/>
      <w:szCs w:val="20"/>
      <w:lang w:val="es-ES"/>
    </w:rPr>
  </w:style>
  <w:style w:type="character" w:customStyle="1" w:styleId="TextonotapieCar">
    <w:name w:val="Texto nota pie Car"/>
    <w:basedOn w:val="Fuentedeprrafopredeter"/>
    <w:link w:val="Textonotapie"/>
    <w:uiPriority w:val="99"/>
    <w:rsid w:val="00AA446D"/>
    <w:rPr>
      <w:sz w:val="20"/>
      <w:szCs w:val="20"/>
      <w:lang w:val="es-ES"/>
    </w:rPr>
  </w:style>
  <w:style w:type="character" w:styleId="Refdenotaalpie">
    <w:name w:val="footnote reference"/>
    <w:basedOn w:val="Fuentedeprrafopredeter"/>
    <w:uiPriority w:val="99"/>
    <w:semiHidden/>
    <w:unhideWhenUsed/>
    <w:rsid w:val="00AA446D"/>
    <w:rPr>
      <w:vertAlign w:val="superscript"/>
    </w:rPr>
  </w:style>
  <w:style w:type="character" w:customStyle="1" w:styleId="Ttulo1Car">
    <w:name w:val="Título 1 Car"/>
    <w:basedOn w:val="Fuentedeprrafopredeter"/>
    <w:link w:val="Ttulo1"/>
    <w:uiPriority w:val="9"/>
    <w:rsid w:val="00456AA7"/>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1B34AD"/>
    <w:pPr>
      <w:tabs>
        <w:tab w:val="center" w:pos="4419"/>
        <w:tab w:val="right" w:pos="8838"/>
      </w:tabs>
    </w:pPr>
  </w:style>
  <w:style w:type="character" w:customStyle="1" w:styleId="PiedepginaCar">
    <w:name w:val="Pie de página Car"/>
    <w:basedOn w:val="Fuentedeprrafopredeter"/>
    <w:link w:val="Piedepgina"/>
    <w:uiPriority w:val="99"/>
    <w:rsid w:val="001B3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6186-3415-4124-9273-1177CCFF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2732</TotalTime>
  <Pages>11</Pages>
  <Words>3545</Words>
  <Characters>19499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58</cp:revision>
  <cp:lastPrinted>2019-05-23T16:04:00Z</cp:lastPrinted>
  <dcterms:created xsi:type="dcterms:W3CDTF">2006-06-02T19:47:00Z</dcterms:created>
  <dcterms:modified xsi:type="dcterms:W3CDTF">2019-07-01T18:34:00Z</dcterms:modified>
</cp:coreProperties>
</file>