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117A92">
        <w:rPr>
          <w:rFonts w:ascii="Arial" w:hAnsi="Arial" w:cs="Arial"/>
          <w:b/>
          <w:sz w:val="26"/>
          <w:szCs w:val="26"/>
        </w:rPr>
        <w:t>0</w:t>
      </w:r>
      <w:r w:rsidR="005D3EFB">
        <w:rPr>
          <w:rFonts w:ascii="Arial" w:hAnsi="Arial" w:cs="Arial"/>
          <w:b/>
          <w:sz w:val="26"/>
          <w:szCs w:val="26"/>
        </w:rPr>
        <w:t>500</w:t>
      </w:r>
      <w:r>
        <w:rPr>
          <w:rFonts w:ascii="Arial" w:hAnsi="Arial" w:cs="Arial"/>
          <w:b/>
          <w:sz w:val="26"/>
          <w:szCs w:val="26"/>
        </w:rPr>
        <w:t>/201</w:t>
      </w:r>
      <w:r w:rsidR="00117A92">
        <w:rPr>
          <w:rFonts w:ascii="Arial" w:hAnsi="Arial" w:cs="Arial"/>
          <w:b/>
          <w:sz w:val="26"/>
          <w:szCs w:val="26"/>
        </w:rPr>
        <w:t>8</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5D3EFB">
        <w:rPr>
          <w:rFonts w:ascii="Arial" w:hAnsi="Arial" w:cs="Arial"/>
          <w:b/>
          <w:sz w:val="26"/>
          <w:szCs w:val="26"/>
        </w:rPr>
        <w:t>409</w:t>
      </w:r>
      <w:r>
        <w:rPr>
          <w:rFonts w:ascii="Arial" w:hAnsi="Arial" w:cs="Arial"/>
          <w:b/>
          <w:sz w:val="26"/>
          <w:szCs w:val="26"/>
        </w:rPr>
        <w:t>/201</w:t>
      </w:r>
      <w:r w:rsidR="005D3EFB">
        <w:rPr>
          <w:rFonts w:ascii="Arial" w:hAnsi="Arial" w:cs="Arial"/>
          <w:b/>
          <w:sz w:val="26"/>
          <w:szCs w:val="26"/>
        </w:rPr>
        <w:t xml:space="preserve">6 TERCERA </w:t>
      </w:r>
      <w:r>
        <w:rPr>
          <w:rFonts w:ascii="Arial" w:hAnsi="Arial" w:cs="Arial"/>
          <w:b/>
          <w:sz w:val="26"/>
          <w:szCs w:val="26"/>
        </w:rPr>
        <w:t>SALA UNITARIA DE PRIMERA INSTANCIA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90565" w:rsidRDefault="00B90565" w:rsidP="00B90565">
      <w:pPr>
        <w:spacing w:before="240" w:line="360" w:lineRule="auto"/>
        <w:jc w:val="both"/>
        <w:rPr>
          <w:rFonts w:ascii="Arial" w:hAnsi="Arial" w:cs="Arial"/>
          <w:b/>
          <w:sz w:val="26"/>
          <w:szCs w:val="26"/>
          <w:lang w:val="es-MX"/>
        </w:rPr>
      </w:pPr>
      <w:r>
        <w:rPr>
          <w:rFonts w:ascii="Arial" w:hAnsi="Arial" w:cs="Arial"/>
          <w:b/>
          <w:sz w:val="26"/>
          <w:szCs w:val="26"/>
        </w:rPr>
        <w:t>OAXACA DE JUÁREZ, OAXACA</w:t>
      </w:r>
      <w:r w:rsidR="00D514B1">
        <w:rPr>
          <w:rFonts w:ascii="Arial" w:hAnsi="Arial" w:cs="Arial"/>
          <w:b/>
          <w:sz w:val="26"/>
          <w:szCs w:val="26"/>
        </w:rPr>
        <w:t>,</w:t>
      </w:r>
      <w:r>
        <w:rPr>
          <w:rFonts w:ascii="Arial" w:hAnsi="Arial" w:cs="Arial"/>
          <w:b/>
          <w:sz w:val="26"/>
          <w:szCs w:val="26"/>
        </w:rPr>
        <w:t xml:space="preserve"> </w:t>
      </w:r>
      <w:r w:rsidR="00A16715">
        <w:rPr>
          <w:rFonts w:ascii="Arial" w:hAnsi="Arial" w:cs="Arial"/>
          <w:b/>
          <w:sz w:val="26"/>
          <w:szCs w:val="26"/>
        </w:rPr>
        <w:t xml:space="preserve">VEINTINUEVE </w:t>
      </w:r>
      <w:r>
        <w:rPr>
          <w:rFonts w:ascii="Arial" w:hAnsi="Arial" w:cs="Arial"/>
          <w:b/>
          <w:sz w:val="26"/>
          <w:szCs w:val="26"/>
        </w:rPr>
        <w:t xml:space="preserve">DE </w:t>
      </w:r>
      <w:r w:rsidR="00C60AA3">
        <w:rPr>
          <w:rFonts w:ascii="Arial" w:hAnsi="Arial" w:cs="Arial"/>
          <w:b/>
          <w:sz w:val="26"/>
          <w:szCs w:val="26"/>
        </w:rPr>
        <w:t>NOVIEMBRE</w:t>
      </w:r>
      <w:r w:rsidR="00117B20">
        <w:rPr>
          <w:rFonts w:ascii="Arial" w:hAnsi="Arial" w:cs="Arial"/>
          <w:b/>
          <w:sz w:val="26"/>
          <w:szCs w:val="26"/>
        </w:rPr>
        <w:t xml:space="preserve"> </w:t>
      </w:r>
      <w:r>
        <w:rPr>
          <w:rFonts w:ascii="Arial" w:hAnsi="Arial" w:cs="Arial"/>
          <w:b/>
          <w:sz w:val="26"/>
          <w:szCs w:val="26"/>
        </w:rPr>
        <w:t>DE DOS MIL DIECINUEVE.</w:t>
      </w:r>
    </w:p>
    <w:p w:rsidR="00117A92" w:rsidRDefault="00B90565" w:rsidP="00117A92">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5D3EFB">
        <w:rPr>
          <w:rFonts w:ascii="Arial" w:hAnsi="Arial" w:cs="Arial"/>
          <w:b/>
          <w:sz w:val="26"/>
          <w:szCs w:val="26"/>
        </w:rPr>
        <w:t>500</w:t>
      </w:r>
      <w:r>
        <w:rPr>
          <w:rFonts w:ascii="Arial" w:hAnsi="Arial" w:cs="Arial"/>
          <w:b/>
          <w:sz w:val="26"/>
          <w:szCs w:val="26"/>
        </w:rPr>
        <w:t>/201</w:t>
      </w:r>
      <w:r w:rsidR="00117A92">
        <w:rPr>
          <w:rFonts w:ascii="Arial" w:hAnsi="Arial" w:cs="Arial"/>
          <w:b/>
          <w:sz w:val="26"/>
          <w:szCs w:val="26"/>
        </w:rPr>
        <w:t>8</w:t>
      </w:r>
      <w:r>
        <w:rPr>
          <w:rFonts w:ascii="Arial" w:hAnsi="Arial" w:cs="Arial"/>
          <w:sz w:val="26"/>
          <w:szCs w:val="26"/>
        </w:rPr>
        <w:t>, que remite la Secretaría General de Acuerdos, con motivo del recurso de revisión interpuesto por</w:t>
      </w:r>
      <w:r w:rsidR="005D3EFB">
        <w:rPr>
          <w:rFonts w:ascii="Arial" w:hAnsi="Arial" w:cs="Arial"/>
          <w:b/>
          <w:bCs/>
          <w:sz w:val="26"/>
          <w:szCs w:val="26"/>
        </w:rPr>
        <w:t xml:space="preserve"> </w:t>
      </w:r>
      <w:r w:rsidR="00FC240C">
        <w:rPr>
          <w:rFonts w:ascii="Arial" w:hAnsi="Arial" w:cs="Arial"/>
          <w:b/>
          <w:sz w:val="26"/>
          <w:szCs w:val="26"/>
        </w:rPr>
        <w:t>**********</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w:t>
      </w:r>
      <w:r w:rsidR="00117B20">
        <w:rPr>
          <w:rFonts w:ascii="Arial" w:eastAsia="Calibri" w:hAnsi="Arial" w:cs="Arial"/>
          <w:sz w:val="26"/>
          <w:szCs w:val="26"/>
        </w:rPr>
        <w:t xml:space="preserve">la resolución </w:t>
      </w:r>
      <w:r>
        <w:rPr>
          <w:rFonts w:ascii="Arial" w:eastAsia="Calibri" w:hAnsi="Arial" w:cs="Arial"/>
          <w:sz w:val="26"/>
          <w:szCs w:val="26"/>
        </w:rPr>
        <w:t xml:space="preserve">de </w:t>
      </w:r>
      <w:r w:rsidR="00117A92">
        <w:rPr>
          <w:rFonts w:ascii="Arial" w:eastAsia="Calibri" w:hAnsi="Arial" w:cs="Arial"/>
          <w:sz w:val="26"/>
          <w:szCs w:val="26"/>
        </w:rPr>
        <w:t xml:space="preserve">23 veintitrés de </w:t>
      </w:r>
      <w:r w:rsidR="005D3EFB">
        <w:rPr>
          <w:rFonts w:ascii="Arial" w:eastAsia="Calibri" w:hAnsi="Arial" w:cs="Arial"/>
          <w:sz w:val="26"/>
          <w:szCs w:val="26"/>
        </w:rPr>
        <w:t xml:space="preserve">noviembre </w:t>
      </w:r>
      <w:r w:rsidR="00117A92">
        <w:rPr>
          <w:rFonts w:ascii="Arial" w:eastAsia="Calibri" w:hAnsi="Arial" w:cs="Arial"/>
          <w:sz w:val="26"/>
          <w:szCs w:val="26"/>
        </w:rPr>
        <w:t xml:space="preserve">de </w:t>
      </w:r>
      <w:r>
        <w:rPr>
          <w:rFonts w:ascii="Arial" w:eastAsia="Calibri" w:hAnsi="Arial" w:cs="Arial"/>
          <w:sz w:val="26"/>
          <w:szCs w:val="26"/>
        </w:rPr>
        <w:t>201</w:t>
      </w:r>
      <w:r w:rsidR="00117A92">
        <w:rPr>
          <w:rFonts w:ascii="Arial" w:eastAsia="Calibri" w:hAnsi="Arial" w:cs="Arial"/>
          <w:sz w:val="26"/>
          <w:szCs w:val="26"/>
        </w:rPr>
        <w:t>8</w:t>
      </w:r>
      <w:r>
        <w:rPr>
          <w:rFonts w:ascii="Arial" w:eastAsia="Calibri" w:hAnsi="Arial" w:cs="Arial"/>
          <w:sz w:val="26"/>
          <w:szCs w:val="26"/>
        </w:rPr>
        <w:t xml:space="preserve"> dos mil dieci</w:t>
      </w:r>
      <w:r w:rsidR="00117A92">
        <w:rPr>
          <w:rFonts w:ascii="Arial" w:eastAsia="Calibri" w:hAnsi="Arial" w:cs="Arial"/>
          <w:sz w:val="26"/>
          <w:szCs w:val="26"/>
        </w:rPr>
        <w:t>ocho</w:t>
      </w:r>
      <w:r>
        <w:rPr>
          <w:rFonts w:ascii="Arial" w:eastAsia="Calibri" w:hAnsi="Arial" w:cs="Arial"/>
          <w:sz w:val="26"/>
          <w:szCs w:val="26"/>
        </w:rPr>
        <w:t xml:space="preserve">, </w:t>
      </w:r>
      <w:r>
        <w:rPr>
          <w:rFonts w:ascii="Arial" w:hAnsi="Arial" w:cs="Arial"/>
          <w:sz w:val="26"/>
          <w:szCs w:val="26"/>
        </w:rPr>
        <w:t xml:space="preserve">dictada en el expediente </w:t>
      </w:r>
      <w:r w:rsidR="00D360F8">
        <w:rPr>
          <w:rFonts w:ascii="Arial" w:hAnsi="Arial" w:cs="Arial"/>
          <w:b/>
          <w:sz w:val="26"/>
          <w:szCs w:val="26"/>
        </w:rPr>
        <w:t>0</w:t>
      </w:r>
      <w:r w:rsidR="005D3EFB">
        <w:rPr>
          <w:rFonts w:ascii="Arial" w:hAnsi="Arial" w:cs="Arial"/>
          <w:b/>
          <w:sz w:val="26"/>
          <w:szCs w:val="26"/>
        </w:rPr>
        <w:t>409/</w:t>
      </w:r>
      <w:r>
        <w:rPr>
          <w:rFonts w:ascii="Arial" w:hAnsi="Arial" w:cs="Arial"/>
          <w:b/>
          <w:sz w:val="26"/>
          <w:szCs w:val="26"/>
        </w:rPr>
        <w:t>201</w:t>
      </w:r>
      <w:r w:rsidR="005D3EFB">
        <w:rPr>
          <w:rFonts w:ascii="Arial" w:hAnsi="Arial" w:cs="Arial"/>
          <w:b/>
          <w:sz w:val="26"/>
          <w:szCs w:val="26"/>
        </w:rPr>
        <w:t>6</w:t>
      </w:r>
      <w:r>
        <w:rPr>
          <w:rFonts w:ascii="Arial" w:hAnsi="Arial" w:cs="Arial"/>
          <w:b/>
          <w:sz w:val="26"/>
          <w:szCs w:val="26"/>
        </w:rPr>
        <w:t>,</w:t>
      </w:r>
      <w:r>
        <w:rPr>
          <w:rFonts w:ascii="Arial" w:hAnsi="Arial" w:cs="Arial"/>
          <w:sz w:val="26"/>
          <w:szCs w:val="26"/>
        </w:rPr>
        <w:t xml:space="preserve"> de la </w:t>
      </w:r>
      <w:r w:rsidR="005D3EFB">
        <w:rPr>
          <w:rFonts w:ascii="Arial" w:hAnsi="Arial" w:cs="Arial"/>
          <w:sz w:val="26"/>
          <w:szCs w:val="26"/>
        </w:rPr>
        <w:t xml:space="preserve">Tercera </w:t>
      </w:r>
      <w:r>
        <w:rPr>
          <w:rFonts w:ascii="Arial" w:hAnsi="Arial" w:cs="Arial"/>
          <w:sz w:val="26"/>
          <w:szCs w:val="26"/>
        </w:rPr>
        <w:t>Sala Unitaria de Primera Instancia</w:t>
      </w:r>
      <w:r>
        <w:rPr>
          <w:rFonts w:ascii="Arial" w:eastAsia="Calibri" w:hAnsi="Arial" w:cs="Arial"/>
          <w:sz w:val="26"/>
          <w:szCs w:val="26"/>
        </w:rPr>
        <w:t xml:space="preserve">, </w:t>
      </w:r>
      <w:r>
        <w:rPr>
          <w:rFonts w:ascii="Arial" w:hAnsi="Arial" w:cs="Arial"/>
          <w:sz w:val="26"/>
          <w:szCs w:val="26"/>
        </w:rPr>
        <w:t>relativo al juicio de nulidad promovido por</w:t>
      </w:r>
      <w:r w:rsidR="00117B20">
        <w:rPr>
          <w:rFonts w:ascii="Arial" w:hAnsi="Arial" w:cs="Arial"/>
          <w:b/>
          <w:sz w:val="26"/>
          <w:szCs w:val="26"/>
        </w:rPr>
        <w:t xml:space="preserve"> </w:t>
      </w:r>
      <w:r w:rsidR="00FC240C">
        <w:rPr>
          <w:rFonts w:ascii="Arial" w:hAnsi="Arial" w:cs="Arial"/>
          <w:b/>
          <w:sz w:val="26"/>
          <w:szCs w:val="26"/>
        </w:rPr>
        <w:t>**********</w:t>
      </w:r>
      <w:r w:rsidRPr="00CA3845">
        <w:rPr>
          <w:rFonts w:ascii="Arial" w:eastAsia="Calibri" w:hAnsi="Arial" w:cs="Arial"/>
          <w:sz w:val="26"/>
          <w:szCs w:val="26"/>
        </w:rPr>
        <w:t xml:space="preserve">, </w:t>
      </w:r>
      <w:r w:rsidR="000A04F6">
        <w:rPr>
          <w:rFonts w:ascii="Arial" w:eastAsia="Calibri" w:hAnsi="Arial" w:cs="Arial"/>
          <w:sz w:val="26"/>
          <w:szCs w:val="26"/>
        </w:rPr>
        <w:t>en contra de</w:t>
      </w:r>
      <w:r w:rsidR="00117A92">
        <w:rPr>
          <w:rFonts w:ascii="Arial" w:eastAsia="Calibri" w:hAnsi="Arial" w:cs="Arial"/>
          <w:sz w:val="26"/>
          <w:szCs w:val="26"/>
        </w:rPr>
        <w:t>l</w:t>
      </w:r>
      <w:r w:rsidR="005D3EFB">
        <w:rPr>
          <w:rFonts w:ascii="Arial" w:eastAsia="Calibri" w:hAnsi="Arial" w:cs="Arial"/>
          <w:b/>
          <w:bCs/>
          <w:sz w:val="26"/>
          <w:szCs w:val="26"/>
        </w:rPr>
        <w:t xml:space="preserve"> GOBERNADOR CONSTITUCIONAL </w:t>
      </w:r>
      <w:r w:rsidR="00117B20">
        <w:rPr>
          <w:rFonts w:ascii="Arial" w:eastAsia="Calibri" w:hAnsi="Arial" w:cs="Arial"/>
          <w:b/>
          <w:bCs/>
          <w:sz w:val="26"/>
          <w:szCs w:val="26"/>
        </w:rPr>
        <w:t>y la</w:t>
      </w:r>
      <w:r w:rsidR="005D3EFB">
        <w:rPr>
          <w:rFonts w:ascii="Arial" w:eastAsia="Calibri" w:hAnsi="Arial" w:cs="Arial"/>
          <w:b/>
          <w:bCs/>
          <w:sz w:val="26"/>
          <w:szCs w:val="26"/>
        </w:rPr>
        <w:t xml:space="preserve"> DIRECTORA DE CONCESIONES </w:t>
      </w:r>
      <w:r w:rsidR="00117B20">
        <w:rPr>
          <w:rFonts w:ascii="Arial" w:eastAsia="Calibri" w:hAnsi="Arial" w:cs="Arial"/>
          <w:b/>
          <w:bCs/>
          <w:sz w:val="26"/>
          <w:szCs w:val="26"/>
        </w:rPr>
        <w:t xml:space="preserve">de la entonces </w:t>
      </w:r>
      <w:r w:rsidR="005D3EFB">
        <w:rPr>
          <w:rFonts w:ascii="Arial" w:eastAsia="Calibri" w:hAnsi="Arial" w:cs="Arial"/>
          <w:b/>
          <w:bCs/>
          <w:sz w:val="26"/>
          <w:szCs w:val="26"/>
        </w:rPr>
        <w:t>SECRETARÍA DE VIALIDAD Y TRANSPORTE</w:t>
      </w:r>
      <w:r w:rsidR="00117B20">
        <w:rPr>
          <w:rFonts w:ascii="Arial" w:eastAsia="Calibri" w:hAnsi="Arial" w:cs="Arial"/>
          <w:b/>
          <w:bCs/>
          <w:sz w:val="26"/>
          <w:szCs w:val="26"/>
        </w:rPr>
        <w:t>, ambos del ESTADO DE OAXACA</w:t>
      </w:r>
      <w:r w:rsidR="000D41AB">
        <w:rPr>
          <w:rFonts w:ascii="Arial" w:eastAsia="Calibri" w:hAnsi="Arial" w:cs="Arial"/>
          <w:sz w:val="26"/>
          <w:szCs w:val="26"/>
        </w:rPr>
        <w:t>;</w:t>
      </w:r>
      <w:r w:rsidR="00117A92" w:rsidRPr="00117A92">
        <w:rPr>
          <w:rFonts w:ascii="Arial" w:eastAsia="Calibri" w:hAnsi="Arial" w:cs="Arial"/>
          <w:sz w:val="26"/>
          <w:szCs w:val="26"/>
        </w:rPr>
        <w:t xml:space="preserve"> </w:t>
      </w:r>
      <w:r w:rsidR="00117A92">
        <w:rPr>
          <w:rFonts w:ascii="Arial" w:eastAsia="Calibri" w:hAnsi="Arial" w:cs="Arial"/>
          <w:sz w:val="26"/>
          <w:szCs w:val="26"/>
        </w:rPr>
        <w:t xml:space="preserve">por lo que con fundamento en los artículos 207 y 208 de la Ley de Justicia Administrativa para el Estado de Oaxaca, aplicable por ser la que estaba vigente al inicio del juicio natural en el mes de </w:t>
      </w:r>
      <w:r w:rsidR="005D3EFB">
        <w:rPr>
          <w:rFonts w:ascii="Arial" w:eastAsia="Calibri" w:hAnsi="Arial" w:cs="Arial"/>
          <w:sz w:val="26"/>
          <w:szCs w:val="26"/>
        </w:rPr>
        <w:t xml:space="preserve">marzo </w:t>
      </w:r>
      <w:r w:rsidR="00117A92">
        <w:rPr>
          <w:rFonts w:ascii="Arial" w:eastAsia="Calibri" w:hAnsi="Arial" w:cs="Arial"/>
          <w:sz w:val="26"/>
          <w:szCs w:val="26"/>
        </w:rPr>
        <w:t>de 201</w:t>
      </w:r>
      <w:r w:rsidR="005D3EFB">
        <w:rPr>
          <w:rFonts w:ascii="Arial" w:eastAsia="Calibri" w:hAnsi="Arial" w:cs="Arial"/>
          <w:sz w:val="26"/>
          <w:szCs w:val="26"/>
        </w:rPr>
        <w:t>6</w:t>
      </w:r>
      <w:r w:rsidR="00117A92">
        <w:rPr>
          <w:rFonts w:ascii="Arial" w:eastAsia="Calibri" w:hAnsi="Arial" w:cs="Arial"/>
          <w:sz w:val="26"/>
          <w:szCs w:val="26"/>
        </w:rPr>
        <w:t xml:space="preserve"> dos mil </w:t>
      </w:r>
      <w:r w:rsidR="005D3EFB">
        <w:rPr>
          <w:rFonts w:ascii="Arial" w:eastAsia="Calibri" w:hAnsi="Arial" w:cs="Arial"/>
          <w:sz w:val="26"/>
          <w:szCs w:val="26"/>
        </w:rPr>
        <w:t>dieciséis</w:t>
      </w:r>
      <w:r w:rsidR="00117A92">
        <w:rPr>
          <w:rFonts w:ascii="Arial" w:eastAsia="Calibri" w:hAnsi="Arial" w:cs="Arial"/>
          <w:sz w:val="26"/>
          <w:szCs w:val="26"/>
        </w:rPr>
        <w:t>, se admite. En consecuencia, se procede a dictar resolución en los siguientes términos:</w:t>
      </w:r>
    </w:p>
    <w:p w:rsidR="00B90565" w:rsidRDefault="00B90565" w:rsidP="000D41A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90565" w:rsidRDefault="00B90565" w:rsidP="00B90565">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w:t>
      </w:r>
      <w:r w:rsidR="00291256" w:rsidRPr="00291256">
        <w:rPr>
          <w:rFonts w:ascii="Arial" w:eastAsia="Calibri" w:hAnsi="Arial" w:cs="Arial"/>
          <w:sz w:val="26"/>
          <w:szCs w:val="26"/>
        </w:rPr>
        <w:t xml:space="preserve"> </w:t>
      </w:r>
      <w:r w:rsidR="00117B20">
        <w:rPr>
          <w:rFonts w:ascii="Arial" w:eastAsia="Calibri" w:hAnsi="Arial" w:cs="Arial"/>
          <w:sz w:val="26"/>
          <w:szCs w:val="26"/>
        </w:rPr>
        <w:t xml:space="preserve">la resolución </w:t>
      </w:r>
      <w:r w:rsidR="00291256">
        <w:rPr>
          <w:rFonts w:ascii="Arial" w:eastAsia="Calibri" w:hAnsi="Arial" w:cs="Arial"/>
          <w:sz w:val="26"/>
          <w:szCs w:val="26"/>
        </w:rPr>
        <w:t>de 23 veintitrés de noviembre de 2018 dos mil dieciocho</w:t>
      </w:r>
      <w:r>
        <w:rPr>
          <w:rFonts w:ascii="Arial" w:hAnsi="Arial" w:cs="Arial"/>
          <w:sz w:val="26"/>
          <w:szCs w:val="26"/>
        </w:rPr>
        <w:t xml:space="preserve">, dictada por la </w:t>
      </w:r>
      <w:r w:rsidR="00291256">
        <w:rPr>
          <w:rFonts w:ascii="Arial" w:hAnsi="Arial" w:cs="Arial"/>
          <w:sz w:val="26"/>
          <w:szCs w:val="26"/>
        </w:rPr>
        <w:t xml:space="preserve">Tercera </w:t>
      </w:r>
      <w:r>
        <w:rPr>
          <w:rFonts w:ascii="Arial" w:hAnsi="Arial" w:cs="Arial"/>
          <w:sz w:val="26"/>
          <w:szCs w:val="26"/>
        </w:rPr>
        <w:t>Sala Unitaria de Primera Instancia</w:t>
      </w:r>
      <w:r w:rsidR="001A3C0A" w:rsidRPr="001A3C0A">
        <w:rPr>
          <w:rFonts w:ascii="Arial" w:hAnsi="Arial" w:cs="Arial"/>
          <w:b/>
          <w:bCs/>
          <w:sz w:val="26"/>
          <w:szCs w:val="26"/>
        </w:rPr>
        <w:t xml:space="preserve"> </w:t>
      </w:r>
      <w:r w:rsidR="00FC240C">
        <w:rPr>
          <w:rFonts w:ascii="Arial" w:hAnsi="Arial" w:cs="Arial"/>
          <w:b/>
          <w:sz w:val="26"/>
          <w:szCs w:val="26"/>
        </w:rPr>
        <w:t>**********</w:t>
      </w:r>
      <w:r w:rsidR="00291256">
        <w:rPr>
          <w:rFonts w:ascii="Arial" w:hAnsi="Arial" w:cs="Arial"/>
          <w:sz w:val="26"/>
          <w:szCs w:val="26"/>
        </w:rPr>
        <w:t xml:space="preserve">, </w:t>
      </w:r>
      <w:r>
        <w:rPr>
          <w:rFonts w:ascii="Arial" w:hAnsi="Arial" w:cs="Arial"/>
          <w:sz w:val="26"/>
          <w:szCs w:val="26"/>
        </w:rPr>
        <w:t xml:space="preserve">interpuso en su contra recurso de revisión. </w:t>
      </w:r>
    </w:p>
    <w:p w:rsidR="00B90565" w:rsidRDefault="00B90565" w:rsidP="00B90565">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 xml:space="preserve">Los puntos resolutivos de la </w:t>
      </w:r>
      <w:r w:rsidR="00117B20">
        <w:rPr>
          <w:rFonts w:ascii="Arial" w:eastAsia="Calibri" w:hAnsi="Arial" w:cs="Arial"/>
          <w:sz w:val="26"/>
          <w:szCs w:val="26"/>
        </w:rPr>
        <w:t xml:space="preserve">resolución </w:t>
      </w:r>
      <w:r>
        <w:rPr>
          <w:rFonts w:ascii="Arial" w:eastAsia="Calibri" w:hAnsi="Arial" w:cs="Arial"/>
          <w:sz w:val="26"/>
          <w:szCs w:val="26"/>
        </w:rPr>
        <w:t>recurrida son los siguientes:</w:t>
      </w:r>
    </w:p>
    <w:p w:rsidR="00B90565" w:rsidRPr="00EC1577" w:rsidRDefault="00B90565" w:rsidP="00426364">
      <w:pPr>
        <w:pStyle w:val="Textoindependiente21"/>
        <w:tabs>
          <w:tab w:val="left" w:pos="7938"/>
        </w:tabs>
        <w:spacing w:before="240" w:line="360" w:lineRule="auto"/>
        <w:ind w:left="1134" w:right="616" w:firstLine="0"/>
        <w:rPr>
          <w:rFonts w:ascii="Arial" w:hAnsi="Arial" w:cs="Arial"/>
          <w:bCs/>
          <w:i/>
          <w:iCs/>
          <w:sz w:val="22"/>
          <w:szCs w:val="24"/>
        </w:rPr>
      </w:pPr>
      <w:r w:rsidRPr="00EC1577">
        <w:rPr>
          <w:rFonts w:ascii="Arial" w:hAnsi="Arial" w:cs="Arial"/>
          <w:bCs/>
          <w:iCs/>
          <w:sz w:val="22"/>
          <w:szCs w:val="24"/>
        </w:rPr>
        <w:t>“</w:t>
      </w:r>
      <w:r w:rsidRPr="00EC1577">
        <w:rPr>
          <w:rFonts w:ascii="Arial" w:hAnsi="Arial" w:cs="Arial"/>
          <w:b/>
          <w:bCs/>
          <w:i/>
          <w:iCs/>
          <w:sz w:val="22"/>
          <w:szCs w:val="24"/>
        </w:rPr>
        <w:t xml:space="preserve">PRIMERO. </w:t>
      </w:r>
      <w:r w:rsidR="00291256" w:rsidRPr="00EC1577">
        <w:rPr>
          <w:rFonts w:ascii="Arial" w:hAnsi="Arial" w:cs="Arial"/>
          <w:bCs/>
          <w:i/>
          <w:iCs/>
          <w:sz w:val="22"/>
          <w:szCs w:val="24"/>
        </w:rPr>
        <w:t xml:space="preserve">La personalidad de las partes quedó acreditada en autos. </w:t>
      </w:r>
      <w:r w:rsidRPr="00EC1577">
        <w:rPr>
          <w:rFonts w:ascii="Arial" w:hAnsi="Arial" w:cs="Arial"/>
          <w:bCs/>
          <w:i/>
          <w:iCs/>
          <w:sz w:val="22"/>
          <w:szCs w:val="24"/>
        </w:rPr>
        <w:t xml:space="preserve">- - - - - - - - - - - - </w:t>
      </w:r>
      <w:r w:rsidR="00426364" w:rsidRPr="00EC1577">
        <w:rPr>
          <w:rFonts w:ascii="Arial" w:hAnsi="Arial" w:cs="Arial"/>
          <w:bCs/>
          <w:i/>
          <w:iCs/>
          <w:sz w:val="22"/>
          <w:szCs w:val="24"/>
        </w:rPr>
        <w:t xml:space="preserve">- - - - - - - - - - - - - </w:t>
      </w:r>
      <w:r w:rsidR="00291256" w:rsidRPr="00EC1577">
        <w:rPr>
          <w:rFonts w:ascii="Arial" w:hAnsi="Arial" w:cs="Arial"/>
          <w:bCs/>
          <w:i/>
          <w:iCs/>
          <w:sz w:val="22"/>
          <w:szCs w:val="24"/>
        </w:rPr>
        <w:t>- - - - - - - -</w:t>
      </w:r>
      <w:r w:rsidR="00EC1577">
        <w:rPr>
          <w:rFonts w:ascii="Arial" w:hAnsi="Arial" w:cs="Arial"/>
          <w:bCs/>
          <w:i/>
          <w:iCs/>
          <w:sz w:val="22"/>
          <w:szCs w:val="24"/>
        </w:rPr>
        <w:t xml:space="preserve"> - - - - - - -</w:t>
      </w:r>
      <w:r w:rsidRPr="00EC1577">
        <w:rPr>
          <w:rFonts w:ascii="Arial" w:hAnsi="Arial" w:cs="Arial"/>
          <w:b/>
          <w:bCs/>
          <w:i/>
          <w:iCs/>
          <w:sz w:val="22"/>
          <w:szCs w:val="24"/>
        </w:rPr>
        <w:t>SEGUNDO</w:t>
      </w:r>
      <w:r w:rsidR="00426364" w:rsidRPr="00EC1577">
        <w:rPr>
          <w:rFonts w:ascii="Arial" w:hAnsi="Arial" w:cs="Arial"/>
          <w:bCs/>
          <w:i/>
          <w:iCs/>
          <w:sz w:val="22"/>
          <w:szCs w:val="24"/>
        </w:rPr>
        <w:t>.</w:t>
      </w:r>
      <w:r w:rsidR="00291256" w:rsidRPr="00EC1577">
        <w:rPr>
          <w:rFonts w:ascii="Arial" w:hAnsi="Arial" w:cs="Arial"/>
          <w:bCs/>
          <w:i/>
          <w:iCs/>
          <w:sz w:val="22"/>
          <w:szCs w:val="24"/>
        </w:rPr>
        <w:t xml:space="preserve"> Por las razones expuestas en el último considerando</w:t>
      </w:r>
      <w:r w:rsidR="00426364" w:rsidRPr="00EC1577">
        <w:rPr>
          <w:rFonts w:ascii="Arial" w:hAnsi="Arial" w:cs="Arial"/>
          <w:bCs/>
          <w:i/>
          <w:iCs/>
          <w:sz w:val="22"/>
          <w:szCs w:val="24"/>
        </w:rPr>
        <w:t xml:space="preserve"> </w:t>
      </w:r>
      <w:r w:rsidR="00426364" w:rsidRPr="00EC1577">
        <w:rPr>
          <w:rFonts w:ascii="Arial" w:hAnsi="Arial" w:cs="Arial"/>
          <w:b/>
          <w:i/>
          <w:iCs/>
          <w:sz w:val="22"/>
          <w:szCs w:val="24"/>
        </w:rPr>
        <w:t>SE SOBRESEE E</w:t>
      </w:r>
      <w:r w:rsidR="00291256" w:rsidRPr="00EC1577">
        <w:rPr>
          <w:rFonts w:ascii="Arial" w:hAnsi="Arial" w:cs="Arial"/>
          <w:b/>
          <w:i/>
          <w:iCs/>
          <w:sz w:val="22"/>
          <w:szCs w:val="24"/>
        </w:rPr>
        <w:t>N EL</w:t>
      </w:r>
      <w:r w:rsidR="00426364" w:rsidRPr="00EC1577">
        <w:rPr>
          <w:rFonts w:ascii="Arial" w:hAnsi="Arial" w:cs="Arial"/>
          <w:b/>
          <w:i/>
          <w:iCs/>
          <w:sz w:val="22"/>
          <w:szCs w:val="24"/>
        </w:rPr>
        <w:t xml:space="preserve"> JUICI</w:t>
      </w:r>
      <w:r w:rsidR="00291256" w:rsidRPr="00EC1577">
        <w:rPr>
          <w:rFonts w:ascii="Arial" w:hAnsi="Arial" w:cs="Arial"/>
          <w:b/>
          <w:i/>
          <w:iCs/>
          <w:sz w:val="22"/>
          <w:szCs w:val="24"/>
        </w:rPr>
        <w:t>O</w:t>
      </w:r>
      <w:r w:rsidR="00291256" w:rsidRPr="00EC1577">
        <w:rPr>
          <w:rFonts w:ascii="Arial" w:hAnsi="Arial" w:cs="Arial"/>
          <w:bCs/>
          <w:i/>
          <w:iCs/>
          <w:sz w:val="22"/>
          <w:szCs w:val="24"/>
        </w:rPr>
        <w:t xml:space="preserve">. - - - - - - - - - - - </w:t>
      </w:r>
      <w:r w:rsidR="00EC1577">
        <w:rPr>
          <w:rFonts w:ascii="Arial" w:hAnsi="Arial" w:cs="Arial"/>
          <w:bCs/>
          <w:i/>
          <w:iCs/>
          <w:sz w:val="22"/>
          <w:szCs w:val="24"/>
        </w:rPr>
        <w:t>- - - - - - - - -</w:t>
      </w:r>
      <w:r w:rsidRPr="00EC1577">
        <w:rPr>
          <w:rFonts w:ascii="Arial" w:hAnsi="Arial" w:cs="Arial"/>
          <w:b/>
          <w:bCs/>
          <w:i/>
          <w:iCs/>
          <w:sz w:val="22"/>
          <w:szCs w:val="24"/>
        </w:rPr>
        <w:t>TERCERO</w:t>
      </w:r>
      <w:r w:rsidRPr="00EC1577">
        <w:rPr>
          <w:rFonts w:ascii="Arial" w:hAnsi="Arial" w:cs="Arial"/>
          <w:bCs/>
          <w:i/>
          <w:iCs/>
          <w:sz w:val="22"/>
          <w:szCs w:val="24"/>
        </w:rPr>
        <w:t>.</w:t>
      </w:r>
      <w:r w:rsidR="00291256" w:rsidRPr="00EC1577">
        <w:rPr>
          <w:rFonts w:ascii="Arial" w:hAnsi="Arial" w:cs="Arial"/>
          <w:bCs/>
          <w:i/>
          <w:iCs/>
          <w:sz w:val="22"/>
          <w:szCs w:val="24"/>
        </w:rPr>
        <w:t xml:space="preserve"> Conforme a lo dispuesto en los artículos 142, fracción I, y 143, fracciones I y II, de la Ley de Justicia Administrativa para el Estado, </w:t>
      </w:r>
      <w:r w:rsidR="00291256" w:rsidRPr="00EC1577">
        <w:rPr>
          <w:rFonts w:ascii="Arial" w:hAnsi="Arial" w:cs="Arial"/>
          <w:b/>
          <w:i/>
          <w:iCs/>
          <w:sz w:val="22"/>
          <w:szCs w:val="24"/>
        </w:rPr>
        <w:t>NOTIFÍQUESE PERSONALMENTE A LA PARTE ACTORA Y POR OFICIO A LAS AUTORIDADES DEMANDADAS. CÚMPLASE</w:t>
      </w:r>
      <w:r w:rsidR="00291256" w:rsidRPr="00EC1577">
        <w:rPr>
          <w:rFonts w:ascii="Arial" w:hAnsi="Arial" w:cs="Arial"/>
          <w:bCs/>
          <w:i/>
          <w:iCs/>
          <w:sz w:val="22"/>
          <w:szCs w:val="24"/>
        </w:rPr>
        <w:t>.</w:t>
      </w:r>
      <w:r w:rsidRPr="00EC1577">
        <w:rPr>
          <w:rFonts w:ascii="Arial" w:hAnsi="Arial" w:cs="Arial"/>
          <w:bCs/>
          <w:i/>
          <w:iCs/>
          <w:sz w:val="22"/>
          <w:szCs w:val="24"/>
        </w:rPr>
        <w:t xml:space="preserve">- - - </w:t>
      </w:r>
      <w:r w:rsidR="00117B20" w:rsidRPr="00EC1577">
        <w:rPr>
          <w:rFonts w:ascii="Arial" w:hAnsi="Arial" w:cs="Arial"/>
          <w:bCs/>
          <w:i/>
          <w:iCs/>
          <w:sz w:val="22"/>
          <w:szCs w:val="24"/>
        </w:rPr>
        <w:t>-</w:t>
      </w:r>
      <w:r w:rsidR="00EC1577">
        <w:rPr>
          <w:rFonts w:ascii="Arial" w:hAnsi="Arial" w:cs="Arial"/>
          <w:bCs/>
          <w:i/>
          <w:iCs/>
          <w:sz w:val="22"/>
          <w:szCs w:val="24"/>
        </w:rPr>
        <w:t xml:space="preserve"> - - - - - - - - - - - - - - - - - - - - - - - - - - - - - - - - - </w:t>
      </w:r>
      <w:proofErr w:type="gramStart"/>
      <w:r w:rsidR="00EC1577">
        <w:rPr>
          <w:rFonts w:ascii="Arial" w:hAnsi="Arial" w:cs="Arial"/>
          <w:bCs/>
          <w:i/>
          <w:iCs/>
          <w:sz w:val="22"/>
          <w:szCs w:val="24"/>
        </w:rPr>
        <w:t>-</w:t>
      </w:r>
      <w:r w:rsidR="00117B20" w:rsidRPr="00EC1577">
        <w:rPr>
          <w:rFonts w:ascii="Arial" w:hAnsi="Arial" w:cs="Arial"/>
          <w:bCs/>
          <w:i/>
          <w:iCs/>
          <w:sz w:val="22"/>
          <w:szCs w:val="24"/>
        </w:rPr>
        <w:t xml:space="preserve"> </w:t>
      </w:r>
      <w:r w:rsidRPr="00EC1577">
        <w:rPr>
          <w:rFonts w:ascii="Arial" w:hAnsi="Arial" w:cs="Arial"/>
          <w:bCs/>
          <w:iCs/>
          <w:sz w:val="22"/>
          <w:szCs w:val="24"/>
        </w:rPr>
        <w:t>”</w:t>
      </w:r>
      <w:proofErr w:type="gramEnd"/>
    </w:p>
    <w:p w:rsidR="00B90565" w:rsidRDefault="00B90565" w:rsidP="00B90565">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lastRenderedPageBreak/>
        <w:t>C O N S I D E R A N D O</w:t>
      </w:r>
    </w:p>
    <w:p w:rsidR="000D41AB" w:rsidRPr="00403CFB" w:rsidRDefault="00EF5519" w:rsidP="000D41AB">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 1 párrafo segundo, 2 párrafos primero y cuarto, 4 fracción VIII, 23, 24 fracción I, 25 fracción I</w:t>
      </w:r>
      <w:r w:rsidR="00F579F9">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 </w:t>
      </w:r>
      <w:r w:rsidR="00264533">
        <w:rPr>
          <w:rFonts w:ascii="Arial" w:hAnsi="Arial" w:cs="Arial"/>
          <w:bCs/>
          <w:iCs/>
          <w:sz w:val="26"/>
          <w:szCs w:val="26"/>
        </w:rPr>
        <w:t xml:space="preserve">86, 88, 92, 93, fracción I, 94, 201, 206 y 208, de la Ley de Justicia Administrativa para el Estado de Oaxaca, aplicable por ser la que estaba vigente al inicio de juicio principal en el mes de </w:t>
      </w:r>
      <w:r w:rsidR="00B17649">
        <w:rPr>
          <w:rFonts w:ascii="Arial" w:hAnsi="Arial" w:cs="Arial"/>
          <w:bCs/>
          <w:iCs/>
          <w:sz w:val="26"/>
          <w:szCs w:val="26"/>
        </w:rPr>
        <w:t xml:space="preserve">marzo </w:t>
      </w:r>
      <w:r w:rsidR="00264533">
        <w:rPr>
          <w:rFonts w:ascii="Arial" w:hAnsi="Arial" w:cs="Arial"/>
          <w:bCs/>
          <w:iCs/>
          <w:sz w:val="26"/>
          <w:szCs w:val="26"/>
        </w:rPr>
        <w:t>de 201</w:t>
      </w:r>
      <w:r w:rsidR="00B17649">
        <w:rPr>
          <w:rFonts w:ascii="Arial" w:hAnsi="Arial" w:cs="Arial"/>
          <w:bCs/>
          <w:iCs/>
          <w:sz w:val="26"/>
          <w:szCs w:val="26"/>
        </w:rPr>
        <w:t>6</w:t>
      </w:r>
      <w:r w:rsidR="00264533">
        <w:rPr>
          <w:rFonts w:ascii="Arial" w:hAnsi="Arial" w:cs="Arial"/>
          <w:bCs/>
          <w:iCs/>
          <w:sz w:val="26"/>
          <w:szCs w:val="26"/>
        </w:rPr>
        <w:t xml:space="preserve"> dos mil dieci</w:t>
      </w:r>
      <w:r w:rsidR="00B17649">
        <w:rPr>
          <w:rFonts w:ascii="Arial" w:hAnsi="Arial" w:cs="Arial"/>
          <w:bCs/>
          <w:iCs/>
          <w:sz w:val="26"/>
          <w:szCs w:val="26"/>
        </w:rPr>
        <w:t>séis</w:t>
      </w:r>
      <w:r w:rsidR="00264533">
        <w:rPr>
          <w:rFonts w:ascii="Arial" w:hAnsi="Arial" w:cs="Arial"/>
          <w:bCs/>
          <w:iCs/>
          <w:sz w:val="26"/>
          <w:szCs w:val="26"/>
        </w:rPr>
        <w:t xml:space="preserve">, al tratarse </w:t>
      </w:r>
      <w:r w:rsidR="00264533" w:rsidRPr="00CB6405">
        <w:rPr>
          <w:rFonts w:ascii="Arial" w:hAnsi="Arial" w:cs="Arial"/>
          <w:bCs/>
          <w:iCs/>
          <w:sz w:val="26"/>
          <w:szCs w:val="26"/>
        </w:rPr>
        <w:t xml:space="preserve">de un </w:t>
      </w:r>
      <w:r w:rsidR="00117B20">
        <w:rPr>
          <w:rFonts w:ascii="Arial" w:hAnsi="Arial" w:cs="Arial"/>
          <w:bCs/>
          <w:iCs/>
          <w:sz w:val="26"/>
          <w:szCs w:val="26"/>
        </w:rPr>
        <w:t>r</w:t>
      </w:r>
      <w:r w:rsidR="00264533" w:rsidRPr="00CB6405">
        <w:rPr>
          <w:rFonts w:ascii="Arial" w:hAnsi="Arial" w:cs="Arial"/>
          <w:bCs/>
          <w:iCs/>
          <w:sz w:val="26"/>
          <w:szCs w:val="26"/>
        </w:rPr>
        <w:t xml:space="preserve">ecurso de </w:t>
      </w:r>
      <w:r w:rsidR="00117B20">
        <w:rPr>
          <w:rFonts w:ascii="Arial" w:hAnsi="Arial" w:cs="Arial"/>
          <w:bCs/>
          <w:iCs/>
          <w:sz w:val="26"/>
          <w:szCs w:val="26"/>
        </w:rPr>
        <w:t>r</w:t>
      </w:r>
      <w:r w:rsidR="00264533" w:rsidRPr="00CB6405">
        <w:rPr>
          <w:rFonts w:ascii="Arial" w:hAnsi="Arial" w:cs="Arial"/>
          <w:bCs/>
          <w:iCs/>
          <w:sz w:val="26"/>
          <w:szCs w:val="26"/>
        </w:rPr>
        <w:t>evisión interpuesto en contra de</w:t>
      </w:r>
      <w:r w:rsidR="00117B20">
        <w:rPr>
          <w:rFonts w:ascii="Arial" w:hAnsi="Arial" w:cs="Arial"/>
          <w:bCs/>
          <w:iCs/>
          <w:sz w:val="26"/>
          <w:szCs w:val="26"/>
        </w:rPr>
        <w:t xml:space="preserve"> </w:t>
      </w:r>
      <w:r w:rsidR="00B17649">
        <w:rPr>
          <w:rFonts w:ascii="Arial" w:hAnsi="Arial" w:cs="Arial"/>
          <w:bCs/>
          <w:iCs/>
          <w:sz w:val="26"/>
          <w:szCs w:val="26"/>
        </w:rPr>
        <w:t>l</w:t>
      </w:r>
      <w:r w:rsidR="00117B20">
        <w:rPr>
          <w:rFonts w:ascii="Arial" w:hAnsi="Arial" w:cs="Arial"/>
          <w:bCs/>
          <w:iCs/>
          <w:sz w:val="26"/>
          <w:szCs w:val="26"/>
        </w:rPr>
        <w:t xml:space="preserve">a resolución </w:t>
      </w:r>
      <w:r w:rsidR="00B17649">
        <w:rPr>
          <w:rFonts w:ascii="Arial" w:hAnsi="Arial" w:cs="Arial"/>
          <w:bCs/>
          <w:iCs/>
          <w:sz w:val="26"/>
          <w:szCs w:val="26"/>
        </w:rPr>
        <w:t xml:space="preserve">de </w:t>
      </w:r>
      <w:r w:rsidR="00B17649">
        <w:rPr>
          <w:rFonts w:ascii="Arial" w:eastAsia="Calibri" w:hAnsi="Arial" w:cs="Arial"/>
          <w:sz w:val="26"/>
          <w:szCs w:val="26"/>
        </w:rPr>
        <w:t>23 veintitrés de noviembre de 2018 dos mil dieciocho</w:t>
      </w:r>
      <w:r w:rsidR="00264533">
        <w:rPr>
          <w:rFonts w:ascii="Arial" w:hAnsi="Arial" w:cs="Arial"/>
          <w:bCs/>
          <w:iCs/>
          <w:sz w:val="26"/>
          <w:szCs w:val="26"/>
        </w:rPr>
        <w:t xml:space="preserve">, dictada </w:t>
      </w:r>
      <w:r w:rsidR="00264533" w:rsidRPr="00CB6405">
        <w:rPr>
          <w:rFonts w:ascii="Arial" w:hAnsi="Arial" w:cs="Arial"/>
          <w:bCs/>
          <w:iCs/>
          <w:sz w:val="26"/>
          <w:szCs w:val="26"/>
        </w:rPr>
        <w:t xml:space="preserve">por la </w:t>
      </w:r>
      <w:r w:rsidR="00B17649">
        <w:rPr>
          <w:rFonts w:ascii="Arial" w:hAnsi="Arial" w:cs="Arial"/>
          <w:bCs/>
          <w:iCs/>
          <w:sz w:val="26"/>
          <w:szCs w:val="26"/>
        </w:rPr>
        <w:t xml:space="preserve">Tercera </w:t>
      </w:r>
      <w:r w:rsidR="00264533" w:rsidRPr="00CB6405">
        <w:rPr>
          <w:rFonts w:ascii="Arial" w:hAnsi="Arial" w:cs="Arial"/>
          <w:bCs/>
          <w:iCs/>
          <w:sz w:val="26"/>
          <w:szCs w:val="26"/>
        </w:rPr>
        <w:t xml:space="preserve">Sala Unitaria de Primera Instancia de este Tribunal, en el expediente </w:t>
      </w:r>
      <w:r w:rsidR="00264533">
        <w:rPr>
          <w:rFonts w:ascii="Arial" w:hAnsi="Arial" w:cs="Arial"/>
          <w:b/>
          <w:bCs/>
          <w:iCs/>
          <w:sz w:val="26"/>
          <w:szCs w:val="26"/>
        </w:rPr>
        <w:t>0</w:t>
      </w:r>
      <w:r w:rsidR="00B17649">
        <w:rPr>
          <w:rFonts w:ascii="Arial" w:hAnsi="Arial" w:cs="Arial"/>
          <w:b/>
          <w:bCs/>
          <w:iCs/>
          <w:sz w:val="26"/>
          <w:szCs w:val="26"/>
        </w:rPr>
        <w:t>409</w:t>
      </w:r>
      <w:r w:rsidR="00264533">
        <w:rPr>
          <w:rFonts w:ascii="Arial" w:hAnsi="Arial" w:cs="Arial"/>
          <w:b/>
          <w:bCs/>
          <w:iCs/>
          <w:sz w:val="26"/>
          <w:szCs w:val="26"/>
        </w:rPr>
        <w:t>/201</w:t>
      </w:r>
      <w:r w:rsidR="00B17649">
        <w:rPr>
          <w:rFonts w:ascii="Arial" w:hAnsi="Arial" w:cs="Arial"/>
          <w:b/>
          <w:bCs/>
          <w:iCs/>
          <w:sz w:val="26"/>
          <w:szCs w:val="26"/>
        </w:rPr>
        <w:t>6</w:t>
      </w:r>
      <w:r w:rsidR="00264533" w:rsidRPr="00CB6405">
        <w:rPr>
          <w:rFonts w:ascii="Arial" w:hAnsi="Arial" w:cs="Arial"/>
          <w:sz w:val="26"/>
          <w:szCs w:val="26"/>
        </w:rPr>
        <w:t>.</w:t>
      </w:r>
    </w:p>
    <w:p w:rsidR="00117B20" w:rsidRDefault="00B90565" w:rsidP="00CF7DA4">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w:t>
      </w:r>
      <w:bookmarkStart w:id="0" w:name="_GoBack"/>
      <w:bookmarkEnd w:id="0"/>
      <w:r w:rsidRPr="00CB6405">
        <w:rPr>
          <w:rFonts w:ascii="Arial" w:hAnsi="Arial" w:cs="Arial"/>
          <w:sz w:val="26"/>
          <w:szCs w:val="26"/>
        </w:rPr>
        <w:t>en el escrito respectivo de</w:t>
      </w:r>
      <w:r w:rsidR="00117B20">
        <w:rPr>
          <w:rFonts w:ascii="Arial" w:hAnsi="Arial" w:cs="Arial"/>
          <w:sz w:val="26"/>
          <w:szCs w:val="26"/>
        </w:rPr>
        <w:t xml:space="preserve"> </w:t>
      </w:r>
      <w:r w:rsidRPr="00CB6405">
        <w:rPr>
          <w:rFonts w:ascii="Arial" w:hAnsi="Arial" w:cs="Arial"/>
          <w:sz w:val="26"/>
          <w:szCs w:val="26"/>
        </w:rPr>
        <w:t>l</w:t>
      </w:r>
      <w:r w:rsidR="00117B20">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CF7DA4">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CF7DA4" w:rsidRPr="00EC1577" w:rsidRDefault="00CF7DA4" w:rsidP="00117B20">
      <w:pPr>
        <w:spacing w:before="240" w:after="0" w:line="360" w:lineRule="auto"/>
        <w:ind w:left="1134" w:right="616"/>
        <w:jc w:val="both"/>
        <w:rPr>
          <w:rFonts w:ascii="Arial" w:hAnsi="Arial" w:cs="Arial"/>
          <w:sz w:val="24"/>
          <w:szCs w:val="26"/>
        </w:rPr>
      </w:pPr>
      <w:r w:rsidRPr="00EC1577">
        <w:rPr>
          <w:rFonts w:ascii="Arial" w:hAnsi="Arial" w:cs="Arial"/>
          <w:sz w:val="24"/>
          <w:szCs w:val="26"/>
        </w:rPr>
        <w:t>“</w:t>
      </w:r>
      <w:r w:rsidRPr="00EC1577">
        <w:rPr>
          <w:rFonts w:ascii="Arial" w:hAnsi="Arial" w:cs="Arial"/>
          <w:b/>
          <w:i/>
          <w:sz w:val="20"/>
        </w:rPr>
        <w:t>CONCEPTOS DE VIOLACION. NO ES OBLIGATORIO TRANSCRIBIRLOS EN LA SENTENCIA</w:t>
      </w:r>
      <w:r w:rsidRPr="00EC1577">
        <w:rPr>
          <w:rFonts w:ascii="Arial" w:hAnsi="Arial" w:cs="Arial"/>
          <w:sz w:val="24"/>
          <w:szCs w:val="26"/>
        </w:rPr>
        <w:t xml:space="preserve">. </w:t>
      </w:r>
      <w:r w:rsidRPr="00EC1577">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EC1577">
        <w:rPr>
          <w:rFonts w:ascii="Arial" w:hAnsi="Arial" w:cs="Arial"/>
          <w:sz w:val="24"/>
          <w:szCs w:val="26"/>
        </w:rPr>
        <w:t>.”</w:t>
      </w:r>
    </w:p>
    <w:p w:rsidR="00692CD2" w:rsidRDefault="00B90565" w:rsidP="00CF7DA4">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692CD2">
        <w:rPr>
          <w:rFonts w:ascii="Arial" w:eastAsia="Calibri" w:hAnsi="Arial" w:cs="Arial"/>
          <w:bCs/>
          <w:sz w:val="26"/>
          <w:szCs w:val="26"/>
        </w:rPr>
        <w:t xml:space="preserve">Son </w:t>
      </w:r>
      <w:r w:rsidR="00692CD2">
        <w:rPr>
          <w:rFonts w:ascii="Arial" w:eastAsia="Calibri" w:hAnsi="Arial" w:cs="Arial"/>
          <w:b/>
          <w:bCs/>
          <w:sz w:val="26"/>
          <w:szCs w:val="26"/>
        </w:rPr>
        <w:t xml:space="preserve">infundados </w:t>
      </w:r>
      <w:r w:rsidR="00692CD2">
        <w:rPr>
          <w:rFonts w:ascii="Arial" w:eastAsia="Calibri" w:hAnsi="Arial" w:cs="Arial"/>
          <w:bCs/>
          <w:sz w:val="26"/>
          <w:szCs w:val="26"/>
        </w:rPr>
        <w:t xml:space="preserve">los agravios planteados por la recurrente. </w:t>
      </w:r>
    </w:p>
    <w:p w:rsidR="00BF64D3" w:rsidRDefault="00117B20" w:rsidP="00CF7DA4">
      <w:pPr>
        <w:spacing w:before="240" w:line="360" w:lineRule="auto"/>
        <w:ind w:firstLine="709"/>
        <w:jc w:val="both"/>
        <w:rPr>
          <w:rFonts w:ascii="Arial" w:eastAsia="Calibri" w:hAnsi="Arial" w:cs="Arial"/>
          <w:bCs/>
          <w:sz w:val="26"/>
          <w:szCs w:val="26"/>
        </w:rPr>
      </w:pPr>
      <w:r w:rsidRPr="00692CD2">
        <w:rPr>
          <w:rFonts w:ascii="Arial" w:eastAsia="Calibri" w:hAnsi="Arial" w:cs="Arial"/>
          <w:b/>
          <w:bCs/>
          <w:sz w:val="26"/>
          <w:szCs w:val="26"/>
        </w:rPr>
        <w:t xml:space="preserve">Alega </w:t>
      </w:r>
      <w:r w:rsidR="00692CD2" w:rsidRPr="00692CD2">
        <w:rPr>
          <w:rFonts w:ascii="Arial" w:eastAsia="Calibri" w:hAnsi="Arial" w:cs="Arial"/>
          <w:b/>
          <w:bCs/>
          <w:sz w:val="26"/>
          <w:szCs w:val="26"/>
        </w:rPr>
        <w:t>en inicio</w:t>
      </w:r>
      <w:r w:rsidR="00692CD2">
        <w:rPr>
          <w:rFonts w:ascii="Arial" w:eastAsia="Calibri" w:hAnsi="Arial" w:cs="Arial"/>
          <w:bCs/>
          <w:sz w:val="26"/>
          <w:szCs w:val="26"/>
        </w:rPr>
        <w:t xml:space="preserve">, </w:t>
      </w:r>
      <w:r>
        <w:rPr>
          <w:rFonts w:ascii="Arial" w:eastAsia="Calibri" w:hAnsi="Arial" w:cs="Arial"/>
          <w:bCs/>
          <w:sz w:val="26"/>
          <w:szCs w:val="26"/>
        </w:rPr>
        <w:t>que le ca</w:t>
      </w:r>
      <w:r w:rsidR="00692CD2">
        <w:rPr>
          <w:rFonts w:ascii="Arial" w:eastAsia="Calibri" w:hAnsi="Arial" w:cs="Arial"/>
          <w:bCs/>
          <w:sz w:val="26"/>
          <w:szCs w:val="26"/>
        </w:rPr>
        <w:t>u</w:t>
      </w:r>
      <w:r>
        <w:rPr>
          <w:rFonts w:ascii="Arial" w:eastAsia="Calibri" w:hAnsi="Arial" w:cs="Arial"/>
          <w:bCs/>
          <w:sz w:val="26"/>
          <w:szCs w:val="26"/>
        </w:rPr>
        <w:t xml:space="preserve">sa agravio la resolución recurrida, porque desde su consideración la Primera Instancia es contumaz, </w:t>
      </w:r>
      <w:r>
        <w:rPr>
          <w:rFonts w:ascii="Arial" w:eastAsia="Calibri" w:hAnsi="Arial" w:cs="Arial"/>
          <w:bCs/>
          <w:sz w:val="26"/>
          <w:szCs w:val="26"/>
        </w:rPr>
        <w:lastRenderedPageBreak/>
        <w:t>respecto del cumplimiento de la resolución emitida por la Sala Superior en el recurso de revisión 281/2017, en la que dice se ordenó analizar la legalidad del Acuerdo 48 del Gobernador del Estado de Oaxaca, pues de niega a cumplirla</w:t>
      </w:r>
      <w:r w:rsidR="00BF64D3">
        <w:rPr>
          <w:rFonts w:ascii="Arial" w:eastAsia="Calibri" w:hAnsi="Arial" w:cs="Arial"/>
          <w:bCs/>
          <w:sz w:val="26"/>
          <w:szCs w:val="26"/>
        </w:rPr>
        <w:t>, al r</w:t>
      </w:r>
      <w:r>
        <w:rPr>
          <w:rFonts w:ascii="Arial" w:eastAsia="Calibri" w:hAnsi="Arial" w:cs="Arial"/>
          <w:bCs/>
          <w:sz w:val="26"/>
          <w:szCs w:val="26"/>
        </w:rPr>
        <w:t>eitera</w:t>
      </w:r>
      <w:r w:rsidR="00BF64D3">
        <w:rPr>
          <w:rFonts w:ascii="Arial" w:eastAsia="Calibri" w:hAnsi="Arial" w:cs="Arial"/>
          <w:bCs/>
          <w:sz w:val="26"/>
          <w:szCs w:val="26"/>
        </w:rPr>
        <w:t>r</w:t>
      </w:r>
      <w:r>
        <w:rPr>
          <w:rFonts w:ascii="Arial" w:eastAsia="Calibri" w:hAnsi="Arial" w:cs="Arial"/>
          <w:bCs/>
          <w:sz w:val="26"/>
          <w:szCs w:val="26"/>
        </w:rPr>
        <w:t xml:space="preserve"> su oposición de ser incompetente para analizar la legalidad del referido Acuerdo</w:t>
      </w:r>
      <w:r w:rsidR="00BF64D3">
        <w:rPr>
          <w:rFonts w:ascii="Arial" w:eastAsia="Calibri" w:hAnsi="Arial" w:cs="Arial"/>
          <w:bCs/>
          <w:sz w:val="26"/>
          <w:szCs w:val="26"/>
        </w:rPr>
        <w:t>.</w:t>
      </w:r>
    </w:p>
    <w:p w:rsidR="00BF64D3" w:rsidRDefault="00BF64D3" w:rsidP="00BF64D3">
      <w:pPr>
        <w:spacing w:before="240" w:line="360" w:lineRule="auto"/>
        <w:ind w:firstLine="709"/>
        <w:jc w:val="both"/>
        <w:rPr>
          <w:rFonts w:ascii="Arial" w:hAnsi="Arial" w:cs="Arial"/>
          <w:sz w:val="26"/>
          <w:szCs w:val="26"/>
        </w:rPr>
      </w:pPr>
      <w:r>
        <w:rPr>
          <w:rFonts w:ascii="Arial" w:eastAsia="Calibri" w:hAnsi="Arial" w:cs="Arial"/>
          <w:bCs/>
          <w:sz w:val="26"/>
          <w:szCs w:val="26"/>
        </w:rPr>
        <w:t xml:space="preserve">Esta primera parte de sus alegaciones son </w:t>
      </w:r>
      <w:r w:rsidRPr="00BF64D3">
        <w:rPr>
          <w:rFonts w:ascii="Arial" w:eastAsia="Calibri" w:hAnsi="Arial" w:cs="Arial"/>
          <w:b/>
          <w:bCs/>
          <w:sz w:val="26"/>
          <w:szCs w:val="26"/>
        </w:rPr>
        <w:t>infundadas</w:t>
      </w:r>
      <w:r w:rsidR="00117B20">
        <w:rPr>
          <w:rFonts w:ascii="Arial" w:eastAsia="Calibri" w:hAnsi="Arial" w:cs="Arial"/>
          <w:bCs/>
          <w:sz w:val="26"/>
          <w:szCs w:val="26"/>
        </w:rPr>
        <w:t>,</w:t>
      </w:r>
      <w:r>
        <w:rPr>
          <w:rFonts w:ascii="Arial" w:eastAsia="Calibri" w:hAnsi="Arial" w:cs="Arial"/>
          <w:bCs/>
          <w:sz w:val="26"/>
          <w:szCs w:val="26"/>
        </w:rPr>
        <w:t xml:space="preserve"> porque contrario a su afirmación la Primera Instancia sí cumple con la determinación contenida en la resolución de 16 dieciséis de noviembre de 2017 dos mil diecisiete, emitida por la Sala Superior de este Tribunal en el recurso de revisión 281/2017; lo anterior es así, pues del análisis a las constancias que integran el expediente natural a las que por tratarse de actuaciones judiciales, </w:t>
      </w:r>
      <w:r w:rsidR="00B35442">
        <w:rPr>
          <w:rFonts w:ascii="Arial" w:eastAsia="Calibri" w:hAnsi="Arial" w:cs="Arial"/>
          <w:bCs/>
          <w:sz w:val="26"/>
          <w:szCs w:val="26"/>
        </w:rPr>
        <w:t xml:space="preserve">se les </w:t>
      </w:r>
      <w:r w:rsidR="00B35442">
        <w:rPr>
          <w:rFonts w:ascii="Arial" w:hAnsi="Arial" w:cs="Arial"/>
          <w:sz w:val="26"/>
          <w:szCs w:val="26"/>
          <w:lang w:val="es-MX"/>
        </w:rPr>
        <w:t xml:space="preserve">otorga </w:t>
      </w:r>
      <w:r w:rsidR="00B35442" w:rsidRPr="00D60439">
        <w:rPr>
          <w:rFonts w:ascii="Arial" w:hAnsi="Arial" w:cs="Arial"/>
          <w:sz w:val="26"/>
          <w:szCs w:val="26"/>
          <w:lang w:val="es-MX"/>
        </w:rPr>
        <w:t>pleno valor probatorio</w:t>
      </w:r>
      <w:r w:rsidR="00B35442">
        <w:rPr>
          <w:rFonts w:ascii="Arial" w:hAnsi="Arial" w:cs="Arial"/>
          <w:sz w:val="26"/>
          <w:szCs w:val="26"/>
          <w:lang w:val="es-MX"/>
        </w:rPr>
        <w:t xml:space="preserve">, </w:t>
      </w:r>
      <w:r w:rsidR="00B35442" w:rsidRPr="00D60439">
        <w:rPr>
          <w:rFonts w:ascii="Arial" w:hAnsi="Arial" w:cs="Arial"/>
          <w:sz w:val="26"/>
          <w:szCs w:val="26"/>
          <w:lang w:val="es-MX"/>
        </w:rPr>
        <w:t>conform</w:t>
      </w:r>
      <w:r w:rsidR="00B35442">
        <w:rPr>
          <w:rFonts w:ascii="Arial" w:hAnsi="Arial" w:cs="Arial"/>
          <w:sz w:val="26"/>
          <w:szCs w:val="26"/>
          <w:lang w:val="es-MX"/>
        </w:rPr>
        <w:t>e</w:t>
      </w:r>
      <w:r w:rsidR="00B35442" w:rsidRPr="00D60439">
        <w:rPr>
          <w:rFonts w:ascii="Arial" w:hAnsi="Arial" w:cs="Arial"/>
          <w:sz w:val="26"/>
          <w:szCs w:val="26"/>
          <w:lang w:val="es-MX"/>
        </w:rPr>
        <w:t xml:space="preserve"> </w:t>
      </w:r>
      <w:r w:rsidR="00B35442">
        <w:rPr>
          <w:rFonts w:ascii="Arial" w:hAnsi="Arial" w:cs="Arial"/>
          <w:sz w:val="26"/>
          <w:szCs w:val="26"/>
          <w:lang w:val="es-MX"/>
        </w:rPr>
        <w:t>lo dispuesto</w:t>
      </w:r>
      <w:r w:rsidR="00B35442" w:rsidRPr="00D60439">
        <w:rPr>
          <w:rFonts w:ascii="Arial" w:hAnsi="Arial" w:cs="Arial"/>
          <w:sz w:val="26"/>
          <w:szCs w:val="26"/>
          <w:lang w:val="es-MX"/>
        </w:rPr>
        <w:t xml:space="preserve"> </w:t>
      </w:r>
      <w:r w:rsidR="00B35442" w:rsidRPr="00D60439">
        <w:rPr>
          <w:rFonts w:ascii="Arial" w:hAnsi="Arial" w:cs="Arial"/>
          <w:sz w:val="26"/>
          <w:szCs w:val="26"/>
        </w:rPr>
        <w:t>el artículo 173 fracción I</w:t>
      </w:r>
      <w:r w:rsidR="00B35442" w:rsidRPr="00D60439">
        <w:rPr>
          <w:rStyle w:val="Refdenotaalpie"/>
          <w:rFonts w:ascii="Arial" w:hAnsi="Arial" w:cs="Arial"/>
          <w:color w:val="000000"/>
          <w:sz w:val="26"/>
          <w:szCs w:val="26"/>
        </w:rPr>
        <w:footnoteReference w:id="1"/>
      </w:r>
      <w:r w:rsidR="00B35442" w:rsidRPr="00D60439">
        <w:rPr>
          <w:rFonts w:ascii="Arial" w:hAnsi="Arial" w:cs="Arial"/>
          <w:sz w:val="26"/>
          <w:szCs w:val="26"/>
        </w:rPr>
        <w:t xml:space="preserve"> de la Ley de Justicia Administ</w:t>
      </w:r>
      <w:r w:rsidR="00B35442">
        <w:rPr>
          <w:rFonts w:ascii="Arial" w:hAnsi="Arial" w:cs="Arial"/>
          <w:sz w:val="26"/>
          <w:szCs w:val="26"/>
        </w:rPr>
        <w:t>rativa para el Estado de Oaxaca</w:t>
      </w:r>
      <w:r w:rsidR="00E7154B">
        <w:rPr>
          <w:rFonts w:ascii="Arial" w:hAnsi="Arial" w:cs="Arial"/>
          <w:sz w:val="26"/>
          <w:szCs w:val="26"/>
        </w:rPr>
        <w:t>, aplicable por ser la que estaba vigente al inicio del juicio</w:t>
      </w:r>
      <w:r w:rsidR="00B35442">
        <w:rPr>
          <w:rFonts w:ascii="Arial" w:hAnsi="Arial" w:cs="Arial"/>
          <w:sz w:val="26"/>
          <w:szCs w:val="26"/>
        </w:rPr>
        <w:t xml:space="preserve">; se </w:t>
      </w:r>
      <w:r>
        <w:rPr>
          <w:rFonts w:ascii="Arial" w:hAnsi="Arial" w:cs="Arial"/>
          <w:sz w:val="26"/>
          <w:szCs w:val="26"/>
        </w:rPr>
        <w:t>obtiene la resolución en comento, y de la que se advierte en lo que interesa que se determinó</w:t>
      </w:r>
      <w:r w:rsidR="00983CC9">
        <w:rPr>
          <w:rFonts w:ascii="Arial" w:hAnsi="Arial" w:cs="Arial"/>
          <w:sz w:val="26"/>
          <w:szCs w:val="26"/>
        </w:rPr>
        <w:t>:</w:t>
      </w:r>
    </w:p>
    <w:p w:rsidR="00983CC9" w:rsidRPr="00EC1577" w:rsidRDefault="00983CC9" w:rsidP="00255B83">
      <w:pPr>
        <w:spacing w:before="240" w:line="360" w:lineRule="auto"/>
        <w:ind w:left="1134" w:right="616"/>
        <w:jc w:val="both"/>
        <w:rPr>
          <w:rFonts w:ascii="Arial" w:hAnsi="Arial" w:cs="Arial"/>
          <w:sz w:val="24"/>
          <w:szCs w:val="26"/>
        </w:rPr>
      </w:pPr>
      <w:r w:rsidRPr="00EC1577">
        <w:rPr>
          <w:rFonts w:ascii="Arial" w:hAnsi="Arial" w:cs="Arial"/>
          <w:sz w:val="24"/>
          <w:szCs w:val="26"/>
        </w:rPr>
        <w:t>“</w:t>
      </w:r>
      <w:r w:rsidRPr="00EC1577">
        <w:rPr>
          <w:rFonts w:ascii="Arial" w:hAnsi="Arial" w:cs="Arial"/>
          <w:i/>
          <w:szCs w:val="24"/>
        </w:rPr>
        <w:t xml:space="preserve">…el Tribunal Contencioso Administrativo y de Cuentas sí tiene facultad para conocer de la legalidad de los acuerdos emitidos por el Gobernador del Estado, aun se traten de actos de observancia general o que se controviertan con motivo del primer acto de aplicación. </w:t>
      </w:r>
      <w:r w:rsidRPr="00EC1577">
        <w:rPr>
          <w:rFonts w:ascii="Arial" w:hAnsi="Arial" w:cs="Arial"/>
          <w:b/>
          <w:i/>
          <w:szCs w:val="24"/>
        </w:rPr>
        <w:t xml:space="preserve">Más, </w:t>
      </w:r>
      <w:r w:rsidRPr="00EC1577">
        <w:rPr>
          <w:rFonts w:ascii="Arial" w:hAnsi="Arial" w:cs="Arial"/>
          <w:i/>
          <w:szCs w:val="24"/>
        </w:rPr>
        <w:t>para su estudio la juzgadora deberá en principio analizar si la impugnación de dicho acuerdo lo realiza una persona que es sujeto de dicho acuerdo y que su contenido le cause una afectación a su interés jurídico y una vez acreditado dicho extremo, entonces se deberá proceder a analizar la legalidad o ilegalidad de dicho acto.</w:t>
      </w:r>
      <w:r w:rsidRPr="00EC1577">
        <w:rPr>
          <w:rFonts w:ascii="Arial" w:hAnsi="Arial" w:cs="Arial"/>
          <w:sz w:val="24"/>
          <w:szCs w:val="26"/>
        </w:rPr>
        <w:t>”</w:t>
      </w:r>
    </w:p>
    <w:p w:rsidR="00255B83" w:rsidRDefault="00255B83" w:rsidP="00BF64D3">
      <w:pPr>
        <w:spacing w:before="240" w:line="360" w:lineRule="auto"/>
        <w:ind w:firstLine="709"/>
        <w:jc w:val="both"/>
        <w:rPr>
          <w:rFonts w:ascii="Arial" w:hAnsi="Arial" w:cs="Arial"/>
          <w:sz w:val="26"/>
          <w:szCs w:val="26"/>
        </w:rPr>
      </w:pPr>
      <w:r>
        <w:rPr>
          <w:rFonts w:ascii="Arial" w:hAnsi="Arial" w:cs="Arial"/>
          <w:sz w:val="26"/>
          <w:szCs w:val="26"/>
        </w:rPr>
        <w:t xml:space="preserve">De esta transcripción se advierte que la Sala Superior, en efecto estableció que este Tribunal es competente para conocer de la legalidad del Acuerdo 48, pero que para su análisis </w:t>
      </w:r>
      <w:r w:rsidR="000537AC">
        <w:rPr>
          <w:rFonts w:ascii="Arial" w:hAnsi="Arial" w:cs="Arial"/>
          <w:sz w:val="26"/>
          <w:szCs w:val="26"/>
        </w:rPr>
        <w:t xml:space="preserve">de legalidad </w:t>
      </w:r>
      <w:r>
        <w:rPr>
          <w:rFonts w:ascii="Arial" w:hAnsi="Arial" w:cs="Arial"/>
          <w:sz w:val="26"/>
          <w:szCs w:val="26"/>
        </w:rPr>
        <w:t>primero se</w:t>
      </w:r>
      <w:r w:rsidR="000537AC">
        <w:rPr>
          <w:rFonts w:ascii="Arial" w:hAnsi="Arial" w:cs="Arial"/>
          <w:sz w:val="26"/>
          <w:szCs w:val="26"/>
        </w:rPr>
        <w:t xml:space="preserve"> debe establecer si dicho acto</w:t>
      </w:r>
      <w:r>
        <w:rPr>
          <w:rFonts w:ascii="Arial" w:hAnsi="Arial" w:cs="Arial"/>
          <w:sz w:val="26"/>
          <w:szCs w:val="26"/>
        </w:rPr>
        <w:t xml:space="preserve"> causa afectación al interés jurídico de la actora; consideración que la Primera Instancia cumplió cuando señaló en la resolución que hoy se analiza que el referido Acuerdo no le agravia hasta en tanto no se le aplique y que el oficio por el que se le aplicó no lo impugnó; como a continuación se ve:</w:t>
      </w:r>
    </w:p>
    <w:p w:rsidR="00255B83" w:rsidRPr="00EC1577" w:rsidRDefault="00255B83" w:rsidP="00255B83">
      <w:pPr>
        <w:spacing w:before="240" w:line="360" w:lineRule="auto"/>
        <w:ind w:left="1134" w:right="616"/>
        <w:jc w:val="both"/>
        <w:rPr>
          <w:rFonts w:ascii="Arial" w:hAnsi="Arial" w:cs="Arial"/>
          <w:i/>
          <w:szCs w:val="24"/>
        </w:rPr>
      </w:pPr>
      <w:r w:rsidRPr="00EC1577">
        <w:rPr>
          <w:rFonts w:ascii="Arial" w:hAnsi="Arial" w:cs="Arial"/>
          <w:sz w:val="24"/>
          <w:szCs w:val="26"/>
        </w:rPr>
        <w:lastRenderedPageBreak/>
        <w:t>“</w:t>
      </w:r>
      <w:r w:rsidRPr="00EC1577">
        <w:rPr>
          <w:rFonts w:ascii="Arial" w:hAnsi="Arial" w:cs="Arial"/>
          <w:i/>
          <w:szCs w:val="24"/>
        </w:rPr>
        <w:t xml:space="preserve">De tal manera que una norma general que se le aplica a un particular, como sucedió en este caso, en ese momento se le individualiza la norma al aplicársele, y dicha norma o decreto gubernamental número 48 publicada en el Periódico oficial de fecha el primero de diciembre de 2007 dos mil siete, le fue aplicado por parte la Directora de Concesiones de la Secretaría de Vialidad y Transporte del Estado, </w:t>
      </w:r>
      <w:r w:rsidRPr="00EC1577">
        <w:rPr>
          <w:rFonts w:ascii="Arial" w:hAnsi="Arial" w:cs="Arial"/>
          <w:b/>
          <w:i/>
          <w:szCs w:val="24"/>
        </w:rPr>
        <w:t xml:space="preserve">dos </w:t>
      </w:r>
      <w:r w:rsidRPr="00EC1577">
        <w:rPr>
          <w:rFonts w:ascii="Arial" w:hAnsi="Arial" w:cs="Arial"/>
          <w:i/>
          <w:szCs w:val="24"/>
        </w:rPr>
        <w:t xml:space="preserve">veces, primero por medio del oficio </w:t>
      </w:r>
      <w:r w:rsidR="007A1495">
        <w:rPr>
          <w:rFonts w:ascii="Arial" w:hAnsi="Arial" w:cs="Arial"/>
          <w:b/>
          <w:sz w:val="26"/>
          <w:szCs w:val="26"/>
        </w:rPr>
        <w:t>**********</w:t>
      </w:r>
      <w:r w:rsidRPr="00EC1577">
        <w:rPr>
          <w:rFonts w:ascii="Arial" w:hAnsi="Arial" w:cs="Arial"/>
          <w:i/>
          <w:szCs w:val="24"/>
        </w:rPr>
        <w:t xml:space="preserve"> de fecha 31 treinta y uno de mayo de 2013 dos mil trece, mismo que fue anulado por sentencia de la Primera Sala de este tribunal en el juicio 327/2013, que ahora ya es cosa juzgada, como de forma muy puntual lo confirmó la Sala revisora. En la segunda aplicación, que fue por medio del oficio </w:t>
      </w:r>
      <w:r w:rsidR="007A1495">
        <w:rPr>
          <w:rFonts w:ascii="Arial" w:hAnsi="Arial" w:cs="Arial"/>
          <w:b/>
          <w:sz w:val="26"/>
          <w:szCs w:val="26"/>
        </w:rPr>
        <w:t>**********</w:t>
      </w:r>
      <w:r w:rsidRPr="00EC1577">
        <w:rPr>
          <w:rFonts w:ascii="Arial" w:hAnsi="Arial" w:cs="Arial"/>
          <w:i/>
          <w:szCs w:val="24"/>
        </w:rPr>
        <w:t>, de fecha 04 cuatro de diciembre de 2013 dos mil trece; éste, no fue impugnado a través de un juicio de nulidad y causó estado, quedando firme por no haber sido controvertido de la misma manera que el primero.</w:t>
      </w:r>
    </w:p>
    <w:p w:rsidR="000537AC" w:rsidRPr="00EC1577" w:rsidRDefault="00255B83" w:rsidP="00255B83">
      <w:pPr>
        <w:spacing w:before="240" w:line="360" w:lineRule="auto"/>
        <w:ind w:left="1134" w:right="616"/>
        <w:jc w:val="both"/>
        <w:rPr>
          <w:rFonts w:ascii="Arial" w:hAnsi="Arial" w:cs="Arial"/>
          <w:i/>
          <w:szCs w:val="24"/>
        </w:rPr>
      </w:pPr>
      <w:r w:rsidRPr="00EC1577">
        <w:rPr>
          <w:rFonts w:ascii="Arial" w:hAnsi="Arial" w:cs="Arial"/>
          <w:i/>
          <w:szCs w:val="24"/>
        </w:rPr>
        <w:t xml:space="preserve">Es decir, el Acuerdo Gubernamental 48 antes citado, que es una norma general, impersonal, </w:t>
      </w:r>
      <w:proofErr w:type="spellStart"/>
      <w:r w:rsidRPr="00EC1577">
        <w:rPr>
          <w:rFonts w:ascii="Arial" w:hAnsi="Arial" w:cs="Arial"/>
          <w:i/>
          <w:szCs w:val="24"/>
        </w:rPr>
        <w:t>heteroaplicativa</w:t>
      </w:r>
      <w:proofErr w:type="spellEnd"/>
      <w:r w:rsidRPr="00EC1577">
        <w:rPr>
          <w:rFonts w:ascii="Arial" w:hAnsi="Arial" w:cs="Arial"/>
          <w:i/>
          <w:szCs w:val="24"/>
        </w:rPr>
        <w:t>, vigente en un tiempo y en un espacio, si le afecta a su esfera jurídica en el momento de su aplicación e individualización; y es impugnable ante este tribunal</w:t>
      </w:r>
      <w:r w:rsidR="000537AC" w:rsidRPr="00EC1577">
        <w:rPr>
          <w:rFonts w:ascii="Arial" w:hAnsi="Arial" w:cs="Arial"/>
          <w:i/>
          <w:szCs w:val="24"/>
        </w:rPr>
        <w:t xml:space="preserve"> en un oficio en el que se le aplicó, pero nunca impugnado el segundo oficio en el que la demandada, dio cumplimiento con la primera sentencia y le aplicó nuevamente el mencionado Acuerdo Gubernamental 48, que es una norma general.</w:t>
      </w:r>
    </w:p>
    <w:p w:rsidR="000537AC" w:rsidRPr="00EC1577" w:rsidRDefault="000537AC" w:rsidP="00255B83">
      <w:pPr>
        <w:spacing w:before="240" w:line="360" w:lineRule="auto"/>
        <w:ind w:left="1134" w:right="616"/>
        <w:jc w:val="both"/>
        <w:rPr>
          <w:rFonts w:ascii="Arial" w:hAnsi="Arial" w:cs="Arial"/>
          <w:i/>
          <w:szCs w:val="24"/>
        </w:rPr>
      </w:pPr>
      <w:r w:rsidRPr="00EC1577">
        <w:rPr>
          <w:rFonts w:ascii="Arial" w:hAnsi="Arial" w:cs="Arial"/>
          <w:i/>
          <w:szCs w:val="24"/>
        </w:rPr>
        <w:t>…</w:t>
      </w:r>
    </w:p>
    <w:p w:rsidR="000537AC" w:rsidRPr="00EC1577" w:rsidRDefault="000537AC" w:rsidP="00255B83">
      <w:pPr>
        <w:spacing w:before="240" w:line="360" w:lineRule="auto"/>
        <w:ind w:left="1134" w:right="616"/>
        <w:jc w:val="both"/>
        <w:rPr>
          <w:rFonts w:ascii="Arial" w:hAnsi="Arial" w:cs="Arial"/>
          <w:i/>
          <w:szCs w:val="24"/>
        </w:rPr>
      </w:pPr>
      <w:r w:rsidRPr="00EC1577">
        <w:rPr>
          <w:rFonts w:ascii="Arial" w:hAnsi="Arial" w:cs="Arial"/>
          <w:i/>
          <w:szCs w:val="24"/>
        </w:rPr>
        <w:t xml:space="preserve">En tales condiciones, al Acuerdo Número 48 por sí solo no es impugnable ante este Tribunal, por ser una norma general que no le agravia, hasta que se le aplica y como se dijo, hubo conformidad con su aplicación al no impugnar el oficio </w:t>
      </w:r>
      <w:r w:rsidR="007A1495">
        <w:rPr>
          <w:rFonts w:ascii="Arial" w:hAnsi="Arial" w:cs="Arial"/>
          <w:b/>
          <w:sz w:val="26"/>
          <w:szCs w:val="26"/>
        </w:rPr>
        <w:t>**********</w:t>
      </w:r>
      <w:r w:rsidRPr="00EC1577">
        <w:rPr>
          <w:rFonts w:ascii="Arial" w:hAnsi="Arial" w:cs="Arial"/>
          <w:i/>
          <w:szCs w:val="24"/>
        </w:rPr>
        <w:t>, de fecha 04 cuatro de diciembre de 2013 dos mil trece, con el que dio cumplimiento la autoridad demandada a la sentencia de fecha 12 doce de noviembre de 2013 dos mil trece, dictada en el juicio 327/2013.</w:t>
      </w:r>
      <w:r w:rsidRPr="00EC1577">
        <w:rPr>
          <w:rFonts w:ascii="Arial" w:hAnsi="Arial" w:cs="Arial"/>
          <w:sz w:val="24"/>
          <w:szCs w:val="26"/>
        </w:rPr>
        <w:t>”</w:t>
      </w:r>
    </w:p>
    <w:p w:rsidR="000537AC" w:rsidRDefault="000537AC" w:rsidP="00BF64D3">
      <w:pPr>
        <w:spacing w:before="240" w:line="360" w:lineRule="auto"/>
        <w:ind w:firstLine="709"/>
        <w:jc w:val="both"/>
        <w:rPr>
          <w:rFonts w:ascii="Arial" w:hAnsi="Arial" w:cs="Arial"/>
          <w:sz w:val="26"/>
          <w:szCs w:val="26"/>
        </w:rPr>
      </w:pPr>
      <w:r w:rsidRPr="00692CD2">
        <w:rPr>
          <w:rFonts w:ascii="Arial" w:hAnsi="Arial" w:cs="Arial"/>
          <w:b/>
          <w:sz w:val="26"/>
          <w:szCs w:val="26"/>
        </w:rPr>
        <w:t>Por otra parte</w:t>
      </w:r>
      <w:r w:rsidR="00E163A7">
        <w:rPr>
          <w:rFonts w:ascii="Arial" w:hAnsi="Arial" w:cs="Arial"/>
          <w:sz w:val="26"/>
          <w:szCs w:val="26"/>
        </w:rPr>
        <w:t>,</w:t>
      </w:r>
      <w:r>
        <w:rPr>
          <w:rFonts w:ascii="Arial" w:hAnsi="Arial" w:cs="Arial"/>
          <w:sz w:val="26"/>
          <w:szCs w:val="26"/>
        </w:rPr>
        <w:t xml:space="preserve"> alega que la Primera Instancia</w:t>
      </w:r>
      <w:r w:rsidR="00FF4E3B">
        <w:rPr>
          <w:rFonts w:ascii="Arial" w:hAnsi="Arial" w:cs="Arial"/>
          <w:sz w:val="26"/>
          <w:szCs w:val="26"/>
        </w:rPr>
        <w:t xml:space="preserve"> insiste en que es incompetente para analizar la legalidad del Acuerdo 48, porque se trata de una disposición administrativa general, que viene a ser una norma de carácter general, consideración que dice la recurrente violenta lo dispuesto por los artículos 1, 66, 81 y 96 de la Ley de Justicia Administrativa para el Estado de Oaxaca, que establecen la competencia de las Salas Unitarias para conocer y resolver respecto al Acuerdo 48</w:t>
      </w:r>
      <w:r w:rsidR="00E163A7">
        <w:rPr>
          <w:rFonts w:ascii="Arial" w:hAnsi="Arial" w:cs="Arial"/>
          <w:sz w:val="26"/>
          <w:szCs w:val="26"/>
        </w:rPr>
        <w:t>, que es un acto administrativo, proveniente del Gobernador y que esta autoridad no escapa de la jurisdicción de este Tribunal.</w:t>
      </w:r>
    </w:p>
    <w:p w:rsidR="00346630" w:rsidRDefault="00E163A7" w:rsidP="00346630">
      <w:pPr>
        <w:spacing w:before="240" w:line="360" w:lineRule="auto"/>
        <w:ind w:firstLine="709"/>
        <w:jc w:val="both"/>
        <w:rPr>
          <w:rFonts w:ascii="Arial" w:hAnsi="Arial" w:cs="Arial"/>
          <w:sz w:val="26"/>
          <w:szCs w:val="26"/>
        </w:rPr>
      </w:pPr>
      <w:r>
        <w:rPr>
          <w:rFonts w:ascii="Arial" w:hAnsi="Arial" w:cs="Arial"/>
          <w:sz w:val="26"/>
          <w:szCs w:val="26"/>
        </w:rPr>
        <w:lastRenderedPageBreak/>
        <w:t xml:space="preserve">Precisa que el artículo 107 de la Ley de Amparo en vigor, no puede servir de fundamento para la Primera Instancia, porque el artículo 66 de la Ley de Justicia Administrativa, establece un requisito de </w:t>
      </w:r>
      <w:proofErr w:type="spellStart"/>
      <w:r>
        <w:rPr>
          <w:rFonts w:ascii="Arial" w:hAnsi="Arial" w:cs="Arial"/>
          <w:sz w:val="26"/>
          <w:szCs w:val="26"/>
        </w:rPr>
        <w:t>procedibilidad</w:t>
      </w:r>
      <w:proofErr w:type="spellEnd"/>
      <w:r>
        <w:rPr>
          <w:rFonts w:ascii="Arial" w:hAnsi="Arial" w:cs="Arial"/>
          <w:sz w:val="26"/>
          <w:szCs w:val="26"/>
        </w:rPr>
        <w:t xml:space="preserve"> que deben agotar los administrados para promover el juicio de amparo, consistente en agotar primero el juicio de nulidad ante este Tribunal.</w:t>
      </w:r>
      <w:r w:rsidR="00346630">
        <w:rPr>
          <w:rFonts w:ascii="Arial" w:hAnsi="Arial" w:cs="Arial"/>
          <w:sz w:val="26"/>
          <w:szCs w:val="26"/>
        </w:rPr>
        <w:t xml:space="preserve"> Cita los criterios de rubros: “</w:t>
      </w:r>
      <w:r w:rsidR="00346630" w:rsidRPr="00E163A7">
        <w:rPr>
          <w:rFonts w:ascii="Arial" w:hAnsi="Arial" w:cs="Arial"/>
          <w:i/>
        </w:rPr>
        <w:t>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APLIACIÓN DE ALGUNO DE ESTOS EN SU FAVOR, DEBE SER RESUELTO POR LAS SECCIONES DE LA SALA SUPERIOR DE DICHO ÓRGANO.</w:t>
      </w:r>
      <w:r w:rsidR="00346630">
        <w:rPr>
          <w:rFonts w:ascii="Arial" w:hAnsi="Arial" w:cs="Arial"/>
          <w:sz w:val="26"/>
          <w:szCs w:val="26"/>
        </w:rPr>
        <w:t>”, “</w:t>
      </w:r>
      <w:r w:rsidR="00346630">
        <w:rPr>
          <w:rFonts w:ascii="Arial" w:hAnsi="Arial" w:cs="Arial"/>
          <w:i/>
        </w:rPr>
        <w:t>SERVIDORES PÚBLICOS. EL LEGISLADOR EMPLEÓ COMO SINÓNIMOS LAS PALABRAS ´INSTAURAR´Y ´SUSTANCIAR´ EN EL TEXTO DEL ARTÍCULO 26, FRACCIÓN IV, INCISO A), DEL REGLAMENTO INTERIOR DE LA SECRETARÍA DE CONTRALORÍA Y DESARROLLO ADMINSITRATIVO VIGENTE HASTA EL 16 DE JULIO DE 2001</w:t>
      </w:r>
      <w:r w:rsidR="00346630" w:rsidRPr="00E163A7">
        <w:rPr>
          <w:rFonts w:ascii="Arial" w:hAnsi="Arial" w:cs="Arial"/>
          <w:i/>
        </w:rPr>
        <w:t>.</w:t>
      </w:r>
      <w:r w:rsidR="00346630">
        <w:rPr>
          <w:rFonts w:ascii="Arial" w:hAnsi="Arial" w:cs="Arial"/>
          <w:sz w:val="26"/>
          <w:szCs w:val="26"/>
        </w:rPr>
        <w:t>”, “</w:t>
      </w:r>
      <w:r w:rsidR="00346630">
        <w:rPr>
          <w:rFonts w:ascii="Arial" w:hAnsi="Arial" w:cs="Arial"/>
          <w:i/>
        </w:rPr>
        <w:t>SENTENCIAS DE AMPARO. SU CUMPLIMIENTO DEBE SER TOTAL, ATENTO A LOS PRINCIPIOS DE CONGRUENCIA Y DE EXHAUSTIVIDAD</w:t>
      </w:r>
      <w:r w:rsidR="00346630" w:rsidRPr="00E163A7">
        <w:rPr>
          <w:rFonts w:ascii="Arial" w:hAnsi="Arial" w:cs="Arial"/>
          <w:i/>
        </w:rPr>
        <w:t>.</w:t>
      </w:r>
      <w:r w:rsidR="00346630">
        <w:rPr>
          <w:rFonts w:ascii="Arial" w:hAnsi="Arial" w:cs="Arial"/>
          <w:sz w:val="26"/>
          <w:szCs w:val="26"/>
        </w:rPr>
        <w:t>” y “</w:t>
      </w:r>
      <w:r w:rsidR="00346630">
        <w:rPr>
          <w:rFonts w:ascii="Arial" w:hAnsi="Arial" w:cs="Arial"/>
          <w:i/>
        </w:rPr>
        <w:t>EJECUTORIA DE AMPARO. EL JUEZ DE DISTRITO DEBE VELAR POR SU EXACTO CUMPLIMIENTO, EN LAS CONDICIONES POR LAS QUE FUE CONCEDIDO EL AMPARO</w:t>
      </w:r>
      <w:r w:rsidR="00346630" w:rsidRPr="00E163A7">
        <w:rPr>
          <w:rFonts w:ascii="Arial" w:hAnsi="Arial" w:cs="Arial"/>
          <w:i/>
        </w:rPr>
        <w:t>.</w:t>
      </w:r>
      <w:r w:rsidR="00346630">
        <w:rPr>
          <w:rFonts w:ascii="Arial" w:hAnsi="Arial" w:cs="Arial"/>
          <w:sz w:val="26"/>
          <w:szCs w:val="26"/>
        </w:rPr>
        <w:t>”</w:t>
      </w:r>
    </w:p>
    <w:p w:rsidR="00692CD2" w:rsidRDefault="000242CC" w:rsidP="00692CD2">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242CC">
        <w:rPr>
          <w:rFonts w:ascii="Arial" w:eastAsia="Calibri" w:hAnsi="Arial" w:cs="Arial"/>
          <w:b/>
          <w:bCs/>
          <w:sz w:val="26"/>
          <w:szCs w:val="26"/>
        </w:rPr>
        <w:t>inoperantes</w:t>
      </w:r>
      <w:r>
        <w:rPr>
          <w:rFonts w:ascii="Arial" w:eastAsia="Calibri" w:hAnsi="Arial" w:cs="Arial"/>
          <w:bCs/>
          <w:sz w:val="26"/>
          <w:szCs w:val="26"/>
        </w:rPr>
        <w:t xml:space="preserve">, </w:t>
      </w:r>
      <w:r w:rsidR="00346630">
        <w:rPr>
          <w:rFonts w:ascii="Arial" w:eastAsia="Calibri" w:hAnsi="Arial" w:cs="Arial"/>
          <w:bCs/>
          <w:sz w:val="26"/>
          <w:szCs w:val="26"/>
        </w:rPr>
        <w:t xml:space="preserve">pues en forma alguna </w:t>
      </w:r>
      <w:r w:rsidR="00692CD2">
        <w:rPr>
          <w:rFonts w:ascii="Arial" w:eastAsia="Calibri" w:hAnsi="Arial" w:cs="Arial"/>
          <w:bCs/>
          <w:sz w:val="26"/>
          <w:szCs w:val="26"/>
        </w:rPr>
        <w:t>combate</w:t>
      </w:r>
      <w:r w:rsidR="00346630">
        <w:rPr>
          <w:rFonts w:ascii="Arial" w:eastAsia="Calibri" w:hAnsi="Arial" w:cs="Arial"/>
          <w:bCs/>
          <w:sz w:val="26"/>
          <w:szCs w:val="26"/>
        </w:rPr>
        <w:t xml:space="preserve"> la consideración sustancial de la Primera Instancia, para concluir en que el Acuerdo 48 emitido por el Gobernador Constitucional, no causa perjuicio alguno a la demandante y por ello no es posible </w:t>
      </w:r>
      <w:r w:rsidR="00E173C0">
        <w:rPr>
          <w:rFonts w:ascii="Arial" w:eastAsia="Calibri" w:hAnsi="Arial" w:cs="Arial"/>
          <w:bCs/>
          <w:sz w:val="26"/>
          <w:szCs w:val="26"/>
        </w:rPr>
        <w:t xml:space="preserve">analizar </w:t>
      </w:r>
      <w:r w:rsidR="00346630">
        <w:rPr>
          <w:rFonts w:ascii="Arial" w:eastAsia="Calibri" w:hAnsi="Arial" w:cs="Arial"/>
          <w:bCs/>
          <w:sz w:val="26"/>
          <w:szCs w:val="26"/>
        </w:rPr>
        <w:t xml:space="preserve">su legalidad, </w:t>
      </w:r>
      <w:r w:rsidR="00692CD2">
        <w:rPr>
          <w:rFonts w:ascii="Arial" w:eastAsia="Calibri" w:hAnsi="Arial" w:cs="Arial"/>
          <w:bCs/>
          <w:sz w:val="26"/>
          <w:szCs w:val="26"/>
        </w:rPr>
        <w:t xml:space="preserve">al considerar que este no le agravia hasta en tanto no se aplique y que le fue aplicado mediante oficio </w:t>
      </w:r>
      <w:r w:rsidR="007A1495">
        <w:rPr>
          <w:rFonts w:ascii="Arial" w:hAnsi="Arial" w:cs="Arial"/>
          <w:b/>
          <w:sz w:val="26"/>
          <w:szCs w:val="26"/>
        </w:rPr>
        <w:t>**********</w:t>
      </w:r>
      <w:r w:rsidR="00692CD2">
        <w:rPr>
          <w:rFonts w:ascii="Arial" w:eastAsia="Calibri" w:hAnsi="Arial" w:cs="Arial"/>
          <w:bCs/>
          <w:sz w:val="26"/>
          <w:szCs w:val="26"/>
        </w:rPr>
        <w:t xml:space="preserve"> de 4 cuatro de diciembre de 2013 dos mil trece, el cual no impugnó.</w:t>
      </w:r>
    </w:p>
    <w:p w:rsidR="00B90565" w:rsidRPr="002B506D" w:rsidRDefault="00B90565" w:rsidP="00B90565">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B90565" w:rsidRPr="00EC1577" w:rsidRDefault="00B90565" w:rsidP="00B90565">
      <w:pPr>
        <w:spacing w:line="360" w:lineRule="auto"/>
        <w:ind w:left="1134" w:right="709"/>
        <w:jc w:val="both"/>
        <w:rPr>
          <w:rFonts w:ascii="Arial" w:hAnsi="Arial" w:cs="Arial"/>
          <w:bCs/>
          <w:i/>
          <w:color w:val="000000" w:themeColor="text1"/>
          <w:szCs w:val="24"/>
          <w:lang w:val="es-MX"/>
        </w:rPr>
      </w:pPr>
      <w:r w:rsidRPr="00EC1577">
        <w:rPr>
          <w:rFonts w:ascii="Arial" w:eastAsia="Times New Roman" w:hAnsi="Arial"/>
          <w:i/>
          <w:color w:val="000000" w:themeColor="text1"/>
          <w:szCs w:val="24"/>
          <w:lang w:val="es-MX"/>
        </w:rPr>
        <w:t>“</w:t>
      </w:r>
      <w:r w:rsidRPr="00EC1577">
        <w:rPr>
          <w:rFonts w:ascii="Arial" w:eastAsia="Times New Roman" w:hAnsi="Arial"/>
          <w:b/>
          <w:i/>
          <w:color w:val="000000" w:themeColor="text1"/>
          <w:szCs w:val="24"/>
          <w:lang w:val="es-MX"/>
        </w:rPr>
        <w:t xml:space="preserve">AGRAVIOS. DEBEN DE IMPUGNAR LA ILEGALIDAD DEL FALLO RECURRIDO. </w:t>
      </w:r>
      <w:r w:rsidRPr="00EC1577">
        <w:rPr>
          <w:rFonts w:ascii="Arial" w:eastAsia="Times New Roman" w:hAnsi="Arial"/>
          <w:i/>
          <w:color w:val="000000" w:themeColor="text1"/>
          <w:szCs w:val="24"/>
          <w:lang w:val="es-MX"/>
        </w:rPr>
        <w:t xml:space="preserve">Si el recurrente no formula ninguna objeción contra el considerando que rige el sentido del fallo y sólo hace el señalamiento de las disposiciones legales que estima se </w:t>
      </w:r>
      <w:r w:rsidRPr="00EC1577">
        <w:rPr>
          <w:rFonts w:ascii="Arial" w:eastAsia="Times New Roman" w:hAnsi="Arial"/>
          <w:i/>
          <w:color w:val="000000" w:themeColor="text1"/>
          <w:szCs w:val="24"/>
          <w:lang w:val="es-MX"/>
        </w:rPr>
        <w:lastRenderedPageBreak/>
        <w:t>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692CD2" w:rsidRDefault="00B33E66" w:rsidP="00692CD2">
      <w:pPr>
        <w:spacing w:before="240" w:line="360" w:lineRule="auto"/>
        <w:ind w:firstLine="708"/>
        <w:jc w:val="both"/>
        <w:rPr>
          <w:rFonts w:ascii="Arial" w:hAnsi="Arial" w:cs="Arial"/>
          <w:sz w:val="26"/>
          <w:szCs w:val="26"/>
        </w:rPr>
      </w:pPr>
      <w:r w:rsidRPr="00B33E66">
        <w:rPr>
          <w:rFonts w:ascii="Arial" w:hAnsi="Arial" w:cs="Arial"/>
          <w:b/>
          <w:sz w:val="26"/>
          <w:szCs w:val="26"/>
        </w:rPr>
        <w:t>Por último</w:t>
      </w:r>
      <w:r>
        <w:rPr>
          <w:rFonts w:ascii="Arial" w:hAnsi="Arial" w:cs="Arial"/>
          <w:sz w:val="26"/>
          <w:szCs w:val="26"/>
        </w:rPr>
        <w:t xml:space="preserve">, </w:t>
      </w:r>
      <w:r w:rsidR="00692CD2">
        <w:rPr>
          <w:rFonts w:ascii="Arial" w:hAnsi="Arial" w:cs="Arial"/>
          <w:sz w:val="26"/>
          <w:szCs w:val="26"/>
        </w:rPr>
        <w:t>no resultan aplicables los criterios indica, pues únicamente se concreta a citarlos sin emitir argumento alguno que manifieste por qué considera estos deben ser tomados en cuanto o como es que se ajustan a sus alegaciones.</w:t>
      </w:r>
    </w:p>
    <w:p w:rsidR="00B90565" w:rsidRDefault="00B90565" w:rsidP="00B9056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B90565" w:rsidRDefault="00B90565" w:rsidP="00B9056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B90565" w:rsidRDefault="00B90565" w:rsidP="00B90565">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B90565" w:rsidRDefault="00B90565" w:rsidP="00B90565">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692CD2">
        <w:rPr>
          <w:rFonts w:ascii="Arial" w:hAnsi="Arial" w:cs="Arial"/>
          <w:sz w:val="26"/>
          <w:szCs w:val="26"/>
        </w:rPr>
        <w:t xml:space="preserve">Tercera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w:t>
      </w:r>
    </w:p>
    <w:p w:rsidR="00EC1577" w:rsidRDefault="00EC1577" w:rsidP="00EC1577">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EC1577" w:rsidRDefault="00EC1577" w:rsidP="00EC1577">
      <w:pPr>
        <w:pStyle w:val="corte4fondo"/>
        <w:tabs>
          <w:tab w:val="left" w:pos="0"/>
        </w:tabs>
        <w:ind w:right="51"/>
        <w:rPr>
          <w:sz w:val="26"/>
          <w:szCs w:val="26"/>
        </w:rPr>
      </w:pPr>
    </w:p>
    <w:p w:rsidR="00EC1577" w:rsidRDefault="00EC1577" w:rsidP="00EC1577">
      <w:pPr>
        <w:pStyle w:val="corte4fondo"/>
        <w:tabs>
          <w:tab w:val="left" w:pos="0"/>
        </w:tabs>
        <w:ind w:right="51"/>
        <w:rPr>
          <w:sz w:val="26"/>
          <w:szCs w:val="26"/>
        </w:rPr>
      </w:pPr>
    </w:p>
    <w:p w:rsidR="00EC1577" w:rsidRDefault="00EC1577" w:rsidP="00EC1577">
      <w:pPr>
        <w:pStyle w:val="corte4fondo"/>
        <w:tabs>
          <w:tab w:val="left" w:pos="0"/>
        </w:tabs>
        <w:ind w:right="51"/>
        <w:rPr>
          <w:sz w:val="26"/>
          <w:szCs w:val="26"/>
        </w:rPr>
      </w:pPr>
    </w:p>
    <w:p w:rsidR="00EC1577" w:rsidRDefault="00EC1577" w:rsidP="00EC1577">
      <w:pPr>
        <w:pStyle w:val="corte4fondo"/>
        <w:tabs>
          <w:tab w:val="left" w:pos="0"/>
        </w:tabs>
        <w:ind w:right="51"/>
        <w:rPr>
          <w:sz w:val="26"/>
          <w:szCs w:val="26"/>
        </w:rPr>
      </w:pPr>
    </w:p>
    <w:p w:rsidR="00EC1577" w:rsidRDefault="00EC1577" w:rsidP="00EC1577">
      <w:pPr>
        <w:pStyle w:val="corte4fondo"/>
        <w:tabs>
          <w:tab w:val="left" w:pos="0"/>
        </w:tabs>
        <w:ind w:right="51"/>
        <w:rPr>
          <w:rFonts w:cs="Arial"/>
          <w:sz w:val="26"/>
          <w:szCs w:val="26"/>
        </w:rPr>
      </w:pPr>
    </w:p>
    <w:p w:rsidR="00EC1577" w:rsidRDefault="00EC1577" w:rsidP="00EC1577">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EC1577" w:rsidRDefault="00EC1577" w:rsidP="00EC1577">
      <w:pPr>
        <w:spacing w:after="0" w:line="240" w:lineRule="auto"/>
        <w:jc w:val="center"/>
        <w:rPr>
          <w:rFonts w:ascii="Arial" w:hAnsi="Arial" w:cs="Arial"/>
          <w:sz w:val="26"/>
          <w:szCs w:val="26"/>
        </w:rPr>
      </w:pPr>
      <w:r>
        <w:rPr>
          <w:rFonts w:ascii="Arial" w:hAnsi="Arial" w:cs="Arial"/>
          <w:sz w:val="26"/>
          <w:szCs w:val="26"/>
        </w:rPr>
        <w:t>PRESIDENTA</w:t>
      </w:r>
    </w:p>
    <w:p w:rsidR="00EC1577" w:rsidRDefault="00EC1577" w:rsidP="00EC1577">
      <w:pPr>
        <w:spacing w:after="0" w:line="240" w:lineRule="auto"/>
        <w:jc w:val="center"/>
        <w:rPr>
          <w:rFonts w:ascii="Arial" w:hAnsi="Arial" w:cs="Arial"/>
          <w:sz w:val="26"/>
          <w:szCs w:val="26"/>
        </w:rPr>
      </w:pPr>
    </w:p>
    <w:p w:rsidR="00EC1577" w:rsidRDefault="00EC1577" w:rsidP="00EC1577">
      <w:pPr>
        <w:spacing w:after="0" w:line="240" w:lineRule="auto"/>
        <w:jc w:val="center"/>
        <w:rPr>
          <w:rFonts w:ascii="Arial" w:hAnsi="Arial" w:cs="Arial"/>
          <w:sz w:val="26"/>
          <w:szCs w:val="26"/>
        </w:rPr>
      </w:pPr>
    </w:p>
    <w:p w:rsidR="00EC1577" w:rsidRDefault="00EC1577" w:rsidP="00EC1577">
      <w:pPr>
        <w:spacing w:after="0" w:line="240" w:lineRule="auto"/>
        <w:jc w:val="center"/>
        <w:rPr>
          <w:rFonts w:ascii="Arial" w:hAnsi="Arial" w:cs="Arial"/>
          <w:sz w:val="26"/>
          <w:szCs w:val="26"/>
        </w:rPr>
      </w:pPr>
    </w:p>
    <w:p w:rsidR="00EC1577" w:rsidRDefault="00EC1577" w:rsidP="00EC1577">
      <w:pPr>
        <w:spacing w:after="0" w:line="240" w:lineRule="auto"/>
        <w:jc w:val="center"/>
        <w:rPr>
          <w:rFonts w:ascii="Arial" w:hAnsi="Arial" w:cs="Arial"/>
          <w:sz w:val="26"/>
          <w:szCs w:val="26"/>
        </w:rPr>
      </w:pPr>
    </w:p>
    <w:p w:rsidR="00EC1577" w:rsidRDefault="00EC1577" w:rsidP="00EC1577">
      <w:pPr>
        <w:spacing w:after="0" w:line="240" w:lineRule="auto"/>
        <w:jc w:val="center"/>
        <w:rPr>
          <w:rFonts w:ascii="Arial" w:hAnsi="Arial" w:cs="Arial"/>
          <w:sz w:val="26"/>
          <w:szCs w:val="26"/>
        </w:rPr>
      </w:pPr>
    </w:p>
    <w:p w:rsidR="00EC1577" w:rsidRPr="008B167B" w:rsidRDefault="00EC1577" w:rsidP="00EC1577">
      <w:pPr>
        <w:spacing w:line="360" w:lineRule="auto"/>
        <w:ind w:firstLine="567"/>
        <w:jc w:val="center"/>
        <w:rPr>
          <w:rFonts w:ascii="Arial" w:hAnsi="Arial" w:cs="Arial"/>
          <w:sz w:val="26"/>
          <w:szCs w:val="26"/>
        </w:rPr>
      </w:pPr>
      <w:r>
        <w:rPr>
          <w:rFonts w:ascii="Arial" w:hAnsi="Arial" w:cs="Arial"/>
          <w:b/>
          <w:sz w:val="14"/>
          <w:szCs w:val="26"/>
        </w:rPr>
        <w:t>LAS PRESENTES FIRMAS CORRESPONDEN AL RECURSO DE REVISIÓN 500/2018</w:t>
      </w:r>
    </w:p>
    <w:p w:rsidR="00EC1577" w:rsidRDefault="00EC1577" w:rsidP="00EC1577">
      <w:pPr>
        <w:spacing w:line="360" w:lineRule="auto"/>
        <w:jc w:val="center"/>
        <w:rPr>
          <w:rFonts w:ascii="Arial" w:hAnsi="Arial" w:cs="Arial"/>
          <w:sz w:val="26"/>
          <w:szCs w:val="26"/>
        </w:rPr>
      </w:pPr>
    </w:p>
    <w:p w:rsidR="00EC1577" w:rsidRDefault="00EC1577" w:rsidP="00EC1577">
      <w:pPr>
        <w:spacing w:after="0" w:line="240" w:lineRule="auto"/>
        <w:jc w:val="center"/>
        <w:rPr>
          <w:rFonts w:ascii="Arial" w:eastAsia="Times New Roman" w:hAnsi="Arial" w:cs="Arial"/>
          <w:sz w:val="26"/>
          <w:szCs w:val="26"/>
          <w:lang w:eastAsia="es-MX"/>
        </w:rPr>
      </w:pPr>
    </w:p>
    <w:p w:rsidR="00EC1577" w:rsidRDefault="00EC1577" w:rsidP="00EC1577">
      <w:pPr>
        <w:spacing w:after="0" w:line="240" w:lineRule="auto"/>
        <w:jc w:val="center"/>
        <w:rPr>
          <w:rFonts w:ascii="Arial" w:eastAsia="Times New Roman" w:hAnsi="Arial" w:cs="Arial"/>
          <w:sz w:val="26"/>
          <w:szCs w:val="26"/>
          <w:lang w:eastAsia="es-MX"/>
        </w:rPr>
      </w:pPr>
    </w:p>
    <w:p w:rsidR="00EC1577" w:rsidRDefault="00EC1577" w:rsidP="00EC1577">
      <w:pPr>
        <w:spacing w:after="0" w:line="240" w:lineRule="auto"/>
        <w:jc w:val="center"/>
        <w:rPr>
          <w:rFonts w:ascii="Arial" w:eastAsia="Times New Roman" w:hAnsi="Arial" w:cs="Arial"/>
          <w:sz w:val="26"/>
          <w:szCs w:val="26"/>
          <w:lang w:eastAsia="es-MX"/>
        </w:rPr>
      </w:pPr>
    </w:p>
    <w:p w:rsidR="00EC1577" w:rsidRDefault="00EC1577" w:rsidP="00EC1577">
      <w:pPr>
        <w:spacing w:after="0" w:line="240" w:lineRule="auto"/>
        <w:jc w:val="center"/>
        <w:rPr>
          <w:rFonts w:ascii="Arial" w:eastAsia="Times New Roman" w:hAnsi="Arial" w:cs="Arial"/>
          <w:sz w:val="26"/>
          <w:szCs w:val="26"/>
          <w:lang w:eastAsia="es-MX"/>
        </w:rPr>
      </w:pPr>
    </w:p>
    <w:p w:rsidR="00EC1577" w:rsidRDefault="00EC1577" w:rsidP="00EC1577">
      <w:pPr>
        <w:spacing w:line="360" w:lineRule="auto"/>
        <w:ind w:firstLine="567"/>
        <w:jc w:val="center"/>
        <w:rPr>
          <w:rFonts w:ascii="Arial" w:hAnsi="Arial" w:cs="Arial"/>
          <w:b/>
          <w:sz w:val="14"/>
          <w:szCs w:val="26"/>
        </w:rPr>
      </w:pPr>
      <w:r>
        <w:rPr>
          <w:rFonts w:ascii="Arial" w:eastAsia="Times New Roman" w:hAnsi="Arial" w:cs="Arial"/>
          <w:sz w:val="26"/>
          <w:szCs w:val="26"/>
          <w:lang w:eastAsia="es-MX"/>
        </w:rPr>
        <w:t>MAGISTRADO MANUEL VELASCO ALCÁNTARA</w:t>
      </w:r>
      <w:r w:rsidRPr="00EC1577">
        <w:rPr>
          <w:rFonts w:ascii="Arial" w:hAnsi="Arial" w:cs="Arial"/>
          <w:b/>
          <w:sz w:val="14"/>
          <w:szCs w:val="26"/>
        </w:rPr>
        <w:t xml:space="preserve"> </w:t>
      </w:r>
    </w:p>
    <w:p w:rsidR="00EC1577" w:rsidRDefault="00EC1577" w:rsidP="00EC1577">
      <w:pPr>
        <w:spacing w:line="360" w:lineRule="auto"/>
        <w:jc w:val="center"/>
        <w:rPr>
          <w:rFonts w:ascii="Arial" w:hAnsi="Arial" w:cs="Arial"/>
          <w:sz w:val="26"/>
          <w:szCs w:val="26"/>
        </w:rPr>
      </w:pPr>
    </w:p>
    <w:p w:rsidR="00EC1577" w:rsidRDefault="00EC1577" w:rsidP="00EC1577">
      <w:pPr>
        <w:spacing w:line="360" w:lineRule="auto"/>
        <w:jc w:val="center"/>
        <w:rPr>
          <w:rFonts w:ascii="Arial" w:hAnsi="Arial" w:cs="Arial"/>
          <w:sz w:val="26"/>
          <w:szCs w:val="26"/>
        </w:rPr>
      </w:pPr>
    </w:p>
    <w:p w:rsidR="00EC1577" w:rsidRDefault="00EC1577" w:rsidP="00EC1577">
      <w:pPr>
        <w:spacing w:line="360" w:lineRule="auto"/>
        <w:jc w:val="center"/>
        <w:rPr>
          <w:rFonts w:ascii="Arial" w:hAnsi="Arial" w:cs="Arial"/>
          <w:sz w:val="26"/>
          <w:szCs w:val="26"/>
        </w:rPr>
      </w:pPr>
    </w:p>
    <w:p w:rsidR="00EC1577" w:rsidRDefault="00EC1577" w:rsidP="00EC1577">
      <w:pPr>
        <w:jc w:val="center"/>
        <w:rPr>
          <w:rFonts w:ascii="Arial" w:hAnsi="Arial" w:cs="Arial"/>
          <w:sz w:val="26"/>
          <w:szCs w:val="26"/>
        </w:rPr>
      </w:pPr>
      <w:r>
        <w:rPr>
          <w:rFonts w:ascii="Arial" w:hAnsi="Arial" w:cs="Arial"/>
          <w:sz w:val="26"/>
          <w:szCs w:val="26"/>
        </w:rPr>
        <w:t>MAGISTRADO RAÚL PALOMARES PALOMINO</w:t>
      </w:r>
    </w:p>
    <w:p w:rsidR="00EC1577" w:rsidRDefault="00EC1577" w:rsidP="00EC1577">
      <w:pPr>
        <w:jc w:val="center"/>
        <w:rPr>
          <w:rFonts w:ascii="Arial" w:hAnsi="Arial" w:cs="Arial"/>
          <w:sz w:val="26"/>
          <w:szCs w:val="26"/>
        </w:rPr>
      </w:pPr>
    </w:p>
    <w:p w:rsidR="00EC1577" w:rsidRDefault="00EC1577" w:rsidP="00EC1577">
      <w:pPr>
        <w:jc w:val="center"/>
        <w:rPr>
          <w:rFonts w:ascii="Arial" w:hAnsi="Arial" w:cs="Arial"/>
          <w:sz w:val="26"/>
          <w:szCs w:val="26"/>
        </w:rPr>
      </w:pPr>
    </w:p>
    <w:p w:rsidR="00EC1577" w:rsidRDefault="00EC1577" w:rsidP="00EC1577">
      <w:pPr>
        <w:jc w:val="center"/>
        <w:rPr>
          <w:rFonts w:ascii="Arial" w:hAnsi="Arial" w:cs="Arial"/>
          <w:sz w:val="26"/>
          <w:szCs w:val="26"/>
        </w:rPr>
      </w:pPr>
    </w:p>
    <w:p w:rsidR="00EC1577" w:rsidRDefault="00EC1577" w:rsidP="00EC1577">
      <w:pPr>
        <w:jc w:val="center"/>
        <w:rPr>
          <w:rFonts w:ascii="Arial" w:hAnsi="Arial" w:cs="Arial"/>
          <w:sz w:val="26"/>
          <w:szCs w:val="26"/>
        </w:rPr>
      </w:pPr>
    </w:p>
    <w:p w:rsidR="00EC1577" w:rsidRDefault="00EC1577" w:rsidP="00EC1577">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EC1577" w:rsidRDefault="00EC1577" w:rsidP="00EC1577">
      <w:pPr>
        <w:tabs>
          <w:tab w:val="left" w:pos="1680"/>
          <w:tab w:val="center" w:pos="4277"/>
        </w:tabs>
        <w:spacing w:line="360" w:lineRule="auto"/>
        <w:jc w:val="center"/>
        <w:rPr>
          <w:rFonts w:ascii="Arial" w:hAnsi="Arial" w:cs="Arial"/>
          <w:sz w:val="26"/>
          <w:szCs w:val="26"/>
        </w:rPr>
      </w:pPr>
    </w:p>
    <w:p w:rsidR="00EC1577" w:rsidRDefault="00EC1577" w:rsidP="00EC1577">
      <w:pPr>
        <w:tabs>
          <w:tab w:val="left" w:pos="1680"/>
          <w:tab w:val="center" w:pos="4277"/>
        </w:tabs>
        <w:spacing w:line="360" w:lineRule="auto"/>
        <w:jc w:val="center"/>
        <w:rPr>
          <w:rFonts w:ascii="Arial" w:hAnsi="Arial" w:cs="Arial"/>
          <w:sz w:val="26"/>
          <w:szCs w:val="26"/>
        </w:rPr>
      </w:pPr>
    </w:p>
    <w:p w:rsidR="00EC1577" w:rsidRPr="009F77CE" w:rsidRDefault="00EC1577" w:rsidP="00EC1577">
      <w:pPr>
        <w:tabs>
          <w:tab w:val="left" w:pos="1680"/>
          <w:tab w:val="center" w:pos="4277"/>
        </w:tabs>
        <w:spacing w:line="360" w:lineRule="auto"/>
        <w:jc w:val="center"/>
        <w:rPr>
          <w:rFonts w:ascii="Arial" w:hAnsi="Arial" w:cs="Arial"/>
          <w:sz w:val="26"/>
          <w:szCs w:val="26"/>
        </w:rPr>
      </w:pPr>
    </w:p>
    <w:p w:rsidR="00EC1577" w:rsidRDefault="00EC1577" w:rsidP="00EC1577">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EC1577" w:rsidRDefault="00EC1577" w:rsidP="00EC1577">
      <w:pPr>
        <w:tabs>
          <w:tab w:val="left" w:pos="1680"/>
          <w:tab w:val="center" w:pos="4277"/>
        </w:tabs>
        <w:spacing w:line="360" w:lineRule="auto"/>
        <w:jc w:val="center"/>
        <w:rPr>
          <w:rFonts w:ascii="Arial" w:hAnsi="Arial" w:cs="Arial"/>
          <w:sz w:val="26"/>
          <w:szCs w:val="26"/>
        </w:rPr>
      </w:pPr>
    </w:p>
    <w:p w:rsidR="00EC1577" w:rsidRDefault="00EC1577" w:rsidP="00EC1577">
      <w:pPr>
        <w:tabs>
          <w:tab w:val="left" w:pos="1680"/>
          <w:tab w:val="center" w:pos="4277"/>
        </w:tabs>
        <w:spacing w:line="360" w:lineRule="auto"/>
        <w:jc w:val="center"/>
        <w:rPr>
          <w:rFonts w:ascii="Arial" w:hAnsi="Arial" w:cs="Arial"/>
          <w:sz w:val="26"/>
          <w:szCs w:val="26"/>
        </w:rPr>
      </w:pPr>
    </w:p>
    <w:p w:rsidR="00EC1577" w:rsidRDefault="00EC1577" w:rsidP="00EC1577">
      <w:pPr>
        <w:tabs>
          <w:tab w:val="left" w:pos="1680"/>
          <w:tab w:val="center" w:pos="4277"/>
        </w:tabs>
        <w:spacing w:line="360" w:lineRule="auto"/>
        <w:jc w:val="center"/>
        <w:rPr>
          <w:rFonts w:ascii="Arial" w:hAnsi="Arial" w:cs="Arial"/>
          <w:sz w:val="26"/>
          <w:szCs w:val="26"/>
        </w:rPr>
      </w:pPr>
    </w:p>
    <w:p w:rsidR="00EC1577" w:rsidRDefault="00EC1577" w:rsidP="00EC1577">
      <w:pPr>
        <w:pStyle w:val="Sinespaciado"/>
        <w:jc w:val="center"/>
        <w:rPr>
          <w:rFonts w:ascii="Arial" w:hAnsi="Arial" w:cs="Arial"/>
          <w:sz w:val="26"/>
          <w:szCs w:val="26"/>
        </w:rPr>
      </w:pPr>
      <w:r>
        <w:rPr>
          <w:rFonts w:ascii="Arial" w:hAnsi="Arial" w:cs="Arial"/>
          <w:sz w:val="26"/>
          <w:szCs w:val="26"/>
        </w:rPr>
        <w:t>LICENCIADA FELICITAS DÍAZ VÁZQUEZ</w:t>
      </w:r>
    </w:p>
    <w:p w:rsidR="00EC1577" w:rsidRDefault="00EC1577" w:rsidP="00EC1577">
      <w:pPr>
        <w:pStyle w:val="Sinespaciado"/>
        <w:jc w:val="center"/>
        <w:rPr>
          <w:rFonts w:ascii="Arial" w:hAnsi="Arial" w:cs="Arial"/>
          <w:sz w:val="26"/>
          <w:szCs w:val="26"/>
        </w:rPr>
      </w:pPr>
      <w:r>
        <w:rPr>
          <w:rFonts w:ascii="Arial" w:hAnsi="Arial" w:cs="Arial"/>
          <w:sz w:val="26"/>
          <w:szCs w:val="26"/>
        </w:rPr>
        <w:t>SECRETARIA GENERAL DE ACUERDOS</w:t>
      </w:r>
    </w:p>
    <w:p w:rsidR="00B90565" w:rsidRDefault="00B90565" w:rsidP="00B90565">
      <w:pPr>
        <w:jc w:val="center"/>
        <w:rPr>
          <w:sz w:val="26"/>
          <w:szCs w:val="26"/>
        </w:rPr>
      </w:pPr>
    </w:p>
    <w:sectPr w:rsidR="00B90565" w:rsidSect="00EC1577">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3A" w:rsidRDefault="001E1E3A">
      <w:pPr>
        <w:spacing w:after="0" w:line="240" w:lineRule="auto"/>
      </w:pPr>
      <w:r>
        <w:separator/>
      </w:r>
    </w:p>
  </w:endnote>
  <w:endnote w:type="continuationSeparator" w:id="0">
    <w:p w:rsidR="001E1E3A" w:rsidRDefault="001E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3A" w:rsidRDefault="001E1E3A">
      <w:pPr>
        <w:spacing w:after="0" w:line="240" w:lineRule="auto"/>
      </w:pPr>
      <w:r>
        <w:separator/>
      </w:r>
    </w:p>
  </w:footnote>
  <w:footnote w:type="continuationSeparator" w:id="0">
    <w:p w:rsidR="001E1E3A" w:rsidRDefault="001E1E3A">
      <w:pPr>
        <w:spacing w:after="0" w:line="240" w:lineRule="auto"/>
      </w:pPr>
      <w:r>
        <w:continuationSeparator/>
      </w:r>
    </w:p>
  </w:footnote>
  <w:footnote w:id="1">
    <w:p w:rsidR="000242CC" w:rsidRDefault="000242CC" w:rsidP="00B35442">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0242CC" w:rsidRDefault="000242CC" w:rsidP="00B35442">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0242CC" w:rsidRDefault="000242CC" w:rsidP="00B35442">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0242CC" w:rsidRDefault="001A171B" w:rsidP="00D25099">
        <w:pPr>
          <w:pStyle w:val="Encabezado"/>
          <w:jc w:val="center"/>
        </w:pPr>
        <w:r>
          <w:rPr>
            <w:noProof/>
            <w:lang w:val="es-MX" w:eastAsia="es-MX"/>
          </w:rPr>
          <w:drawing>
            <wp:anchor distT="0" distB="0" distL="114300" distR="114300" simplePos="0" relativeHeight="251665408" behindDoc="0" locked="0" layoutInCell="1" allowOverlap="1" wp14:anchorId="29D97AB6" wp14:editId="174562AC">
              <wp:simplePos x="0" y="0"/>
              <wp:positionH relativeFrom="column">
                <wp:posOffset>5781675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fldChar w:fldCharType="begin"/>
        </w:r>
        <w:r w:rsidR="000242CC">
          <w:instrText>PAGE   \* MERGEFORMAT</w:instrText>
        </w:r>
        <w:r w:rsidR="000242CC">
          <w:fldChar w:fldCharType="separate"/>
        </w:r>
        <w:r w:rsidR="00F117D4">
          <w:rPr>
            <w:noProof/>
          </w:rPr>
          <w:t>6</w:t>
        </w:r>
        <w:r w:rsidR="000242C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0242CC" w:rsidRDefault="000242CC" w:rsidP="00206B99">
        <w:pPr>
          <w:pStyle w:val="Encabezado"/>
          <w:jc w:val="center"/>
          <w:rPr>
            <w:noProof/>
          </w:rPr>
        </w:pPr>
        <w:r>
          <w:fldChar w:fldCharType="begin"/>
        </w:r>
        <w:r>
          <w:instrText xml:space="preserve"> PAGE   \* MERGEFORMAT </w:instrText>
        </w:r>
        <w:r>
          <w:fldChar w:fldCharType="separate"/>
        </w:r>
        <w:r w:rsidR="00F117D4">
          <w:rPr>
            <w:noProof/>
          </w:rPr>
          <w:t>7</w:t>
        </w:r>
        <w:r>
          <w:rPr>
            <w:noProof/>
          </w:rPr>
          <w:fldChar w:fldCharType="end"/>
        </w:r>
      </w:p>
      <w:p w:rsidR="000242CC" w:rsidRDefault="00F117D4" w:rsidP="008C74CA">
        <w:pPr>
          <w:pStyle w:val="Encabezado"/>
          <w:jc w:val="center"/>
        </w:pPr>
      </w:p>
    </w:sdtContent>
  </w:sdt>
  <w:p w:rsidR="000242CC" w:rsidRDefault="000242CC" w:rsidP="00256B01">
    <w:pPr>
      <w:pStyle w:val="Encabezado"/>
      <w:jc w:val="center"/>
    </w:pPr>
  </w:p>
  <w:p w:rsidR="000242CC" w:rsidRDefault="001A171B" w:rsidP="00256B01">
    <w:pPr>
      <w:pStyle w:val="Encabezado"/>
      <w:jc w:val="center"/>
    </w:pPr>
    <w:r>
      <w:rPr>
        <w:noProof/>
        <w:lang w:val="es-MX" w:eastAsia="es-MX"/>
      </w:rPr>
      <w:drawing>
        <wp:anchor distT="0" distB="0" distL="114300" distR="114300" simplePos="0" relativeHeight="251663360" behindDoc="0" locked="0" layoutInCell="1" allowOverlap="1" wp14:anchorId="3ACF0091" wp14:editId="32558083">
          <wp:simplePos x="0" y="0"/>
          <wp:positionH relativeFrom="column">
            <wp:posOffset>-1152525</wp:posOffset>
          </wp:positionH>
          <wp:positionV relativeFrom="paragraph">
            <wp:posOffset>3306445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rPr>
        <w:noProof/>
        <w:lang w:val="es-MX" w:eastAsia="es-MX"/>
      </w:rPr>
      <w:drawing>
        <wp:anchor distT="0" distB="0" distL="114300" distR="114300" simplePos="0" relativeHeight="251661312" behindDoc="1" locked="0" layoutInCell="1" allowOverlap="1" wp14:anchorId="6081DC0E" wp14:editId="70E3DC6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CC" w:rsidRPr="003E6AD7">
      <w:rPr>
        <w:noProof/>
        <w:lang w:val="es-MX" w:eastAsia="es-MX"/>
      </w:rPr>
      <w:drawing>
        <wp:anchor distT="0" distB="0" distL="114300" distR="114300" simplePos="0" relativeHeight="251659264" behindDoc="0" locked="0" layoutInCell="1" allowOverlap="1" wp14:anchorId="708A402A" wp14:editId="02CC7DAD">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4019"/>
    <w:rsid w:val="000242CC"/>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7AC"/>
    <w:rsid w:val="00053C13"/>
    <w:rsid w:val="00055CE8"/>
    <w:rsid w:val="0005701D"/>
    <w:rsid w:val="00057174"/>
    <w:rsid w:val="00057817"/>
    <w:rsid w:val="00057C1E"/>
    <w:rsid w:val="00057DB1"/>
    <w:rsid w:val="000612E4"/>
    <w:rsid w:val="000616B5"/>
    <w:rsid w:val="00061CE8"/>
    <w:rsid w:val="00067E31"/>
    <w:rsid w:val="00070777"/>
    <w:rsid w:val="00070FAA"/>
    <w:rsid w:val="00073687"/>
    <w:rsid w:val="000737BF"/>
    <w:rsid w:val="0007458B"/>
    <w:rsid w:val="000752E9"/>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A04F6"/>
    <w:rsid w:val="000A1494"/>
    <w:rsid w:val="000A2C18"/>
    <w:rsid w:val="000A4E40"/>
    <w:rsid w:val="000A612F"/>
    <w:rsid w:val="000A6360"/>
    <w:rsid w:val="000A6EC7"/>
    <w:rsid w:val="000A7BA9"/>
    <w:rsid w:val="000B0E70"/>
    <w:rsid w:val="000B1A06"/>
    <w:rsid w:val="000B2590"/>
    <w:rsid w:val="000B2654"/>
    <w:rsid w:val="000B3B02"/>
    <w:rsid w:val="000B3B3B"/>
    <w:rsid w:val="000B4122"/>
    <w:rsid w:val="000C1A75"/>
    <w:rsid w:val="000C1F7C"/>
    <w:rsid w:val="000C2197"/>
    <w:rsid w:val="000C313C"/>
    <w:rsid w:val="000C3DBF"/>
    <w:rsid w:val="000D0E1D"/>
    <w:rsid w:val="000D1BD0"/>
    <w:rsid w:val="000D29A1"/>
    <w:rsid w:val="000D2FDE"/>
    <w:rsid w:val="000D41AB"/>
    <w:rsid w:val="000D595D"/>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B20"/>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3CF8"/>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79E"/>
    <w:rsid w:val="00193B3A"/>
    <w:rsid w:val="00194A88"/>
    <w:rsid w:val="00194C5C"/>
    <w:rsid w:val="0019600D"/>
    <w:rsid w:val="00197ACA"/>
    <w:rsid w:val="001A0089"/>
    <w:rsid w:val="001A14DC"/>
    <w:rsid w:val="001A171B"/>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1E3A"/>
    <w:rsid w:val="001E3B11"/>
    <w:rsid w:val="001E503D"/>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5B83"/>
    <w:rsid w:val="00256B01"/>
    <w:rsid w:val="00261CC6"/>
    <w:rsid w:val="00262666"/>
    <w:rsid w:val="00263720"/>
    <w:rsid w:val="00263BD5"/>
    <w:rsid w:val="00264533"/>
    <w:rsid w:val="0026762A"/>
    <w:rsid w:val="00267A88"/>
    <w:rsid w:val="00267F4F"/>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256"/>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A7DB1"/>
    <w:rsid w:val="002B2AF4"/>
    <w:rsid w:val="002B3CD7"/>
    <w:rsid w:val="002B5C82"/>
    <w:rsid w:val="002B73F3"/>
    <w:rsid w:val="002B7422"/>
    <w:rsid w:val="002B79C4"/>
    <w:rsid w:val="002C01EA"/>
    <w:rsid w:val="002C0324"/>
    <w:rsid w:val="002C0C96"/>
    <w:rsid w:val="002C291C"/>
    <w:rsid w:val="002C6632"/>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46630"/>
    <w:rsid w:val="003505C2"/>
    <w:rsid w:val="003515B0"/>
    <w:rsid w:val="00354A57"/>
    <w:rsid w:val="00355E72"/>
    <w:rsid w:val="0035772D"/>
    <w:rsid w:val="00360A0B"/>
    <w:rsid w:val="00362E0E"/>
    <w:rsid w:val="003633B9"/>
    <w:rsid w:val="003646B9"/>
    <w:rsid w:val="003708D3"/>
    <w:rsid w:val="00371AB7"/>
    <w:rsid w:val="003731F5"/>
    <w:rsid w:val="00375176"/>
    <w:rsid w:val="00376754"/>
    <w:rsid w:val="003779D8"/>
    <w:rsid w:val="00380776"/>
    <w:rsid w:val="00380BAC"/>
    <w:rsid w:val="003818BD"/>
    <w:rsid w:val="00381DC3"/>
    <w:rsid w:val="00382FD0"/>
    <w:rsid w:val="00383A19"/>
    <w:rsid w:val="00386D6B"/>
    <w:rsid w:val="003873E7"/>
    <w:rsid w:val="00387C97"/>
    <w:rsid w:val="00395802"/>
    <w:rsid w:val="00396451"/>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91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3F98"/>
    <w:rsid w:val="003E4073"/>
    <w:rsid w:val="003E4484"/>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3A9D"/>
    <w:rsid w:val="00424229"/>
    <w:rsid w:val="00426364"/>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3487"/>
    <w:rsid w:val="00474E30"/>
    <w:rsid w:val="004774DD"/>
    <w:rsid w:val="0047763B"/>
    <w:rsid w:val="00485388"/>
    <w:rsid w:val="004870D8"/>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3B4"/>
    <w:rsid w:val="004C456C"/>
    <w:rsid w:val="004C489E"/>
    <w:rsid w:val="004C57A9"/>
    <w:rsid w:val="004D29EE"/>
    <w:rsid w:val="004D316A"/>
    <w:rsid w:val="004D34BF"/>
    <w:rsid w:val="004D3AC9"/>
    <w:rsid w:val="004D3ADD"/>
    <w:rsid w:val="004D5713"/>
    <w:rsid w:val="004D5934"/>
    <w:rsid w:val="004D6FEE"/>
    <w:rsid w:val="004D7564"/>
    <w:rsid w:val="004E154D"/>
    <w:rsid w:val="004E16A4"/>
    <w:rsid w:val="004E4D67"/>
    <w:rsid w:val="004E5474"/>
    <w:rsid w:val="004E56E0"/>
    <w:rsid w:val="004E59D2"/>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606A"/>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EFA"/>
    <w:rsid w:val="005D3EFB"/>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1D99"/>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4EA"/>
    <w:rsid w:val="00611746"/>
    <w:rsid w:val="00611DD6"/>
    <w:rsid w:val="006150FB"/>
    <w:rsid w:val="00615BE9"/>
    <w:rsid w:val="00621035"/>
    <w:rsid w:val="00621070"/>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CD2"/>
    <w:rsid w:val="00692DF0"/>
    <w:rsid w:val="00696616"/>
    <w:rsid w:val="00696F11"/>
    <w:rsid w:val="00697ECB"/>
    <w:rsid w:val="006A141D"/>
    <w:rsid w:val="006A4C24"/>
    <w:rsid w:val="006A5F24"/>
    <w:rsid w:val="006A6FE7"/>
    <w:rsid w:val="006B0915"/>
    <w:rsid w:val="006B0B08"/>
    <w:rsid w:val="006B10A8"/>
    <w:rsid w:val="006B119B"/>
    <w:rsid w:val="006B1F6C"/>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43D3"/>
    <w:rsid w:val="006E44A9"/>
    <w:rsid w:val="006E6519"/>
    <w:rsid w:val="006E6C97"/>
    <w:rsid w:val="006F037C"/>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51DB"/>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730"/>
    <w:rsid w:val="00787152"/>
    <w:rsid w:val="00790C1A"/>
    <w:rsid w:val="00790E52"/>
    <w:rsid w:val="00792E46"/>
    <w:rsid w:val="007931B7"/>
    <w:rsid w:val="007936F6"/>
    <w:rsid w:val="00793C97"/>
    <w:rsid w:val="00794B18"/>
    <w:rsid w:val="00795CE3"/>
    <w:rsid w:val="007A0DD5"/>
    <w:rsid w:val="007A1495"/>
    <w:rsid w:val="007A1ABA"/>
    <w:rsid w:val="007A25A8"/>
    <w:rsid w:val="007A2B3C"/>
    <w:rsid w:val="007A3ECB"/>
    <w:rsid w:val="007A452B"/>
    <w:rsid w:val="007A4CC0"/>
    <w:rsid w:val="007B0E0D"/>
    <w:rsid w:val="007B29E4"/>
    <w:rsid w:val="007B448D"/>
    <w:rsid w:val="007B5135"/>
    <w:rsid w:val="007B6958"/>
    <w:rsid w:val="007B6A33"/>
    <w:rsid w:val="007C0D88"/>
    <w:rsid w:val="007C4872"/>
    <w:rsid w:val="007C4D7C"/>
    <w:rsid w:val="007C4FC7"/>
    <w:rsid w:val="007C5134"/>
    <w:rsid w:val="007C65BA"/>
    <w:rsid w:val="007C6CD3"/>
    <w:rsid w:val="007C7AD1"/>
    <w:rsid w:val="007D1DBD"/>
    <w:rsid w:val="007D2543"/>
    <w:rsid w:val="007D4645"/>
    <w:rsid w:val="007D4E0F"/>
    <w:rsid w:val="007D55DA"/>
    <w:rsid w:val="007D6D8D"/>
    <w:rsid w:val="007D7972"/>
    <w:rsid w:val="007E1BC3"/>
    <w:rsid w:val="007E32FC"/>
    <w:rsid w:val="007E503E"/>
    <w:rsid w:val="007E52F1"/>
    <w:rsid w:val="007E646F"/>
    <w:rsid w:val="007E6F05"/>
    <w:rsid w:val="007E7DD4"/>
    <w:rsid w:val="007F065E"/>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4030"/>
    <w:rsid w:val="008C508D"/>
    <w:rsid w:val="008C74CA"/>
    <w:rsid w:val="008D04B8"/>
    <w:rsid w:val="008D1236"/>
    <w:rsid w:val="008D3397"/>
    <w:rsid w:val="008D38EC"/>
    <w:rsid w:val="008D6A69"/>
    <w:rsid w:val="008E041A"/>
    <w:rsid w:val="008E20B4"/>
    <w:rsid w:val="008E215F"/>
    <w:rsid w:val="008E4231"/>
    <w:rsid w:val="008E586E"/>
    <w:rsid w:val="008E5A8E"/>
    <w:rsid w:val="008F05C2"/>
    <w:rsid w:val="008F52F4"/>
    <w:rsid w:val="008F5597"/>
    <w:rsid w:val="008F6A42"/>
    <w:rsid w:val="008F7D31"/>
    <w:rsid w:val="009000E7"/>
    <w:rsid w:val="00900115"/>
    <w:rsid w:val="009007FC"/>
    <w:rsid w:val="00900A88"/>
    <w:rsid w:val="0090282D"/>
    <w:rsid w:val="009031EC"/>
    <w:rsid w:val="00903BE5"/>
    <w:rsid w:val="0090457F"/>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049B"/>
    <w:rsid w:val="00930FEF"/>
    <w:rsid w:val="00931E3D"/>
    <w:rsid w:val="0094005B"/>
    <w:rsid w:val="0094041C"/>
    <w:rsid w:val="00943709"/>
    <w:rsid w:val="00943B62"/>
    <w:rsid w:val="009443A6"/>
    <w:rsid w:val="0094607A"/>
    <w:rsid w:val="00947785"/>
    <w:rsid w:val="009541EB"/>
    <w:rsid w:val="00956CD1"/>
    <w:rsid w:val="00962084"/>
    <w:rsid w:val="009623FA"/>
    <w:rsid w:val="00962A6C"/>
    <w:rsid w:val="00963968"/>
    <w:rsid w:val="00964069"/>
    <w:rsid w:val="00964969"/>
    <w:rsid w:val="00964A87"/>
    <w:rsid w:val="00965794"/>
    <w:rsid w:val="00965870"/>
    <w:rsid w:val="00970BC4"/>
    <w:rsid w:val="0097228A"/>
    <w:rsid w:val="00973D8D"/>
    <w:rsid w:val="00974D4D"/>
    <w:rsid w:val="009752F6"/>
    <w:rsid w:val="009758DB"/>
    <w:rsid w:val="009768B5"/>
    <w:rsid w:val="0097728D"/>
    <w:rsid w:val="0097768E"/>
    <w:rsid w:val="00983201"/>
    <w:rsid w:val="009837FD"/>
    <w:rsid w:val="00983CC9"/>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1397"/>
    <w:rsid w:val="009C2394"/>
    <w:rsid w:val="009C4221"/>
    <w:rsid w:val="009D0710"/>
    <w:rsid w:val="009D1ED8"/>
    <w:rsid w:val="009D4A0A"/>
    <w:rsid w:val="009D56DE"/>
    <w:rsid w:val="009D6659"/>
    <w:rsid w:val="009D7058"/>
    <w:rsid w:val="009D70CC"/>
    <w:rsid w:val="009E0336"/>
    <w:rsid w:val="009E10EC"/>
    <w:rsid w:val="009E3A9A"/>
    <w:rsid w:val="009E42B9"/>
    <w:rsid w:val="009E5841"/>
    <w:rsid w:val="009F2C60"/>
    <w:rsid w:val="009F50FA"/>
    <w:rsid w:val="009F7441"/>
    <w:rsid w:val="00A022CF"/>
    <w:rsid w:val="00A022D9"/>
    <w:rsid w:val="00A033BB"/>
    <w:rsid w:val="00A0357E"/>
    <w:rsid w:val="00A045F4"/>
    <w:rsid w:val="00A05B4F"/>
    <w:rsid w:val="00A063DF"/>
    <w:rsid w:val="00A10387"/>
    <w:rsid w:val="00A14A52"/>
    <w:rsid w:val="00A16715"/>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2C8"/>
    <w:rsid w:val="00A57F60"/>
    <w:rsid w:val="00A61A6E"/>
    <w:rsid w:val="00A65B8D"/>
    <w:rsid w:val="00A67424"/>
    <w:rsid w:val="00A703CE"/>
    <w:rsid w:val="00A70575"/>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4675"/>
    <w:rsid w:val="00AA512C"/>
    <w:rsid w:val="00AB00F1"/>
    <w:rsid w:val="00AB0764"/>
    <w:rsid w:val="00AB10A6"/>
    <w:rsid w:val="00AB19C6"/>
    <w:rsid w:val="00AB1E66"/>
    <w:rsid w:val="00AB1E7B"/>
    <w:rsid w:val="00AB4741"/>
    <w:rsid w:val="00AB628D"/>
    <w:rsid w:val="00AB641E"/>
    <w:rsid w:val="00AB6F46"/>
    <w:rsid w:val="00AC1530"/>
    <w:rsid w:val="00AC1D64"/>
    <w:rsid w:val="00AC2BA3"/>
    <w:rsid w:val="00AD1E25"/>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649"/>
    <w:rsid w:val="00B177F2"/>
    <w:rsid w:val="00B216FE"/>
    <w:rsid w:val="00B219F8"/>
    <w:rsid w:val="00B244A4"/>
    <w:rsid w:val="00B26CCB"/>
    <w:rsid w:val="00B305FF"/>
    <w:rsid w:val="00B31114"/>
    <w:rsid w:val="00B31B5C"/>
    <w:rsid w:val="00B33E66"/>
    <w:rsid w:val="00B34D98"/>
    <w:rsid w:val="00B35442"/>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8C1"/>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E72"/>
    <w:rsid w:val="00B87E94"/>
    <w:rsid w:val="00B90565"/>
    <w:rsid w:val="00B90D57"/>
    <w:rsid w:val="00B90ED9"/>
    <w:rsid w:val="00B91207"/>
    <w:rsid w:val="00B94DC9"/>
    <w:rsid w:val="00B95F1A"/>
    <w:rsid w:val="00BA05BF"/>
    <w:rsid w:val="00BA0DB3"/>
    <w:rsid w:val="00BA0E31"/>
    <w:rsid w:val="00BA1726"/>
    <w:rsid w:val="00BA212A"/>
    <w:rsid w:val="00BA2D8E"/>
    <w:rsid w:val="00BA2FEE"/>
    <w:rsid w:val="00BA42E0"/>
    <w:rsid w:val="00BA6F5F"/>
    <w:rsid w:val="00BB1D5F"/>
    <w:rsid w:val="00BB1EC2"/>
    <w:rsid w:val="00BB2686"/>
    <w:rsid w:val="00BB38FE"/>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BF64D3"/>
    <w:rsid w:val="00C00D17"/>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AA3"/>
    <w:rsid w:val="00C60EB1"/>
    <w:rsid w:val="00C6230B"/>
    <w:rsid w:val="00C625C8"/>
    <w:rsid w:val="00C644BE"/>
    <w:rsid w:val="00C669B9"/>
    <w:rsid w:val="00C66D8A"/>
    <w:rsid w:val="00C70AD4"/>
    <w:rsid w:val="00C725E6"/>
    <w:rsid w:val="00C72D55"/>
    <w:rsid w:val="00C732C5"/>
    <w:rsid w:val="00C734EC"/>
    <w:rsid w:val="00C741BF"/>
    <w:rsid w:val="00C747C2"/>
    <w:rsid w:val="00C80261"/>
    <w:rsid w:val="00C807D6"/>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1EBE"/>
    <w:rsid w:val="00CA4E8C"/>
    <w:rsid w:val="00CA5017"/>
    <w:rsid w:val="00CA6573"/>
    <w:rsid w:val="00CA7887"/>
    <w:rsid w:val="00CB27A4"/>
    <w:rsid w:val="00CB621B"/>
    <w:rsid w:val="00CB65EC"/>
    <w:rsid w:val="00CB6E8A"/>
    <w:rsid w:val="00CB7070"/>
    <w:rsid w:val="00CC18F6"/>
    <w:rsid w:val="00CC1919"/>
    <w:rsid w:val="00CC1DB1"/>
    <w:rsid w:val="00CC7CEF"/>
    <w:rsid w:val="00CD0468"/>
    <w:rsid w:val="00CD1491"/>
    <w:rsid w:val="00CD3C69"/>
    <w:rsid w:val="00CD64DE"/>
    <w:rsid w:val="00CD6EC0"/>
    <w:rsid w:val="00CE2D84"/>
    <w:rsid w:val="00CE4666"/>
    <w:rsid w:val="00CE50AD"/>
    <w:rsid w:val="00CE5195"/>
    <w:rsid w:val="00CE51E4"/>
    <w:rsid w:val="00CE54EC"/>
    <w:rsid w:val="00CF0579"/>
    <w:rsid w:val="00CF10FC"/>
    <w:rsid w:val="00CF1E45"/>
    <w:rsid w:val="00CF34B7"/>
    <w:rsid w:val="00CF5631"/>
    <w:rsid w:val="00CF6971"/>
    <w:rsid w:val="00CF7993"/>
    <w:rsid w:val="00CF7DA4"/>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14B1"/>
    <w:rsid w:val="00D5482F"/>
    <w:rsid w:val="00D564D9"/>
    <w:rsid w:val="00D566F5"/>
    <w:rsid w:val="00D56752"/>
    <w:rsid w:val="00D56F54"/>
    <w:rsid w:val="00D5720A"/>
    <w:rsid w:val="00D62375"/>
    <w:rsid w:val="00D63A6F"/>
    <w:rsid w:val="00D6413B"/>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4E15"/>
    <w:rsid w:val="00DA560D"/>
    <w:rsid w:val="00DA590A"/>
    <w:rsid w:val="00DA72FF"/>
    <w:rsid w:val="00DB03CE"/>
    <w:rsid w:val="00DB0766"/>
    <w:rsid w:val="00DB1E4C"/>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64B"/>
    <w:rsid w:val="00DE06FD"/>
    <w:rsid w:val="00DE2129"/>
    <w:rsid w:val="00DE28BF"/>
    <w:rsid w:val="00DE2C51"/>
    <w:rsid w:val="00DE44E9"/>
    <w:rsid w:val="00DE5048"/>
    <w:rsid w:val="00DE6690"/>
    <w:rsid w:val="00DE7637"/>
    <w:rsid w:val="00DF09B8"/>
    <w:rsid w:val="00DF0DC1"/>
    <w:rsid w:val="00DF15EE"/>
    <w:rsid w:val="00DF2313"/>
    <w:rsid w:val="00DF53EA"/>
    <w:rsid w:val="00DF61CB"/>
    <w:rsid w:val="00DF6474"/>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3A7"/>
    <w:rsid w:val="00E164E7"/>
    <w:rsid w:val="00E16654"/>
    <w:rsid w:val="00E173C0"/>
    <w:rsid w:val="00E21CDD"/>
    <w:rsid w:val="00E22360"/>
    <w:rsid w:val="00E23669"/>
    <w:rsid w:val="00E24702"/>
    <w:rsid w:val="00E25425"/>
    <w:rsid w:val="00E25B8B"/>
    <w:rsid w:val="00E25C3E"/>
    <w:rsid w:val="00E2626E"/>
    <w:rsid w:val="00E26B8D"/>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459"/>
    <w:rsid w:val="00E66951"/>
    <w:rsid w:val="00E67D3C"/>
    <w:rsid w:val="00E7006D"/>
    <w:rsid w:val="00E705F5"/>
    <w:rsid w:val="00E7154B"/>
    <w:rsid w:val="00E74076"/>
    <w:rsid w:val="00E75BB5"/>
    <w:rsid w:val="00E77490"/>
    <w:rsid w:val="00E808D6"/>
    <w:rsid w:val="00E80E37"/>
    <w:rsid w:val="00E8107F"/>
    <w:rsid w:val="00E8196A"/>
    <w:rsid w:val="00E82D30"/>
    <w:rsid w:val="00E83450"/>
    <w:rsid w:val="00E8389D"/>
    <w:rsid w:val="00E86739"/>
    <w:rsid w:val="00E905D5"/>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1577"/>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2230"/>
    <w:rsid w:val="00EF34F4"/>
    <w:rsid w:val="00EF4015"/>
    <w:rsid w:val="00EF5519"/>
    <w:rsid w:val="00EF76DE"/>
    <w:rsid w:val="00F0156D"/>
    <w:rsid w:val="00F02DE0"/>
    <w:rsid w:val="00F0430C"/>
    <w:rsid w:val="00F053FC"/>
    <w:rsid w:val="00F059C8"/>
    <w:rsid w:val="00F06CB3"/>
    <w:rsid w:val="00F079CC"/>
    <w:rsid w:val="00F07A83"/>
    <w:rsid w:val="00F07F37"/>
    <w:rsid w:val="00F07FC2"/>
    <w:rsid w:val="00F117D4"/>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9F9"/>
    <w:rsid w:val="00F57E57"/>
    <w:rsid w:val="00F60BA4"/>
    <w:rsid w:val="00F62D24"/>
    <w:rsid w:val="00F6398A"/>
    <w:rsid w:val="00F668B1"/>
    <w:rsid w:val="00F72E7B"/>
    <w:rsid w:val="00F762D5"/>
    <w:rsid w:val="00F76381"/>
    <w:rsid w:val="00F7668F"/>
    <w:rsid w:val="00F81765"/>
    <w:rsid w:val="00F81926"/>
    <w:rsid w:val="00F82010"/>
    <w:rsid w:val="00F82312"/>
    <w:rsid w:val="00F83C99"/>
    <w:rsid w:val="00F841EA"/>
    <w:rsid w:val="00F8426B"/>
    <w:rsid w:val="00F85615"/>
    <w:rsid w:val="00F8568D"/>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240C"/>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36BC"/>
    <w:rsid w:val="00FF481A"/>
    <w:rsid w:val="00FF4C32"/>
    <w:rsid w:val="00FF4E3B"/>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4fondo">
    <w:name w:val="corte4 fondo"/>
    <w:basedOn w:val="Normal"/>
    <w:link w:val="corte4fondoCar"/>
    <w:qFormat/>
    <w:rsid w:val="00EC1577"/>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EC1577"/>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7054-AD4C-47DC-8851-1E9648E5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2052</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21</cp:revision>
  <cp:lastPrinted>2019-11-12T18:02:00Z</cp:lastPrinted>
  <dcterms:created xsi:type="dcterms:W3CDTF">2019-10-16T18:21:00Z</dcterms:created>
  <dcterms:modified xsi:type="dcterms:W3CDTF">2020-01-15T14:36:00Z</dcterms:modified>
</cp:coreProperties>
</file>