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CF1B1B" w:rsidRPr="00CF1B1B" w:rsidTr="00485ADC">
        <w:tc>
          <w:tcPr>
            <w:tcW w:w="2356" w:type="dxa"/>
          </w:tcPr>
          <w:p w:rsidR="00CF1B1B" w:rsidRPr="00CF1B1B" w:rsidRDefault="00CF1B1B" w:rsidP="00485ADC">
            <w:pPr>
              <w:rPr>
                <w:rFonts w:ascii="Arial" w:hAnsi="Arial" w:cs="Arial"/>
                <w:b/>
                <w:sz w:val="26"/>
                <w:szCs w:val="26"/>
              </w:rPr>
            </w:pPr>
            <w:r w:rsidRPr="00CF1B1B">
              <w:rPr>
                <w:rFonts w:ascii="Arial" w:hAnsi="Arial" w:cs="Arial"/>
                <w:b/>
                <w:sz w:val="26"/>
                <w:szCs w:val="26"/>
              </w:rPr>
              <w:t xml:space="preserve">     </w:t>
            </w:r>
          </w:p>
        </w:tc>
        <w:tc>
          <w:tcPr>
            <w:tcW w:w="7426" w:type="dxa"/>
          </w:tcPr>
          <w:p w:rsidR="00CF1B1B" w:rsidRPr="00CF1B1B" w:rsidRDefault="00CF1B1B" w:rsidP="00485ADC">
            <w:pPr>
              <w:tabs>
                <w:tab w:val="left" w:pos="3103"/>
              </w:tabs>
              <w:ind w:left="2394"/>
              <w:jc w:val="both"/>
              <w:rPr>
                <w:rFonts w:ascii="Arial" w:hAnsi="Arial" w:cs="Arial"/>
                <w:b/>
                <w:i/>
                <w:iCs/>
                <w:caps/>
                <w:sz w:val="26"/>
                <w:szCs w:val="26"/>
              </w:rPr>
            </w:pPr>
            <w:r w:rsidRPr="00CF1B1B">
              <w:rPr>
                <w:rFonts w:ascii="Arial" w:hAnsi="Arial" w:cs="Arial"/>
                <w:b/>
                <w:i/>
                <w:iCs/>
                <w:caps/>
                <w:sz w:val="26"/>
                <w:szCs w:val="26"/>
              </w:rPr>
              <w:t xml:space="preserve">                       </w:t>
            </w:r>
          </w:p>
          <w:p w:rsidR="00CF1B1B" w:rsidRPr="00CF1B1B" w:rsidRDefault="00CF1B1B" w:rsidP="00CF1B1B">
            <w:pPr>
              <w:tabs>
                <w:tab w:val="left" w:pos="3103"/>
              </w:tabs>
              <w:ind w:left="1827" w:right="497"/>
              <w:jc w:val="both"/>
              <w:rPr>
                <w:rFonts w:ascii="Arial" w:hAnsi="Arial" w:cs="Arial"/>
                <w:b/>
                <w:iCs/>
                <w:caps/>
                <w:sz w:val="26"/>
                <w:szCs w:val="26"/>
              </w:rPr>
            </w:pPr>
            <w:r w:rsidRPr="00CF1B1B">
              <w:rPr>
                <w:rFonts w:ascii="Arial" w:hAnsi="Arial" w:cs="Arial"/>
                <w:b/>
                <w:iCs/>
                <w:caps/>
                <w:sz w:val="26"/>
                <w:szCs w:val="26"/>
              </w:rPr>
              <w:t>SALA SUPERIOR DEL TRIBUNAL DE JUSTICIA ADMINISTRATIVA DEL ESTADO DE OAXACA.</w:t>
            </w:r>
          </w:p>
          <w:p w:rsidR="00CF1B1B" w:rsidRPr="00CF1B1B" w:rsidRDefault="00CF1B1B" w:rsidP="00CF1B1B">
            <w:pPr>
              <w:pStyle w:val="Encabezado"/>
              <w:tabs>
                <w:tab w:val="clear" w:pos="4252"/>
              </w:tabs>
              <w:ind w:left="1827" w:right="497"/>
              <w:jc w:val="both"/>
              <w:rPr>
                <w:rFonts w:ascii="Arial" w:hAnsi="Arial" w:cs="Arial"/>
                <w:b/>
                <w:iCs/>
                <w:caps/>
                <w:sz w:val="26"/>
                <w:szCs w:val="26"/>
                <w:lang w:val="es-PE"/>
              </w:rPr>
            </w:pPr>
            <w:r w:rsidRPr="00CF1B1B">
              <w:rPr>
                <w:rFonts w:ascii="Arial" w:hAnsi="Arial" w:cs="Arial"/>
                <w:b/>
                <w:iCs/>
                <w:caps/>
                <w:sz w:val="26"/>
                <w:szCs w:val="26"/>
                <w:lang w:val="es-PE"/>
              </w:rPr>
              <w:t xml:space="preserve">               </w:t>
            </w:r>
          </w:p>
          <w:p w:rsidR="00CF1B1B" w:rsidRPr="00CF1B1B" w:rsidRDefault="00CF1B1B" w:rsidP="00CF1B1B">
            <w:pPr>
              <w:pStyle w:val="Encabezado"/>
              <w:tabs>
                <w:tab w:val="clear" w:pos="4252"/>
              </w:tabs>
              <w:ind w:left="1827" w:right="497"/>
              <w:jc w:val="both"/>
              <w:rPr>
                <w:rFonts w:ascii="Arial" w:hAnsi="Arial" w:cs="Arial"/>
                <w:b/>
                <w:iCs/>
                <w:caps/>
                <w:sz w:val="26"/>
                <w:szCs w:val="26"/>
                <w:lang w:val="es-PE"/>
              </w:rPr>
            </w:pPr>
            <w:r w:rsidRPr="00CF1B1B">
              <w:rPr>
                <w:rFonts w:ascii="Arial" w:hAnsi="Arial" w:cs="Arial"/>
                <w:b/>
                <w:iCs/>
                <w:caps/>
                <w:sz w:val="26"/>
                <w:szCs w:val="26"/>
                <w:lang w:val="es-PE"/>
              </w:rPr>
              <w:t xml:space="preserve">RECURSO DE REVISIÓN:   0465/2018 </w:t>
            </w:r>
          </w:p>
          <w:p w:rsidR="00CF1B1B" w:rsidRPr="00CF1B1B" w:rsidRDefault="00CF1B1B" w:rsidP="00CF1B1B">
            <w:pPr>
              <w:pStyle w:val="Encabezado"/>
              <w:tabs>
                <w:tab w:val="clear" w:pos="4252"/>
              </w:tabs>
              <w:ind w:left="1827" w:right="497"/>
              <w:jc w:val="both"/>
              <w:rPr>
                <w:rFonts w:ascii="Arial" w:hAnsi="Arial" w:cs="Arial"/>
                <w:b/>
                <w:iCs/>
                <w:caps/>
                <w:sz w:val="26"/>
                <w:szCs w:val="26"/>
                <w:lang w:val="es-PE"/>
              </w:rPr>
            </w:pPr>
          </w:p>
          <w:p w:rsidR="00CF1B1B" w:rsidRPr="00CF1B1B" w:rsidRDefault="00CF1B1B" w:rsidP="00CF1B1B">
            <w:pPr>
              <w:pStyle w:val="Encabezado"/>
              <w:tabs>
                <w:tab w:val="clear" w:pos="4252"/>
              </w:tabs>
              <w:ind w:left="1827" w:right="497"/>
              <w:jc w:val="both"/>
              <w:rPr>
                <w:rFonts w:ascii="Arial" w:hAnsi="Arial" w:cs="Arial"/>
                <w:b/>
                <w:iCs/>
                <w:caps/>
                <w:sz w:val="26"/>
                <w:szCs w:val="26"/>
                <w:lang w:val="es-PE"/>
              </w:rPr>
            </w:pPr>
            <w:r w:rsidRPr="00CF1B1B">
              <w:rPr>
                <w:rFonts w:ascii="Arial" w:hAnsi="Arial" w:cs="Arial"/>
                <w:b/>
                <w:iCs/>
                <w:caps/>
                <w:sz w:val="26"/>
                <w:szCs w:val="26"/>
                <w:lang w:val="es-PE"/>
              </w:rPr>
              <w:t>EXPEDIENTE: 0068/2016 DE LA SÉPTIMA SALA UNITARIA DE PRIMERA INSTANCIA</w:t>
            </w:r>
          </w:p>
          <w:p w:rsidR="00CF1B1B" w:rsidRPr="00CF1B1B" w:rsidRDefault="00CF1B1B" w:rsidP="00CF1B1B">
            <w:pPr>
              <w:pStyle w:val="Encabezado"/>
              <w:tabs>
                <w:tab w:val="clear" w:pos="4252"/>
              </w:tabs>
              <w:ind w:left="1827" w:right="497"/>
              <w:jc w:val="both"/>
              <w:rPr>
                <w:rFonts w:ascii="Arial" w:hAnsi="Arial" w:cs="Arial"/>
                <w:b/>
                <w:iCs/>
                <w:caps/>
                <w:sz w:val="26"/>
                <w:szCs w:val="26"/>
                <w:lang w:val="es-PE"/>
              </w:rPr>
            </w:pPr>
            <w:r w:rsidRPr="00CF1B1B">
              <w:rPr>
                <w:rFonts w:ascii="Arial" w:hAnsi="Arial" w:cs="Arial"/>
                <w:b/>
                <w:iCs/>
                <w:caps/>
                <w:sz w:val="26"/>
                <w:szCs w:val="26"/>
                <w:lang w:val="es-PE"/>
              </w:rPr>
              <w:t xml:space="preserve">       </w:t>
            </w:r>
          </w:p>
          <w:p w:rsidR="00CF1B1B" w:rsidRPr="00CF1B1B" w:rsidRDefault="00CF1B1B" w:rsidP="00CF1B1B">
            <w:pPr>
              <w:pStyle w:val="Encabezado"/>
              <w:tabs>
                <w:tab w:val="clear" w:pos="4252"/>
              </w:tabs>
              <w:ind w:left="1827" w:right="497"/>
              <w:jc w:val="both"/>
              <w:rPr>
                <w:rFonts w:ascii="Arial" w:hAnsi="Arial" w:cs="Arial"/>
                <w:b/>
                <w:iCs/>
                <w:caps/>
                <w:sz w:val="26"/>
                <w:szCs w:val="26"/>
                <w:lang w:val="es-PE"/>
              </w:rPr>
            </w:pPr>
            <w:r w:rsidRPr="00CF1B1B">
              <w:rPr>
                <w:rFonts w:ascii="Arial" w:hAnsi="Arial" w:cs="Arial"/>
                <w:b/>
                <w:iCs/>
                <w:caps/>
                <w:sz w:val="26"/>
                <w:szCs w:val="26"/>
                <w:lang w:val="es-PE"/>
              </w:rPr>
              <w:t>ponente: magistrado HUGO VILLEGAS AQUINO</w:t>
            </w:r>
          </w:p>
        </w:tc>
      </w:tr>
      <w:tr w:rsidR="00CF1B1B" w:rsidRPr="00CF1B1B" w:rsidTr="00485ADC">
        <w:tc>
          <w:tcPr>
            <w:tcW w:w="2356" w:type="dxa"/>
          </w:tcPr>
          <w:p w:rsidR="00CF1B1B" w:rsidRPr="00CF1B1B" w:rsidRDefault="00CF1B1B" w:rsidP="00485ADC">
            <w:pPr>
              <w:rPr>
                <w:rFonts w:ascii="Arial" w:hAnsi="Arial" w:cs="Arial"/>
                <w:b/>
                <w:sz w:val="26"/>
                <w:szCs w:val="26"/>
              </w:rPr>
            </w:pPr>
          </w:p>
        </w:tc>
        <w:tc>
          <w:tcPr>
            <w:tcW w:w="7426" w:type="dxa"/>
          </w:tcPr>
          <w:p w:rsidR="00CF1B1B" w:rsidRPr="00CF1B1B" w:rsidRDefault="00CF1B1B" w:rsidP="00485ADC">
            <w:pPr>
              <w:tabs>
                <w:tab w:val="left" w:pos="3103"/>
              </w:tabs>
              <w:ind w:left="2678" w:hanging="2961"/>
              <w:jc w:val="both"/>
              <w:rPr>
                <w:rFonts w:ascii="Arial" w:hAnsi="Arial" w:cs="Arial"/>
                <w:b/>
                <w:iCs/>
                <w:caps/>
                <w:sz w:val="26"/>
                <w:szCs w:val="26"/>
              </w:rPr>
            </w:pPr>
            <w:r w:rsidRPr="00CF1B1B">
              <w:rPr>
                <w:rFonts w:ascii="Arial" w:hAnsi="Arial" w:cs="Arial"/>
                <w:b/>
                <w:i/>
                <w:iCs/>
                <w:caps/>
                <w:sz w:val="26"/>
                <w:szCs w:val="26"/>
              </w:rPr>
              <w:t xml:space="preserve">                                          </w:t>
            </w:r>
          </w:p>
        </w:tc>
      </w:tr>
      <w:tr w:rsidR="00CF1B1B" w:rsidRPr="00CF1B1B" w:rsidTr="00485ADC">
        <w:tc>
          <w:tcPr>
            <w:tcW w:w="2356" w:type="dxa"/>
          </w:tcPr>
          <w:p w:rsidR="00CF1B1B" w:rsidRPr="00CF1B1B" w:rsidRDefault="00CF1B1B" w:rsidP="00485ADC">
            <w:pPr>
              <w:rPr>
                <w:rFonts w:ascii="Arial" w:hAnsi="Arial" w:cs="Arial"/>
                <w:b/>
                <w:sz w:val="26"/>
                <w:szCs w:val="26"/>
              </w:rPr>
            </w:pPr>
          </w:p>
        </w:tc>
        <w:tc>
          <w:tcPr>
            <w:tcW w:w="7426" w:type="dxa"/>
          </w:tcPr>
          <w:p w:rsidR="00CF1B1B" w:rsidRPr="00CF1B1B" w:rsidRDefault="00CF1B1B" w:rsidP="00485ADC">
            <w:pPr>
              <w:tabs>
                <w:tab w:val="left" w:pos="3103"/>
              </w:tabs>
              <w:ind w:left="2961" w:hanging="2961"/>
              <w:jc w:val="both"/>
              <w:rPr>
                <w:rFonts w:ascii="Arial" w:hAnsi="Arial" w:cs="Arial"/>
                <w:b/>
                <w:i/>
                <w:iCs/>
                <w:caps/>
                <w:sz w:val="26"/>
                <w:szCs w:val="26"/>
              </w:rPr>
            </w:pPr>
          </w:p>
        </w:tc>
      </w:tr>
    </w:tbl>
    <w:p w:rsidR="00CF1B1B" w:rsidRPr="00CF1B1B" w:rsidRDefault="00CF1B1B" w:rsidP="00CF1B1B">
      <w:pPr>
        <w:spacing w:line="360" w:lineRule="auto"/>
        <w:jc w:val="both"/>
        <w:rPr>
          <w:rFonts w:ascii="Arial" w:hAnsi="Arial" w:cs="Arial"/>
          <w:b/>
          <w:sz w:val="26"/>
          <w:szCs w:val="26"/>
        </w:rPr>
      </w:pPr>
      <w:r w:rsidRPr="00CF1B1B">
        <w:rPr>
          <w:rFonts w:ascii="Arial" w:hAnsi="Arial" w:cs="Arial"/>
          <w:b/>
          <w:sz w:val="26"/>
          <w:szCs w:val="26"/>
        </w:rPr>
        <w:t xml:space="preserve">OAXACA DE JUÁREZ, OAXACA, VEINTISIETE DE JUNIO DE DOS MIL DIECINUEVE. </w:t>
      </w:r>
    </w:p>
    <w:p w:rsidR="00CF1B1B" w:rsidRPr="00CF1B1B" w:rsidRDefault="00CF1B1B" w:rsidP="00FE0694">
      <w:pPr>
        <w:spacing w:line="360" w:lineRule="auto"/>
        <w:ind w:firstLine="708"/>
        <w:jc w:val="both"/>
        <w:rPr>
          <w:rFonts w:ascii="Arial" w:hAnsi="Arial" w:cs="Arial"/>
          <w:sz w:val="26"/>
          <w:szCs w:val="26"/>
        </w:rPr>
      </w:pPr>
      <w:r w:rsidRPr="00CF1B1B">
        <w:rPr>
          <w:rFonts w:ascii="Arial" w:hAnsi="Arial" w:cs="Arial"/>
          <w:sz w:val="26"/>
          <w:szCs w:val="26"/>
        </w:rPr>
        <w:t xml:space="preserve">Por recibido el Cuaderno de Revisión </w:t>
      </w:r>
      <w:r w:rsidRPr="00CF1B1B">
        <w:rPr>
          <w:rFonts w:ascii="Arial" w:hAnsi="Arial" w:cs="Arial"/>
          <w:b/>
          <w:sz w:val="26"/>
          <w:szCs w:val="26"/>
        </w:rPr>
        <w:t>0465/2018</w:t>
      </w:r>
      <w:r w:rsidRPr="00CF1B1B">
        <w:rPr>
          <w:rFonts w:ascii="Arial" w:hAnsi="Arial" w:cs="Arial"/>
          <w:sz w:val="26"/>
          <w:szCs w:val="26"/>
        </w:rPr>
        <w:t xml:space="preserve">, que remite la Secretaría General de Acuerdos, con motivo del recurso de revisión interpuesto por </w:t>
      </w:r>
      <w:r w:rsidRPr="00CF1B1B">
        <w:rPr>
          <w:rFonts w:ascii="Arial" w:hAnsi="Arial" w:cs="Arial"/>
          <w:bCs/>
          <w:sz w:val="26"/>
          <w:szCs w:val="26"/>
        </w:rPr>
        <w:t xml:space="preserve">la </w:t>
      </w:r>
      <w:r w:rsidRPr="00CF1B1B">
        <w:rPr>
          <w:rFonts w:ascii="Arial" w:hAnsi="Arial" w:cs="Arial"/>
          <w:b/>
          <w:sz w:val="26"/>
          <w:szCs w:val="26"/>
        </w:rPr>
        <w:t xml:space="preserve">JEFA DEL DEPARTAMENTO DE CONTROL DE PERSONAL, ADSCRITA A LA DIRECCIÓN DE RECURSOS HUMANOS Y A LA DIRECTORA DE RECURSOS HUMANOS DEL MUNICIPIO DE OAXACA DE JUÁREZ, OAXACA </w:t>
      </w:r>
      <w:r w:rsidRPr="00CF1B1B">
        <w:rPr>
          <w:rFonts w:ascii="Arial" w:hAnsi="Arial" w:cs="Arial"/>
          <w:bCs/>
          <w:sz w:val="26"/>
          <w:szCs w:val="26"/>
        </w:rPr>
        <w:t>y como autoridad demandada</w:t>
      </w:r>
      <w:r w:rsidRPr="00CF1B1B">
        <w:rPr>
          <w:rFonts w:ascii="Arial" w:hAnsi="Arial" w:cs="Arial"/>
          <w:sz w:val="26"/>
          <w:szCs w:val="26"/>
        </w:rPr>
        <w:t>, en contra de  la parte relativa del proveído de 7 siete de noviembre de 2018 dos mil dieciocho dictado por la Séptima Sala Unitaria del Tribunal de Justicia Administrativa del Estado de Oaxaca</w:t>
      </w:r>
      <w:r w:rsidR="00FE0694">
        <w:rPr>
          <w:rFonts w:ascii="Arial" w:hAnsi="Arial" w:cs="Arial"/>
          <w:sz w:val="26"/>
          <w:szCs w:val="26"/>
        </w:rPr>
        <w:t>,</w:t>
      </w:r>
      <w:r w:rsidRPr="00CF1B1B">
        <w:rPr>
          <w:rFonts w:ascii="Arial" w:hAnsi="Arial" w:cs="Arial"/>
          <w:sz w:val="26"/>
          <w:szCs w:val="26"/>
        </w:rPr>
        <w:t xml:space="preserve"> en el expediente </w:t>
      </w:r>
      <w:r w:rsidR="00FE0694">
        <w:rPr>
          <w:rFonts w:ascii="Arial" w:hAnsi="Arial" w:cs="Arial"/>
          <w:b/>
          <w:sz w:val="26"/>
          <w:szCs w:val="26"/>
        </w:rPr>
        <w:t>068</w:t>
      </w:r>
      <w:r w:rsidRPr="00CF1B1B">
        <w:rPr>
          <w:rFonts w:ascii="Arial" w:hAnsi="Arial" w:cs="Arial"/>
          <w:b/>
          <w:sz w:val="26"/>
          <w:szCs w:val="26"/>
        </w:rPr>
        <w:t>/2016</w:t>
      </w:r>
      <w:r w:rsidRPr="00CF1B1B">
        <w:rPr>
          <w:rFonts w:ascii="Arial" w:hAnsi="Arial" w:cs="Arial"/>
          <w:sz w:val="26"/>
          <w:szCs w:val="26"/>
        </w:rPr>
        <w:t xml:space="preserve"> de su índice, relativo al juicio de nulidad promovido por</w:t>
      </w:r>
      <w:r w:rsidRPr="00CF1B1B">
        <w:rPr>
          <w:rFonts w:ascii="Arial" w:hAnsi="Arial" w:cs="Arial"/>
          <w:b/>
          <w:sz w:val="26"/>
          <w:szCs w:val="26"/>
        </w:rPr>
        <w:t xml:space="preserve"> </w:t>
      </w:r>
      <w:r w:rsidR="001C6254">
        <w:rPr>
          <w:rFonts w:ascii="Arial" w:hAnsi="Arial" w:cs="Arial"/>
          <w:b/>
          <w:sz w:val="26"/>
          <w:szCs w:val="26"/>
        </w:rPr>
        <w:t>**********</w:t>
      </w:r>
      <w:r w:rsidRPr="00CF1B1B">
        <w:rPr>
          <w:rFonts w:ascii="Arial" w:hAnsi="Arial" w:cs="Arial"/>
          <w:sz w:val="26"/>
          <w:szCs w:val="26"/>
        </w:rPr>
        <w:t xml:space="preserve">en contra de la </w:t>
      </w:r>
      <w:r w:rsidRPr="00CF1B1B">
        <w:rPr>
          <w:rFonts w:ascii="Arial" w:hAnsi="Arial" w:cs="Arial"/>
          <w:b/>
          <w:sz w:val="26"/>
          <w:szCs w:val="26"/>
        </w:rPr>
        <w:t xml:space="preserve">RECURRENTE y otras autoridades, </w:t>
      </w:r>
      <w:r w:rsidRPr="00CF1B1B">
        <w:rPr>
          <w:rFonts w:ascii="Arial" w:hAnsi="Arial" w:cs="Arial"/>
          <w:sz w:val="26"/>
          <w:szCs w:val="26"/>
        </w:rPr>
        <w:t xml:space="preserve">por lo que con fundamento en los artículos 206 y 207 de la Ley de Justicia Administrativa para el Estado de Oaxaca, </w:t>
      </w:r>
      <w:r w:rsidR="00FE0694">
        <w:rPr>
          <w:rFonts w:ascii="Arial" w:hAnsi="Arial" w:cs="Arial"/>
          <w:sz w:val="26"/>
          <w:szCs w:val="26"/>
        </w:rPr>
        <w:t xml:space="preserve">vigente al inicio del juicio principal, </w:t>
      </w:r>
      <w:r w:rsidRPr="00CF1B1B">
        <w:rPr>
          <w:rFonts w:ascii="Arial" w:hAnsi="Arial" w:cs="Arial"/>
          <w:sz w:val="26"/>
          <w:szCs w:val="26"/>
        </w:rPr>
        <w:t>se admite.  En consecuencia, se procede a dictar resolución en los siguientes términos:</w:t>
      </w:r>
    </w:p>
    <w:p w:rsidR="00CF1B1B" w:rsidRDefault="00CF1B1B" w:rsidP="00CF1B1B">
      <w:pPr>
        <w:spacing w:line="360" w:lineRule="auto"/>
        <w:jc w:val="center"/>
        <w:rPr>
          <w:rFonts w:ascii="Arial" w:hAnsi="Arial" w:cs="Arial"/>
          <w:b/>
          <w:bCs/>
          <w:sz w:val="26"/>
          <w:szCs w:val="26"/>
        </w:rPr>
      </w:pPr>
      <w:r w:rsidRPr="00CF1B1B">
        <w:rPr>
          <w:rFonts w:ascii="Arial" w:hAnsi="Arial" w:cs="Arial"/>
          <w:b/>
          <w:bCs/>
          <w:sz w:val="26"/>
          <w:szCs w:val="26"/>
        </w:rPr>
        <w:t>R E S U L T A N D O</w:t>
      </w:r>
    </w:p>
    <w:p w:rsidR="00CF1B1B" w:rsidRPr="00CF1B1B" w:rsidRDefault="00CF1B1B" w:rsidP="00CF1B1B">
      <w:pPr>
        <w:spacing w:line="360" w:lineRule="auto"/>
        <w:jc w:val="center"/>
        <w:rPr>
          <w:rFonts w:ascii="Arial" w:hAnsi="Arial" w:cs="Arial"/>
          <w:b/>
          <w:bCs/>
          <w:sz w:val="26"/>
          <w:szCs w:val="26"/>
        </w:rPr>
      </w:pPr>
    </w:p>
    <w:p w:rsidR="00CF1B1B" w:rsidRDefault="00CF1B1B" w:rsidP="00CF1B1B">
      <w:pPr>
        <w:spacing w:line="360" w:lineRule="auto"/>
        <w:ind w:firstLine="709"/>
        <w:jc w:val="both"/>
        <w:rPr>
          <w:rFonts w:ascii="Arial" w:hAnsi="Arial" w:cs="Arial"/>
          <w:sz w:val="26"/>
          <w:szCs w:val="26"/>
        </w:rPr>
      </w:pPr>
      <w:r w:rsidRPr="00CF1B1B">
        <w:rPr>
          <w:rFonts w:ascii="Arial" w:hAnsi="Arial" w:cs="Arial"/>
          <w:b/>
          <w:bCs/>
          <w:sz w:val="26"/>
          <w:szCs w:val="26"/>
        </w:rPr>
        <w:t xml:space="preserve">PRIMERO. </w:t>
      </w:r>
      <w:r w:rsidRPr="00CF1B1B">
        <w:rPr>
          <w:rFonts w:ascii="Arial" w:hAnsi="Arial" w:cs="Arial"/>
          <w:sz w:val="26"/>
          <w:szCs w:val="26"/>
        </w:rPr>
        <w:t>Inconforme con la parte relativa del proveído de 7 siete de noviembre de  2018 dos mil dieciocho</w:t>
      </w:r>
      <w:r w:rsidR="00FE0694">
        <w:rPr>
          <w:rFonts w:ascii="Arial" w:hAnsi="Arial" w:cs="Arial"/>
          <w:sz w:val="26"/>
          <w:szCs w:val="26"/>
        </w:rPr>
        <w:t>,</w:t>
      </w:r>
      <w:r w:rsidRPr="00CF1B1B">
        <w:rPr>
          <w:rFonts w:ascii="Arial" w:hAnsi="Arial" w:cs="Arial"/>
          <w:sz w:val="26"/>
          <w:szCs w:val="26"/>
        </w:rPr>
        <w:t xml:space="preserve"> dictado por la Séptima Sala Unitaria de Primera Instancia, la </w:t>
      </w:r>
      <w:r w:rsidRPr="00CF1B1B">
        <w:rPr>
          <w:rFonts w:ascii="Arial" w:hAnsi="Arial" w:cs="Arial"/>
          <w:b/>
          <w:sz w:val="26"/>
          <w:szCs w:val="26"/>
        </w:rPr>
        <w:t>JEFA DEL DEPARTAMENTO DE CONTROL DE PERSONAL, ADSCRITA A LA DIRECCIÓN DE RECURSOS HUMANOS Y A LA DIRECTORA DE RECURSOS HUMANOS DEL MUNICIPIO DE OAXACA DE JUÁREZ, OAXACA</w:t>
      </w:r>
      <w:r w:rsidRPr="00CF1B1B">
        <w:rPr>
          <w:rFonts w:ascii="Arial" w:hAnsi="Arial" w:cs="Arial"/>
          <w:sz w:val="26"/>
          <w:szCs w:val="26"/>
        </w:rPr>
        <w:t xml:space="preserve">, interpone en su contra recurso de revisión. </w:t>
      </w:r>
    </w:p>
    <w:p w:rsidR="00CF1B1B" w:rsidRPr="00CF1B1B" w:rsidRDefault="00CF1B1B" w:rsidP="00CF1B1B">
      <w:pPr>
        <w:spacing w:line="360" w:lineRule="auto"/>
        <w:ind w:firstLine="709"/>
        <w:jc w:val="both"/>
        <w:rPr>
          <w:rFonts w:ascii="Arial" w:hAnsi="Arial" w:cs="Arial"/>
          <w:sz w:val="26"/>
          <w:szCs w:val="26"/>
        </w:rPr>
      </w:pPr>
    </w:p>
    <w:p w:rsidR="00CF1B1B" w:rsidRPr="00CF1B1B" w:rsidRDefault="00CF1B1B" w:rsidP="00CF1B1B">
      <w:pPr>
        <w:spacing w:line="360" w:lineRule="auto"/>
        <w:jc w:val="both"/>
        <w:rPr>
          <w:rFonts w:ascii="Arial" w:hAnsi="Arial" w:cs="Arial"/>
          <w:sz w:val="26"/>
          <w:szCs w:val="26"/>
        </w:rPr>
      </w:pPr>
      <w:r w:rsidRPr="00CF1B1B">
        <w:rPr>
          <w:rFonts w:ascii="Arial" w:hAnsi="Arial" w:cs="Arial"/>
          <w:b/>
          <w:bCs/>
          <w:sz w:val="26"/>
          <w:szCs w:val="26"/>
        </w:rPr>
        <w:lastRenderedPageBreak/>
        <w:tab/>
        <w:t xml:space="preserve">SEGUNDO.- </w:t>
      </w:r>
      <w:r w:rsidRPr="00CF1B1B">
        <w:rPr>
          <w:rFonts w:ascii="Arial" w:hAnsi="Arial" w:cs="Arial"/>
          <w:sz w:val="26"/>
          <w:szCs w:val="26"/>
        </w:rPr>
        <w:t>La parte relativa del proveído sujeto a revisión es como sigue:</w:t>
      </w:r>
    </w:p>
    <w:p w:rsidR="00CF1B1B" w:rsidRDefault="00CF1B1B" w:rsidP="00CF1B1B">
      <w:pPr>
        <w:spacing w:line="360" w:lineRule="auto"/>
        <w:ind w:left="1134" w:right="902"/>
        <w:jc w:val="both"/>
        <w:rPr>
          <w:rFonts w:ascii="Arial" w:hAnsi="Arial" w:cs="Arial"/>
          <w:bCs/>
          <w:i/>
          <w:iCs/>
        </w:rPr>
      </w:pPr>
      <w:r w:rsidRPr="00195BF9">
        <w:rPr>
          <w:rFonts w:ascii="Arial" w:hAnsi="Arial" w:cs="Arial"/>
          <w:b/>
          <w:bCs/>
          <w:i/>
          <w:iCs/>
        </w:rPr>
        <w:t>“</w:t>
      </w:r>
      <w:r>
        <w:rPr>
          <w:rFonts w:ascii="Arial" w:hAnsi="Arial" w:cs="Arial"/>
          <w:bCs/>
          <w:i/>
          <w:iCs/>
        </w:rPr>
        <w:t xml:space="preserve"> </w:t>
      </w:r>
    </w:p>
    <w:p w:rsidR="00CF1B1B" w:rsidRDefault="00CF1B1B" w:rsidP="00CF1B1B">
      <w:pPr>
        <w:spacing w:line="360" w:lineRule="auto"/>
        <w:ind w:left="1134" w:right="902"/>
        <w:jc w:val="both"/>
        <w:rPr>
          <w:rFonts w:ascii="Arial" w:hAnsi="Arial" w:cs="Arial"/>
          <w:bCs/>
          <w:i/>
          <w:iCs/>
        </w:rPr>
      </w:pPr>
      <w:r>
        <w:rPr>
          <w:rFonts w:ascii="Arial" w:hAnsi="Arial" w:cs="Arial"/>
          <w:bCs/>
          <w:i/>
          <w:iCs/>
        </w:rPr>
        <w:t>…</w:t>
      </w:r>
    </w:p>
    <w:p w:rsidR="00CF1B1B" w:rsidRDefault="00CF1B1B" w:rsidP="00CF1B1B">
      <w:pPr>
        <w:spacing w:line="360" w:lineRule="auto"/>
        <w:ind w:left="1134" w:right="902"/>
        <w:jc w:val="both"/>
        <w:rPr>
          <w:rFonts w:ascii="Arial" w:hAnsi="Arial" w:cs="Arial"/>
          <w:bCs/>
          <w:i/>
          <w:iCs/>
        </w:rPr>
      </w:pPr>
      <w:r>
        <w:rPr>
          <w:rFonts w:ascii="Arial" w:hAnsi="Arial" w:cs="Arial"/>
          <w:bCs/>
          <w:i/>
          <w:iCs/>
        </w:rPr>
        <w:t xml:space="preserve">Por otra parte, téngase a las autoridades Jefa del Departamento de Control de Personal, adscrita a la Dirección de Recursos Humanos y a la Directora de Recursos Humanos, informando la imposibilidad de dar cumplimiento a la sentencia debido a que la Dirección de Recursos Humanos no realizó solicitud de partida presupuestal al Congreso, al Coordinador de Finanzas y Administración , y a la Tesorera Municipal, que la autorización del Cabildo para solicitar al Congreso del Estado la ampliación financiera correspondiente para efectuar el pago a la actora, se encuentra supeditado a la resolución que este Tribunal dicte con motivo del recurso de revisión que ésta Sala tiene pendiente en trámite. </w:t>
      </w:r>
    </w:p>
    <w:p w:rsidR="00CF1B1B" w:rsidRDefault="00CF1B1B" w:rsidP="00CF1B1B">
      <w:pPr>
        <w:spacing w:line="360" w:lineRule="auto"/>
        <w:ind w:left="1134" w:right="902"/>
        <w:jc w:val="both"/>
        <w:rPr>
          <w:rFonts w:ascii="Arial" w:hAnsi="Arial" w:cs="Arial"/>
          <w:bCs/>
          <w:i/>
          <w:iCs/>
        </w:rPr>
      </w:pPr>
      <w:r>
        <w:rPr>
          <w:rFonts w:ascii="Arial" w:hAnsi="Arial" w:cs="Arial"/>
          <w:bCs/>
          <w:i/>
          <w:iCs/>
        </w:rPr>
        <w:t xml:space="preserve">Dígaseles a las cuatro promoventes, que las premisas ya fueron atendidas  en el acuerdo dictado el cuatro de octubre de los corrientes, mediante el cual fueron debidamente apercibidas de una multa ante el incumplimiento de lo ordenado, por lo que atenta al mandamiento de la autoridad federal, en cuanto a que se cumpla con el fallo protector, estableciendo para ello el plazo de tres días hábiles esta Juzgadora hace efectivo el apercibimiento decretado mediante proveído de cuatro de octubre de dos mil dieciocho, y en efecto, impone una multa a cada uno de los promoventes Jefa del Departamento de Control de Personal, adscrita a la Dirección de Recursos Humanos y a la Directora de Recursos Humanos, Coordinador de Finanzas y Administración, y Tesorera Municipal, todos del Municipio de Oaxaca de Juárez, consistente en </w:t>
      </w:r>
      <w:r w:rsidRPr="0010339C">
        <w:rPr>
          <w:rFonts w:ascii="Arial" w:hAnsi="Arial" w:cs="Arial"/>
          <w:bCs/>
          <w:i/>
          <w:iCs/>
        </w:rPr>
        <w:t>cien unidades de medida y actualización (UMA) equivalentes a $8,060.00 (OCHOMIL SESENTA PESOS 00/100 M.N) a razón de $80.60 pesos diarios</w:t>
      </w:r>
      <w:r>
        <w:rPr>
          <w:rFonts w:ascii="Arial" w:hAnsi="Arial" w:cs="Arial"/>
          <w:bCs/>
          <w:i/>
          <w:iCs/>
          <w:u w:val="single"/>
        </w:rPr>
        <w:t xml:space="preserve"> </w:t>
      </w:r>
      <w:r>
        <w:rPr>
          <w:rFonts w:ascii="Arial" w:hAnsi="Arial" w:cs="Arial"/>
          <w:bCs/>
          <w:i/>
          <w:iCs/>
        </w:rPr>
        <w:t xml:space="preserve">que corresponden al valor de la Unidad de Medida y Actualización para el año 2018, establecido por el Instituto Nacional de Estadística y Geografía (INEGI), y para tal efecto, </w:t>
      </w:r>
      <w:r>
        <w:rPr>
          <w:rFonts w:ascii="Arial" w:hAnsi="Arial" w:cs="Arial"/>
          <w:bCs/>
          <w:i/>
          <w:iCs/>
          <w:u w:val="single"/>
        </w:rPr>
        <w:t>gírese atento oficio</w:t>
      </w:r>
      <w:r>
        <w:rPr>
          <w:rFonts w:ascii="Arial" w:hAnsi="Arial" w:cs="Arial"/>
          <w:bCs/>
          <w:i/>
          <w:iCs/>
        </w:rPr>
        <w:t xml:space="preserve"> a la Coordinación de Cobro Coactivo de la Dirección de Ingresos y Recaudación de la Secretaría de Finanzas del Gobierno del Estado de Oaxaca, debiéndose adjuntar el formato con los datos de la </w:t>
      </w:r>
      <w:r w:rsidRPr="007B4CE6">
        <w:rPr>
          <w:rFonts w:ascii="Arial" w:hAnsi="Arial" w:cs="Arial"/>
          <w:bCs/>
          <w:i/>
          <w:iCs/>
        </w:rPr>
        <w:t>Jefa del Departamento de Control de Personal, adscrita a la Dirección de Recursos Humanos y a la Directora de Recursos Humanos, Coordinador de Finanzas y Administración, y Tesorera Municipal, todos del Municipio de Oaxaca de Juárez,</w:t>
      </w:r>
      <w:r>
        <w:rPr>
          <w:rFonts w:ascii="Arial" w:hAnsi="Arial" w:cs="Arial"/>
          <w:bCs/>
          <w:i/>
          <w:iCs/>
        </w:rPr>
        <w:t xml:space="preserve"> </w:t>
      </w:r>
      <w:r>
        <w:rPr>
          <w:rFonts w:ascii="Arial" w:hAnsi="Arial" w:cs="Arial"/>
          <w:bCs/>
          <w:i/>
          <w:iCs/>
          <w:u w:val="single"/>
        </w:rPr>
        <w:t xml:space="preserve">con la especificación que la multa se aplica a los titulares de dichas dependencias y no como personas </w:t>
      </w:r>
      <w:r>
        <w:rPr>
          <w:rFonts w:ascii="Arial" w:hAnsi="Arial" w:cs="Arial"/>
          <w:bCs/>
          <w:i/>
          <w:iCs/>
          <w:u w:val="single"/>
        </w:rPr>
        <w:lastRenderedPageBreak/>
        <w:t>físicas</w:t>
      </w:r>
      <w:r>
        <w:rPr>
          <w:rFonts w:ascii="Arial" w:hAnsi="Arial" w:cs="Arial"/>
          <w:bCs/>
          <w:i/>
          <w:iCs/>
        </w:rPr>
        <w:t xml:space="preserve">, lo anterior de conformidad con lo dispuesto en los artículos 125 y 184 fracción III de la Ley de Justicia Administrativa para el Estado de Oaxaca. </w:t>
      </w:r>
    </w:p>
    <w:p w:rsidR="00CF1B1B" w:rsidRPr="00465088" w:rsidRDefault="00CF1B1B" w:rsidP="00CF1B1B">
      <w:pPr>
        <w:spacing w:line="360" w:lineRule="auto"/>
        <w:ind w:left="1134" w:right="902"/>
        <w:jc w:val="both"/>
        <w:rPr>
          <w:rFonts w:ascii="Arial" w:hAnsi="Arial" w:cs="Arial"/>
          <w:bCs/>
          <w:i/>
          <w:iCs/>
        </w:rPr>
      </w:pPr>
      <w:r>
        <w:rPr>
          <w:rFonts w:ascii="Arial" w:hAnsi="Arial" w:cs="Arial"/>
          <w:bCs/>
          <w:i/>
          <w:iCs/>
        </w:rPr>
        <w:t xml:space="preserve">Continuando con el procedimiento y toda vez que aún no se ha dado cumplimiento a la sentencia, de conformidad con lo dispuesto en el artículo 184 de la Ley de Justicia Administrativa para el Estado de Oaxaca, requiérase nuevamente a las autoridades demandadas y obligadas al cumplimiento de la ejecutoria, girándole para tal efecto </w:t>
      </w:r>
      <w:r>
        <w:rPr>
          <w:rFonts w:ascii="Arial" w:hAnsi="Arial" w:cs="Arial"/>
          <w:bCs/>
          <w:i/>
          <w:iCs/>
          <w:u w:val="single"/>
        </w:rPr>
        <w:t>atento oficio</w:t>
      </w:r>
      <w:r>
        <w:rPr>
          <w:rFonts w:ascii="Arial" w:hAnsi="Arial" w:cs="Arial"/>
          <w:bCs/>
          <w:i/>
          <w:iCs/>
        </w:rPr>
        <w:t xml:space="preserve"> a los integrantes del Ayuntamiento de Oaxaca de Juárez, para que en auxilio de esta autoridad se dé cumplimiento a la sentencia dictada en este asunto, ordenando a la </w:t>
      </w:r>
      <w:r w:rsidRPr="007B4CE6">
        <w:rPr>
          <w:rFonts w:ascii="Arial" w:hAnsi="Arial" w:cs="Arial"/>
          <w:bCs/>
          <w:i/>
          <w:iCs/>
        </w:rPr>
        <w:t>Jefa del Departamento de Control de Personal, adscrita a la Dirección de Recursos Humanos y a la Directora de Recursos Humanos, Coordinador de Finanzas y Administración, y Tesorera Municipal, todos del Municipio de Oaxaca de Juárez</w:t>
      </w:r>
      <w:r>
        <w:rPr>
          <w:rFonts w:ascii="Arial" w:hAnsi="Arial" w:cs="Arial"/>
          <w:bCs/>
          <w:i/>
          <w:iCs/>
        </w:rPr>
        <w:t>, que realicen los trámites correspondientes antes el Congreso del Estado, relativo a la aprobación de la partida presupuestal, que contenga la suma actualizada a pagar a la actora, haciéndoles de su conocimiento, que el cumplimiento ya es requerido por el Juez Decimoprimero de Distrito en el Estado, en el Juicio de Amparo 224/2016, para tal efecto, adjúntese copia certificada de la resolución dictada en este asunto y de la diversa emitida en el Juicio de Amparo de referencia para su conocimiento, debiendo informar a esta autoridad el cumplimiento dado a esta solicitud en el plazo de tres días hábiles, contados a partir del siguiente a aquél en que surta efectos la notificación del presente proveído, en el entendido que de ser omisos se continuará imponiendo a las autoridades obligadas al cumplimiento de la sentencia, los medios de apremio establecidos en el artículo 184 de la Ley de Justicia Administrativa para el Estado de Oaxaca y 127 del Código de Procedimientos Civiles para el Estado de Oaxaca.</w:t>
      </w:r>
    </w:p>
    <w:p w:rsidR="00CF1B1B" w:rsidRPr="0072015D" w:rsidRDefault="00CF1B1B" w:rsidP="00CF1B1B">
      <w:pPr>
        <w:spacing w:line="360" w:lineRule="auto"/>
        <w:ind w:left="1134" w:right="902"/>
        <w:jc w:val="both"/>
        <w:rPr>
          <w:rFonts w:ascii="Arial" w:hAnsi="Arial" w:cs="Arial"/>
          <w:bCs/>
          <w:i/>
          <w:iCs/>
        </w:rPr>
      </w:pPr>
      <w:r w:rsidRPr="00195BF9">
        <w:rPr>
          <w:rFonts w:ascii="Arial" w:hAnsi="Arial" w:cs="Arial"/>
          <w:b/>
          <w:bCs/>
          <w:i/>
          <w:iCs/>
        </w:rPr>
        <w:t>…</w:t>
      </w:r>
      <w:r w:rsidRPr="00195BF9">
        <w:rPr>
          <w:rFonts w:ascii="Arial" w:hAnsi="Arial" w:cs="Arial"/>
          <w:bCs/>
          <w:i/>
          <w:iCs/>
        </w:rPr>
        <w:t>”</w:t>
      </w:r>
    </w:p>
    <w:p w:rsidR="00CF1B1B" w:rsidRPr="00CF1B1B" w:rsidRDefault="00CF1B1B" w:rsidP="00CF1B1B">
      <w:pPr>
        <w:spacing w:before="240" w:line="360" w:lineRule="auto"/>
        <w:jc w:val="center"/>
        <w:rPr>
          <w:rFonts w:ascii="Arial" w:hAnsi="Arial" w:cs="Arial"/>
          <w:b/>
          <w:bCs/>
          <w:sz w:val="26"/>
          <w:szCs w:val="26"/>
        </w:rPr>
      </w:pPr>
      <w:r w:rsidRPr="00CF1B1B">
        <w:rPr>
          <w:rFonts w:ascii="Arial" w:hAnsi="Arial" w:cs="Arial"/>
          <w:b/>
          <w:bCs/>
          <w:sz w:val="26"/>
          <w:szCs w:val="26"/>
        </w:rPr>
        <w:t>C O N S I D E R A N D O</w:t>
      </w:r>
    </w:p>
    <w:p w:rsidR="00CF1B1B" w:rsidRPr="00CF1B1B" w:rsidRDefault="00CF1B1B" w:rsidP="00CF1B1B">
      <w:pPr>
        <w:widowControl w:val="0"/>
        <w:tabs>
          <w:tab w:val="left" w:pos="7938"/>
        </w:tabs>
        <w:spacing w:line="360" w:lineRule="auto"/>
        <w:ind w:right="18" w:firstLine="709"/>
        <w:jc w:val="both"/>
        <w:rPr>
          <w:rFonts w:ascii="Arial" w:hAnsi="Arial" w:cs="Arial"/>
          <w:bCs/>
          <w:iCs/>
          <w:sz w:val="26"/>
          <w:szCs w:val="26"/>
          <w:lang w:eastAsia="es-ES"/>
        </w:rPr>
      </w:pPr>
      <w:r w:rsidRPr="00CF1B1B">
        <w:rPr>
          <w:rFonts w:ascii="Arial" w:hAnsi="Arial" w:cs="Arial"/>
          <w:b/>
          <w:bCs/>
          <w:iCs/>
          <w:sz w:val="26"/>
          <w:szCs w:val="26"/>
        </w:rPr>
        <w:t xml:space="preserve">PRIMERO. </w:t>
      </w:r>
      <w:r w:rsidRPr="00CF1B1B">
        <w:rPr>
          <w:rFonts w:ascii="Arial" w:hAnsi="Arial" w:cs="Arial"/>
          <w:bCs/>
          <w:iCs/>
          <w:sz w:val="26"/>
          <w:szCs w:val="26"/>
        </w:rPr>
        <w:t xml:space="preserve">Esta Sala Superior es competente para conocer del presente asunto, </w:t>
      </w:r>
      <w:r w:rsidRPr="00CF1B1B">
        <w:rPr>
          <w:rFonts w:ascii="Arial" w:hAnsi="Arial" w:cs="Arial"/>
          <w:bCs/>
          <w:iCs/>
          <w:sz w:val="26"/>
          <w:szCs w:val="26"/>
          <w:lang w:eastAsia="es-ES"/>
        </w:rPr>
        <w:t xml:space="preserve">de conformidad con lo dispuesto por los artículos 114 QUÁTER, Párrafo Tercero de la Constitución Política del Estado Libre y Soberano de Oaxaca y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w:t>
      </w:r>
      <w:r w:rsidRPr="00CF1B1B">
        <w:rPr>
          <w:rFonts w:ascii="Arial" w:hAnsi="Arial" w:cs="Arial"/>
          <w:bCs/>
          <w:iCs/>
          <w:sz w:val="26"/>
          <w:szCs w:val="26"/>
          <w:lang w:eastAsia="es-ES"/>
        </w:rPr>
        <w:lastRenderedPageBreak/>
        <w:t xml:space="preserve">de Justicia Administrativa para el Estado de Oaxaca,  </w:t>
      </w:r>
      <w:r w:rsidR="00FE0694">
        <w:rPr>
          <w:rFonts w:ascii="Arial" w:hAnsi="Arial" w:cs="Arial"/>
          <w:bCs/>
          <w:iCs/>
          <w:sz w:val="26"/>
          <w:szCs w:val="26"/>
          <w:lang w:eastAsia="es-ES"/>
        </w:rPr>
        <w:t xml:space="preserve">vigente hasta el veinte de octubre de dos mil diecisiete, </w:t>
      </w:r>
      <w:r w:rsidRPr="00CF1B1B">
        <w:rPr>
          <w:rFonts w:ascii="Arial" w:hAnsi="Arial" w:cs="Arial"/>
          <w:bCs/>
          <w:iCs/>
          <w:sz w:val="26"/>
          <w:szCs w:val="26"/>
          <w:lang w:eastAsia="es-ES"/>
        </w:rPr>
        <w:t>dado que se trata de la parte relativa del proveído de 7 siete de noviembre de 2018 dos mil dieciocho</w:t>
      </w:r>
      <w:r w:rsidR="00FE0694">
        <w:rPr>
          <w:rFonts w:ascii="Arial" w:hAnsi="Arial" w:cs="Arial"/>
          <w:bCs/>
          <w:iCs/>
          <w:sz w:val="26"/>
          <w:szCs w:val="26"/>
          <w:lang w:eastAsia="es-ES"/>
        </w:rPr>
        <w:t>,</w:t>
      </w:r>
      <w:r w:rsidRPr="00CF1B1B">
        <w:rPr>
          <w:rFonts w:ascii="Arial" w:hAnsi="Arial" w:cs="Arial"/>
          <w:bCs/>
          <w:iCs/>
          <w:sz w:val="26"/>
          <w:szCs w:val="26"/>
          <w:lang w:eastAsia="es-ES"/>
        </w:rPr>
        <w:t xml:space="preserve"> dictado por la Séptima Sala de Primera Instancia dentro del juicio </w:t>
      </w:r>
      <w:r w:rsidRPr="00CF1B1B">
        <w:rPr>
          <w:rFonts w:ascii="Arial" w:hAnsi="Arial" w:cs="Arial"/>
          <w:b/>
          <w:bCs/>
          <w:iCs/>
          <w:sz w:val="26"/>
          <w:szCs w:val="26"/>
          <w:lang w:eastAsia="es-ES"/>
        </w:rPr>
        <w:t>0</w:t>
      </w:r>
      <w:r w:rsidR="00FE0694">
        <w:rPr>
          <w:rFonts w:ascii="Arial" w:hAnsi="Arial" w:cs="Arial"/>
          <w:b/>
          <w:bCs/>
          <w:iCs/>
          <w:sz w:val="26"/>
          <w:szCs w:val="26"/>
          <w:lang w:eastAsia="es-ES"/>
        </w:rPr>
        <w:t>068</w:t>
      </w:r>
      <w:r w:rsidRPr="00CF1B1B">
        <w:rPr>
          <w:rFonts w:ascii="Arial" w:hAnsi="Arial" w:cs="Arial"/>
          <w:b/>
          <w:bCs/>
          <w:iCs/>
          <w:sz w:val="26"/>
          <w:szCs w:val="26"/>
          <w:lang w:eastAsia="es-ES"/>
        </w:rPr>
        <w:t xml:space="preserve">/2016 </w:t>
      </w:r>
      <w:r w:rsidRPr="00CF1B1B">
        <w:rPr>
          <w:rFonts w:ascii="Arial" w:hAnsi="Arial" w:cs="Arial"/>
          <w:bCs/>
          <w:iCs/>
          <w:sz w:val="26"/>
          <w:szCs w:val="26"/>
          <w:lang w:eastAsia="es-ES"/>
        </w:rPr>
        <w:t xml:space="preserve">de su índice. </w:t>
      </w:r>
    </w:p>
    <w:p w:rsidR="00CF1B1B" w:rsidRPr="00CF1B1B" w:rsidRDefault="00CF1B1B" w:rsidP="00CF1B1B">
      <w:pPr>
        <w:widowControl w:val="0"/>
        <w:tabs>
          <w:tab w:val="left" w:pos="7938"/>
        </w:tabs>
        <w:spacing w:line="360" w:lineRule="auto"/>
        <w:ind w:right="18" w:firstLine="709"/>
        <w:jc w:val="both"/>
        <w:rPr>
          <w:rFonts w:ascii="Arial" w:hAnsi="Arial" w:cs="Arial"/>
          <w:sz w:val="26"/>
          <w:szCs w:val="26"/>
          <w:lang w:eastAsia="es-ES"/>
        </w:rPr>
      </w:pPr>
    </w:p>
    <w:p w:rsidR="00CF1B1B" w:rsidRPr="00CF1B1B" w:rsidRDefault="00CF1B1B" w:rsidP="00CF1B1B">
      <w:pPr>
        <w:widowControl w:val="0"/>
        <w:tabs>
          <w:tab w:val="left" w:pos="7938"/>
        </w:tabs>
        <w:spacing w:line="360" w:lineRule="auto"/>
        <w:ind w:right="18" w:firstLine="709"/>
        <w:jc w:val="both"/>
        <w:rPr>
          <w:rFonts w:ascii="Arial" w:hAnsi="Arial" w:cs="Arial"/>
          <w:sz w:val="26"/>
          <w:szCs w:val="26"/>
        </w:rPr>
      </w:pPr>
      <w:r w:rsidRPr="00CF1B1B">
        <w:rPr>
          <w:rFonts w:ascii="Arial" w:hAnsi="Arial" w:cs="Arial"/>
          <w:b/>
          <w:bCs/>
          <w:sz w:val="26"/>
          <w:szCs w:val="26"/>
        </w:rPr>
        <w:t>SEGUNDO.</w:t>
      </w:r>
      <w:r w:rsidRPr="00CF1B1B">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CF1B1B">
        <w:rPr>
          <w:rFonts w:ascii="Arial" w:hAnsi="Arial" w:cs="Arial"/>
          <w:sz w:val="26"/>
          <w:szCs w:val="26"/>
        </w:rPr>
        <w:t>.</w:t>
      </w:r>
    </w:p>
    <w:p w:rsidR="00CF1B1B" w:rsidRPr="00CF1B1B" w:rsidRDefault="00CF1B1B" w:rsidP="00CF1B1B">
      <w:pPr>
        <w:widowControl w:val="0"/>
        <w:tabs>
          <w:tab w:val="left" w:pos="7938"/>
        </w:tabs>
        <w:spacing w:line="360" w:lineRule="auto"/>
        <w:ind w:right="18" w:firstLine="709"/>
        <w:jc w:val="both"/>
        <w:rPr>
          <w:rFonts w:ascii="Arial" w:hAnsi="Arial" w:cs="Arial"/>
          <w:bCs/>
          <w:sz w:val="26"/>
          <w:szCs w:val="26"/>
        </w:rPr>
      </w:pPr>
    </w:p>
    <w:p w:rsidR="00CF1B1B" w:rsidRPr="00CF1B1B" w:rsidRDefault="00CF1B1B" w:rsidP="00CF1B1B">
      <w:pPr>
        <w:spacing w:line="360" w:lineRule="auto"/>
        <w:ind w:firstLine="709"/>
        <w:jc w:val="both"/>
        <w:rPr>
          <w:rFonts w:ascii="Arial" w:hAnsi="Arial" w:cs="Arial"/>
          <w:sz w:val="26"/>
          <w:szCs w:val="26"/>
        </w:rPr>
      </w:pPr>
      <w:r w:rsidRPr="00CF1B1B">
        <w:rPr>
          <w:rFonts w:ascii="Arial" w:hAnsi="Arial" w:cs="Arial"/>
          <w:b/>
          <w:bCs/>
          <w:sz w:val="26"/>
          <w:szCs w:val="26"/>
        </w:rPr>
        <w:t xml:space="preserve">TERCERO. </w:t>
      </w:r>
      <w:r w:rsidRPr="00CF1B1B">
        <w:rPr>
          <w:rFonts w:ascii="Arial" w:hAnsi="Arial" w:cs="Arial"/>
          <w:sz w:val="26"/>
          <w:szCs w:val="26"/>
        </w:rPr>
        <w:t xml:space="preserve">El artículo 206 de la </w:t>
      </w:r>
      <w:r w:rsidR="00BD4A68">
        <w:rPr>
          <w:rFonts w:ascii="Arial" w:hAnsi="Arial" w:cs="Arial"/>
          <w:sz w:val="26"/>
          <w:szCs w:val="26"/>
        </w:rPr>
        <w:t xml:space="preserve">reformada </w:t>
      </w:r>
      <w:r w:rsidRPr="00CF1B1B">
        <w:rPr>
          <w:rFonts w:ascii="Arial" w:hAnsi="Arial" w:cs="Arial"/>
          <w:sz w:val="26"/>
          <w:szCs w:val="26"/>
        </w:rPr>
        <w:t>Ley de Justicia Administrativa para el Estado de Oaxaca establece lo siguiente:</w:t>
      </w:r>
    </w:p>
    <w:p w:rsidR="00CF1B1B" w:rsidRDefault="00CF1B1B" w:rsidP="00CF1B1B">
      <w:pPr>
        <w:spacing w:line="360" w:lineRule="auto"/>
        <w:ind w:firstLine="709"/>
        <w:jc w:val="both"/>
        <w:rPr>
          <w:rFonts w:ascii="Arial" w:hAnsi="Arial" w:cs="Arial"/>
          <w:sz w:val="24"/>
          <w:szCs w:val="24"/>
        </w:rPr>
      </w:pPr>
    </w:p>
    <w:p w:rsidR="00CF1B1B" w:rsidRPr="001F0D12" w:rsidRDefault="00CF1B1B" w:rsidP="00CF1B1B">
      <w:pPr>
        <w:spacing w:line="360" w:lineRule="auto"/>
        <w:ind w:left="851" w:right="900"/>
        <w:jc w:val="both"/>
        <w:rPr>
          <w:rFonts w:ascii="Arial" w:hAnsi="Arial" w:cs="Arial"/>
          <w:i/>
          <w:iCs/>
          <w:sz w:val="20"/>
          <w:szCs w:val="20"/>
        </w:rPr>
      </w:pPr>
      <w:r w:rsidRPr="001F0D12">
        <w:rPr>
          <w:rFonts w:ascii="Arial" w:hAnsi="Arial" w:cs="Arial"/>
          <w:i/>
          <w:iCs/>
          <w:sz w:val="20"/>
          <w:szCs w:val="20"/>
        </w:rPr>
        <w:t>“</w:t>
      </w:r>
      <w:r w:rsidRPr="001F0D12">
        <w:rPr>
          <w:rFonts w:ascii="Arial" w:hAnsi="Arial" w:cs="Arial"/>
          <w:b/>
          <w:bCs/>
          <w:i/>
          <w:iCs/>
          <w:sz w:val="20"/>
          <w:szCs w:val="20"/>
        </w:rPr>
        <w:t xml:space="preserve">Artículo 206.- </w:t>
      </w:r>
      <w:r w:rsidRPr="001F0D12">
        <w:rPr>
          <w:rFonts w:ascii="Arial" w:hAnsi="Arial" w:cs="Arial"/>
          <w:i/>
          <w:iCs/>
          <w:sz w:val="20"/>
          <w:szCs w:val="20"/>
        </w:rPr>
        <w:t>Contra los acuerdos y resoluciones dictados por los Magistrados de Primera Instancia, procede el recurso de revisión, cuyo conocimiento y resolución corresponde a la Sala Superior:</w:t>
      </w:r>
    </w:p>
    <w:p w:rsidR="00CF1B1B" w:rsidRPr="001F0D12" w:rsidRDefault="00CF1B1B" w:rsidP="00CF1B1B">
      <w:pPr>
        <w:spacing w:line="360" w:lineRule="auto"/>
        <w:ind w:left="851" w:right="900"/>
        <w:jc w:val="both"/>
        <w:rPr>
          <w:rFonts w:ascii="Arial" w:hAnsi="Arial" w:cs="Arial"/>
          <w:i/>
          <w:iCs/>
          <w:sz w:val="20"/>
          <w:szCs w:val="20"/>
        </w:rPr>
      </w:pPr>
      <w:r w:rsidRPr="001F0D12">
        <w:rPr>
          <w:rFonts w:ascii="Arial" w:hAnsi="Arial" w:cs="Arial"/>
          <w:i/>
          <w:iCs/>
          <w:sz w:val="20"/>
          <w:szCs w:val="20"/>
        </w:rPr>
        <w:t>Podrán ser impugnadas por las partes, mediante recurso de revisión:</w:t>
      </w:r>
    </w:p>
    <w:p w:rsidR="00CF1B1B" w:rsidRPr="001F0D12" w:rsidRDefault="00CF1B1B" w:rsidP="00CF1B1B">
      <w:pPr>
        <w:spacing w:line="360" w:lineRule="auto"/>
        <w:ind w:left="851" w:right="900"/>
        <w:jc w:val="both"/>
        <w:rPr>
          <w:rFonts w:ascii="Arial" w:hAnsi="Arial" w:cs="Arial"/>
          <w:i/>
          <w:iCs/>
          <w:sz w:val="20"/>
          <w:szCs w:val="20"/>
        </w:rPr>
      </w:pPr>
      <w:r w:rsidRPr="001F0D12">
        <w:rPr>
          <w:rFonts w:ascii="Arial" w:hAnsi="Arial" w:cs="Arial"/>
          <w:i/>
          <w:iCs/>
          <w:sz w:val="20"/>
          <w:szCs w:val="20"/>
        </w:rPr>
        <w:t>I.- Los acuerdos que admitan o desechen la demanda, su contestación o ampliación;</w:t>
      </w:r>
    </w:p>
    <w:p w:rsidR="00CF1B1B" w:rsidRPr="001F0D12" w:rsidRDefault="00CF1B1B" w:rsidP="00CF1B1B">
      <w:pPr>
        <w:spacing w:line="360" w:lineRule="auto"/>
        <w:ind w:left="851" w:right="900"/>
        <w:jc w:val="both"/>
        <w:rPr>
          <w:rFonts w:ascii="Arial" w:hAnsi="Arial" w:cs="Arial"/>
          <w:i/>
          <w:iCs/>
          <w:sz w:val="20"/>
          <w:szCs w:val="20"/>
        </w:rPr>
      </w:pPr>
      <w:r w:rsidRPr="001F0D12">
        <w:rPr>
          <w:rFonts w:ascii="Arial" w:hAnsi="Arial" w:cs="Arial"/>
          <w:i/>
          <w:iCs/>
          <w:sz w:val="20"/>
          <w:szCs w:val="20"/>
        </w:rPr>
        <w:t>II.- El acuerdo que deseche pruebas;</w:t>
      </w:r>
    </w:p>
    <w:p w:rsidR="00CF1B1B" w:rsidRPr="001F0D12" w:rsidRDefault="00CF1B1B" w:rsidP="00CF1B1B">
      <w:pPr>
        <w:spacing w:line="360" w:lineRule="auto"/>
        <w:ind w:left="851" w:right="900"/>
        <w:jc w:val="both"/>
        <w:rPr>
          <w:rFonts w:ascii="Arial" w:hAnsi="Arial" w:cs="Arial"/>
          <w:i/>
          <w:iCs/>
          <w:sz w:val="20"/>
          <w:szCs w:val="20"/>
        </w:rPr>
      </w:pPr>
      <w:r w:rsidRPr="001F0D12">
        <w:rPr>
          <w:rFonts w:ascii="Arial" w:hAnsi="Arial" w:cs="Arial"/>
          <w:i/>
          <w:iCs/>
          <w:sz w:val="20"/>
          <w:szCs w:val="20"/>
        </w:rPr>
        <w:t>III.- El acuerdo que rechace la intervención del tercero;</w:t>
      </w:r>
    </w:p>
    <w:p w:rsidR="00CF1B1B" w:rsidRPr="001F0D12" w:rsidRDefault="00CF1B1B" w:rsidP="00CF1B1B">
      <w:pPr>
        <w:spacing w:line="360" w:lineRule="auto"/>
        <w:ind w:left="851" w:right="900"/>
        <w:jc w:val="both"/>
        <w:rPr>
          <w:rFonts w:ascii="Arial" w:hAnsi="Arial" w:cs="Arial"/>
          <w:i/>
          <w:iCs/>
          <w:sz w:val="20"/>
          <w:szCs w:val="20"/>
        </w:rPr>
      </w:pPr>
      <w:r w:rsidRPr="001F0D12">
        <w:rPr>
          <w:rFonts w:ascii="Arial" w:hAnsi="Arial" w:cs="Arial"/>
          <w:i/>
          <w:iCs/>
          <w:sz w:val="20"/>
          <w:szCs w:val="20"/>
        </w:rPr>
        <w:t>IV..- Los acuerdos que decreten, nieguen o revoquen la suspensión;</w:t>
      </w:r>
    </w:p>
    <w:p w:rsidR="00CF1B1B" w:rsidRPr="001F0D12" w:rsidRDefault="00CF1B1B" w:rsidP="00CF1B1B">
      <w:pPr>
        <w:spacing w:line="360" w:lineRule="auto"/>
        <w:ind w:left="851" w:right="900"/>
        <w:jc w:val="both"/>
        <w:rPr>
          <w:rFonts w:ascii="Arial" w:hAnsi="Arial" w:cs="Arial"/>
          <w:i/>
          <w:iCs/>
          <w:sz w:val="20"/>
          <w:szCs w:val="20"/>
        </w:rPr>
      </w:pPr>
      <w:r w:rsidRPr="001F0D12">
        <w:rPr>
          <w:rFonts w:ascii="Arial" w:hAnsi="Arial" w:cs="Arial"/>
          <w:i/>
          <w:iCs/>
          <w:sz w:val="20"/>
          <w:szCs w:val="20"/>
        </w:rPr>
        <w:t>V.- Las resoluciones que decidan incidentes;</w:t>
      </w:r>
    </w:p>
    <w:p w:rsidR="00CF1B1B" w:rsidRPr="001F0D12" w:rsidRDefault="00CF1B1B" w:rsidP="00CF1B1B">
      <w:pPr>
        <w:spacing w:line="360" w:lineRule="auto"/>
        <w:ind w:left="851" w:right="900"/>
        <w:jc w:val="both"/>
        <w:rPr>
          <w:rFonts w:ascii="Arial" w:hAnsi="Arial" w:cs="Arial"/>
          <w:i/>
          <w:iCs/>
          <w:sz w:val="20"/>
          <w:szCs w:val="20"/>
        </w:rPr>
      </w:pPr>
      <w:r w:rsidRPr="001F0D12">
        <w:rPr>
          <w:rFonts w:ascii="Arial" w:hAnsi="Arial" w:cs="Arial"/>
          <w:i/>
          <w:iCs/>
          <w:sz w:val="20"/>
          <w:szCs w:val="20"/>
        </w:rPr>
        <w:t>VI..- Las resoluciones que decreten o nieguen el sobreseimiento;</w:t>
      </w:r>
    </w:p>
    <w:p w:rsidR="00CF1B1B" w:rsidRPr="001F0D12" w:rsidRDefault="00CF1B1B" w:rsidP="00CF1B1B">
      <w:pPr>
        <w:spacing w:line="360" w:lineRule="auto"/>
        <w:ind w:left="851" w:right="900"/>
        <w:jc w:val="both"/>
        <w:rPr>
          <w:rFonts w:ascii="Arial" w:hAnsi="Arial" w:cs="Arial"/>
          <w:i/>
          <w:iCs/>
          <w:sz w:val="20"/>
          <w:szCs w:val="20"/>
        </w:rPr>
      </w:pPr>
      <w:r w:rsidRPr="001F0D12">
        <w:rPr>
          <w:rFonts w:ascii="Arial" w:hAnsi="Arial" w:cs="Arial"/>
          <w:i/>
          <w:iCs/>
          <w:sz w:val="20"/>
          <w:szCs w:val="20"/>
        </w:rPr>
        <w:t>VII.- Las sentencias que decidan la cuestión planteada. Por violaciones cometidas durante el procedimiento del juicio, cuando hayan dejando sin defensa al recurrente y trasciendan al sentido de la sentencia; y</w:t>
      </w:r>
    </w:p>
    <w:p w:rsidR="00CF1B1B" w:rsidRPr="001F0D12" w:rsidRDefault="00CF1B1B" w:rsidP="00CF1B1B">
      <w:pPr>
        <w:spacing w:line="360" w:lineRule="auto"/>
        <w:ind w:left="851" w:right="900"/>
        <w:jc w:val="both"/>
        <w:rPr>
          <w:rFonts w:ascii="Arial" w:hAnsi="Arial" w:cs="Arial"/>
          <w:i/>
          <w:iCs/>
          <w:sz w:val="20"/>
          <w:szCs w:val="20"/>
        </w:rPr>
      </w:pPr>
      <w:r w:rsidRPr="001F0D12">
        <w:rPr>
          <w:rFonts w:ascii="Arial" w:hAnsi="Arial" w:cs="Arial"/>
          <w:i/>
          <w:iCs/>
          <w:sz w:val="20"/>
          <w:szCs w:val="20"/>
        </w:rPr>
        <w:t>VIII.- Las resoluciones que pongan fin al procedimiento de ejecución de la sentencia.”</w:t>
      </w:r>
    </w:p>
    <w:p w:rsidR="00CF1B1B" w:rsidRDefault="00CF1B1B" w:rsidP="00CF1B1B">
      <w:pPr>
        <w:spacing w:line="360" w:lineRule="auto"/>
        <w:ind w:firstLine="709"/>
        <w:jc w:val="both"/>
        <w:rPr>
          <w:rFonts w:ascii="Arial" w:hAnsi="Arial" w:cs="Arial"/>
          <w:b/>
          <w:bCs/>
          <w:sz w:val="24"/>
          <w:szCs w:val="24"/>
        </w:rPr>
      </w:pPr>
    </w:p>
    <w:p w:rsidR="00CF1B1B" w:rsidRPr="00CF1B1B" w:rsidRDefault="00CF1B1B" w:rsidP="00CF1B1B">
      <w:pPr>
        <w:spacing w:line="360" w:lineRule="auto"/>
        <w:ind w:firstLine="709"/>
        <w:jc w:val="both"/>
        <w:rPr>
          <w:rFonts w:ascii="Arial" w:hAnsi="Arial" w:cs="Arial"/>
          <w:sz w:val="26"/>
          <w:szCs w:val="26"/>
        </w:rPr>
      </w:pPr>
      <w:r w:rsidRPr="00CF1B1B">
        <w:rPr>
          <w:rFonts w:ascii="Arial" w:hAnsi="Arial" w:cs="Arial"/>
          <w:b/>
          <w:bCs/>
          <w:sz w:val="26"/>
          <w:szCs w:val="26"/>
        </w:rPr>
        <w:t xml:space="preserve">Como se ve, </w:t>
      </w:r>
      <w:r w:rsidRPr="00CF1B1B">
        <w:rPr>
          <w:rFonts w:ascii="Arial" w:hAnsi="Arial" w:cs="Arial"/>
          <w:sz w:val="26"/>
          <w:szCs w:val="26"/>
        </w:rPr>
        <w:t xml:space="preserve">este artículo prevé los casos en contra de los cuales es procedente el recurso de revisión, entre los que están los acuerdos que admitan o desechen la demanda, su contestación o la ampliación de ambas, los acuerdos que desechen pruebas, los que rechacen la intervención del tercero, los acuerdos que decreten, nieguen o revoquen la suspensión; las resoluciones que decidan incidentes; cuando se decrete o niegue el sobreseimiento; aquellos en contra de la sentencia y por violaciones cometidas durante el procedimiento cuando haya dejado sin defensa y transciendan al sentido del fallo y en contra de las resoluciones que pongan fin al procedimiento de ejecución de sentencia. </w:t>
      </w:r>
    </w:p>
    <w:p w:rsidR="00CF1B1B" w:rsidRPr="00CF1B1B" w:rsidRDefault="00CF1B1B" w:rsidP="00CF1B1B">
      <w:pPr>
        <w:spacing w:line="360" w:lineRule="auto"/>
        <w:ind w:firstLine="709"/>
        <w:jc w:val="both"/>
        <w:rPr>
          <w:rFonts w:ascii="Arial" w:hAnsi="Arial" w:cs="Arial"/>
          <w:sz w:val="26"/>
          <w:szCs w:val="26"/>
        </w:rPr>
      </w:pPr>
    </w:p>
    <w:p w:rsidR="00CF1B1B" w:rsidRPr="00CF1B1B" w:rsidRDefault="00CF1B1B" w:rsidP="00CF1B1B">
      <w:pPr>
        <w:spacing w:line="360" w:lineRule="auto"/>
        <w:ind w:firstLine="709"/>
        <w:jc w:val="both"/>
        <w:rPr>
          <w:rFonts w:ascii="Arial" w:hAnsi="Arial" w:cs="Arial"/>
          <w:sz w:val="26"/>
          <w:szCs w:val="26"/>
        </w:rPr>
      </w:pPr>
      <w:r w:rsidRPr="00CF1B1B">
        <w:rPr>
          <w:rFonts w:ascii="Arial" w:hAnsi="Arial" w:cs="Arial"/>
          <w:sz w:val="26"/>
          <w:szCs w:val="26"/>
        </w:rPr>
        <w:t xml:space="preserve">Importa lo anterior, porque el auto sujeto a revisión es un acuerdo en el que la sala de primera instancia requiere a la aquí recurrente para que </w:t>
      </w:r>
      <w:r w:rsidR="00BD4A68" w:rsidRPr="00CF1B1B">
        <w:rPr>
          <w:rFonts w:ascii="Arial" w:hAnsi="Arial" w:cs="Arial"/>
          <w:sz w:val="26"/>
          <w:szCs w:val="26"/>
        </w:rPr>
        <w:t>dé</w:t>
      </w:r>
      <w:r w:rsidRPr="00CF1B1B">
        <w:rPr>
          <w:rFonts w:ascii="Arial" w:hAnsi="Arial" w:cs="Arial"/>
          <w:sz w:val="26"/>
          <w:szCs w:val="26"/>
        </w:rPr>
        <w:t xml:space="preserve"> cumplimiento a la sentencia dictada en el juicio natural y la apercibe de la imposición de las medidas respectivas de persistir el incumplimiento de la ejecutoria definitiva, </w:t>
      </w:r>
      <w:r w:rsidRPr="00CF1B1B">
        <w:rPr>
          <w:rFonts w:ascii="Arial" w:hAnsi="Arial" w:cs="Arial"/>
          <w:b/>
          <w:bCs/>
          <w:sz w:val="26"/>
          <w:szCs w:val="26"/>
        </w:rPr>
        <w:t xml:space="preserve">luego </w:t>
      </w:r>
      <w:r w:rsidRPr="00CF1B1B">
        <w:rPr>
          <w:rFonts w:ascii="Arial" w:hAnsi="Arial" w:cs="Arial"/>
          <w:sz w:val="26"/>
          <w:szCs w:val="26"/>
        </w:rPr>
        <w:t xml:space="preserve">el acuerdo impugnado no es recurrible en términos de lo estatuido por el artículo 206 de la Ley de Justicia Administrativa para el Estado de Oaxaca recién transcrito y que regula los supuestos en contra de los cuales procede el recurso de revisión. </w:t>
      </w:r>
    </w:p>
    <w:p w:rsidR="00CF1B1B" w:rsidRPr="00CF1B1B" w:rsidRDefault="00CF1B1B" w:rsidP="00CF1B1B">
      <w:pPr>
        <w:spacing w:line="360" w:lineRule="auto"/>
        <w:ind w:firstLine="709"/>
        <w:jc w:val="both"/>
        <w:rPr>
          <w:rFonts w:ascii="Arial" w:hAnsi="Arial" w:cs="Arial"/>
          <w:sz w:val="26"/>
          <w:szCs w:val="26"/>
        </w:rPr>
      </w:pPr>
    </w:p>
    <w:p w:rsidR="00CF1B1B" w:rsidRDefault="00CF1B1B" w:rsidP="00CF1B1B">
      <w:pPr>
        <w:spacing w:line="360" w:lineRule="auto"/>
        <w:ind w:firstLine="709"/>
        <w:jc w:val="both"/>
        <w:rPr>
          <w:rFonts w:ascii="Arial" w:eastAsia="Calibri" w:hAnsi="Arial" w:cs="Arial"/>
          <w:sz w:val="26"/>
          <w:szCs w:val="26"/>
        </w:rPr>
      </w:pPr>
      <w:r w:rsidRPr="00CF1B1B">
        <w:rPr>
          <w:rFonts w:ascii="Arial" w:hAnsi="Arial" w:cs="Arial"/>
          <w:sz w:val="26"/>
          <w:szCs w:val="26"/>
        </w:rPr>
        <w:t xml:space="preserve">En este orden de ideas, se </w:t>
      </w:r>
      <w:r w:rsidRPr="00CF1B1B">
        <w:rPr>
          <w:rFonts w:ascii="Arial" w:hAnsi="Arial" w:cs="Arial"/>
          <w:b/>
          <w:bCs/>
          <w:sz w:val="26"/>
          <w:szCs w:val="26"/>
        </w:rPr>
        <w:t xml:space="preserve">DESECHA </w:t>
      </w:r>
      <w:r w:rsidRPr="00CF1B1B">
        <w:rPr>
          <w:rFonts w:ascii="Arial" w:hAnsi="Arial" w:cs="Arial"/>
          <w:sz w:val="26"/>
          <w:szCs w:val="26"/>
        </w:rPr>
        <w:t xml:space="preserve">por </w:t>
      </w:r>
      <w:r w:rsidRPr="00CF1B1B">
        <w:rPr>
          <w:rFonts w:ascii="Arial" w:hAnsi="Arial" w:cs="Arial"/>
          <w:b/>
          <w:bCs/>
          <w:sz w:val="26"/>
          <w:szCs w:val="26"/>
        </w:rPr>
        <w:t xml:space="preserve">IMPROCEDENTE </w:t>
      </w:r>
      <w:r w:rsidRPr="00CF1B1B">
        <w:rPr>
          <w:rFonts w:ascii="Arial" w:hAnsi="Arial" w:cs="Arial"/>
          <w:sz w:val="26"/>
          <w:szCs w:val="26"/>
        </w:rPr>
        <w:t>el presente medio de defensa y, con fundamento</w:t>
      </w:r>
      <w:r w:rsidRPr="00CF1B1B">
        <w:rPr>
          <w:rFonts w:ascii="Arial" w:eastAsia="Calibri" w:hAnsi="Arial" w:cs="Arial"/>
          <w:sz w:val="26"/>
          <w:szCs w:val="26"/>
        </w:rPr>
        <w:t xml:space="preserve"> en los artículos 207 y 208 de la Ley de Justicia Administrativa para el Estado, </w:t>
      </w:r>
      <w:r w:rsidR="00BD4A68">
        <w:rPr>
          <w:rFonts w:ascii="Arial" w:eastAsia="Calibri" w:hAnsi="Arial" w:cs="Arial"/>
          <w:sz w:val="26"/>
          <w:szCs w:val="26"/>
        </w:rPr>
        <w:t xml:space="preserve">vigente hasta el veinte de octubre de dos mil diecisiete, </w:t>
      </w:r>
      <w:r w:rsidRPr="00CF1B1B">
        <w:rPr>
          <w:rFonts w:ascii="Arial" w:eastAsia="Calibri" w:hAnsi="Arial" w:cs="Arial"/>
          <w:sz w:val="26"/>
          <w:szCs w:val="26"/>
        </w:rPr>
        <w:t>se:</w:t>
      </w:r>
    </w:p>
    <w:p w:rsidR="00CF1B1B" w:rsidRPr="00CF1B1B" w:rsidRDefault="00CF1B1B" w:rsidP="00CF1B1B">
      <w:pPr>
        <w:spacing w:line="360" w:lineRule="auto"/>
        <w:ind w:firstLine="709"/>
        <w:jc w:val="both"/>
        <w:rPr>
          <w:sz w:val="26"/>
          <w:szCs w:val="26"/>
        </w:rPr>
      </w:pPr>
    </w:p>
    <w:p w:rsidR="00CF1B1B" w:rsidRPr="00CF1B1B" w:rsidRDefault="00CF1B1B" w:rsidP="00CF1B1B">
      <w:pPr>
        <w:tabs>
          <w:tab w:val="left" w:pos="1134"/>
        </w:tabs>
        <w:spacing w:line="360" w:lineRule="auto"/>
        <w:jc w:val="center"/>
        <w:rPr>
          <w:rFonts w:ascii="Arial" w:eastAsia="Calibri" w:hAnsi="Arial" w:cs="Arial"/>
          <w:b/>
          <w:sz w:val="26"/>
          <w:szCs w:val="26"/>
        </w:rPr>
      </w:pPr>
      <w:r w:rsidRPr="00CF1B1B">
        <w:rPr>
          <w:rFonts w:ascii="Arial" w:eastAsia="Calibri" w:hAnsi="Arial" w:cs="Arial"/>
          <w:b/>
          <w:sz w:val="26"/>
          <w:szCs w:val="26"/>
        </w:rPr>
        <w:t>R E S U E L V E</w:t>
      </w:r>
    </w:p>
    <w:p w:rsidR="00CF1B1B" w:rsidRPr="00CF1B1B" w:rsidRDefault="00CF1B1B" w:rsidP="00CF1B1B">
      <w:pPr>
        <w:tabs>
          <w:tab w:val="left" w:pos="1134"/>
        </w:tabs>
        <w:spacing w:line="360" w:lineRule="auto"/>
        <w:jc w:val="center"/>
        <w:rPr>
          <w:rFonts w:ascii="Arial" w:eastAsia="Calibri" w:hAnsi="Arial" w:cs="Arial"/>
          <w:b/>
          <w:sz w:val="26"/>
          <w:szCs w:val="26"/>
        </w:rPr>
      </w:pPr>
    </w:p>
    <w:p w:rsidR="00CF1B1B" w:rsidRDefault="00CF1B1B" w:rsidP="00CF1B1B">
      <w:pPr>
        <w:spacing w:line="360" w:lineRule="auto"/>
        <w:ind w:firstLine="708"/>
        <w:jc w:val="both"/>
        <w:rPr>
          <w:rFonts w:ascii="Arial" w:eastAsia="Calibri" w:hAnsi="Arial" w:cs="Arial"/>
          <w:sz w:val="26"/>
          <w:szCs w:val="26"/>
        </w:rPr>
      </w:pPr>
      <w:r w:rsidRPr="00CF1B1B">
        <w:rPr>
          <w:rFonts w:ascii="Arial" w:eastAsia="Calibri" w:hAnsi="Arial" w:cs="Arial"/>
          <w:b/>
          <w:sz w:val="26"/>
          <w:szCs w:val="26"/>
        </w:rPr>
        <w:t>PRIMERO</w:t>
      </w:r>
      <w:r w:rsidRPr="00CF1B1B">
        <w:rPr>
          <w:rFonts w:ascii="Arial" w:eastAsia="Calibri" w:hAnsi="Arial" w:cs="Arial"/>
          <w:sz w:val="26"/>
          <w:szCs w:val="26"/>
        </w:rPr>
        <w:t xml:space="preserve">. </w:t>
      </w:r>
      <w:r w:rsidRPr="00CF1B1B">
        <w:rPr>
          <w:rFonts w:ascii="Arial" w:eastAsia="Calibri" w:hAnsi="Arial" w:cs="Arial"/>
          <w:b/>
          <w:sz w:val="26"/>
          <w:szCs w:val="26"/>
        </w:rPr>
        <w:t xml:space="preserve">Se DESECHA </w:t>
      </w:r>
      <w:r w:rsidRPr="00CF1B1B">
        <w:rPr>
          <w:rFonts w:ascii="Arial" w:eastAsia="Calibri" w:hAnsi="Arial" w:cs="Arial"/>
          <w:bCs/>
          <w:sz w:val="26"/>
          <w:szCs w:val="26"/>
        </w:rPr>
        <w:t xml:space="preserve">por </w:t>
      </w:r>
      <w:r w:rsidRPr="00CF1B1B">
        <w:rPr>
          <w:rFonts w:ascii="Arial" w:eastAsia="Calibri" w:hAnsi="Arial" w:cs="Arial"/>
          <w:b/>
          <w:sz w:val="26"/>
          <w:szCs w:val="26"/>
        </w:rPr>
        <w:t xml:space="preserve">IMPROCEDENTE </w:t>
      </w:r>
      <w:r w:rsidRPr="00CF1B1B">
        <w:rPr>
          <w:rFonts w:ascii="Arial" w:eastAsia="Calibri" w:hAnsi="Arial" w:cs="Arial"/>
          <w:bCs/>
          <w:sz w:val="26"/>
          <w:szCs w:val="26"/>
        </w:rPr>
        <w:t>el presente medio de defensa,</w:t>
      </w:r>
      <w:r w:rsidRPr="00CF1B1B">
        <w:rPr>
          <w:rFonts w:ascii="Arial" w:eastAsia="Calibri" w:hAnsi="Arial" w:cs="Arial"/>
          <w:sz w:val="26"/>
          <w:szCs w:val="26"/>
        </w:rPr>
        <w:t xml:space="preserve"> como se apuntó en el </w:t>
      </w:r>
      <w:r w:rsidRPr="00CF1B1B">
        <w:rPr>
          <w:rFonts w:ascii="Arial" w:eastAsia="Calibri" w:hAnsi="Arial" w:cs="Arial"/>
          <w:sz w:val="26"/>
          <w:szCs w:val="26"/>
          <w:lang w:eastAsia="es-ES"/>
        </w:rPr>
        <w:t>considerando que antecede</w:t>
      </w:r>
      <w:r w:rsidRPr="00CF1B1B">
        <w:rPr>
          <w:rFonts w:ascii="Arial" w:eastAsia="Calibri" w:hAnsi="Arial" w:cs="Arial"/>
          <w:sz w:val="26"/>
          <w:szCs w:val="26"/>
        </w:rPr>
        <w:t xml:space="preserve">. </w:t>
      </w:r>
    </w:p>
    <w:p w:rsidR="00CF1B1B" w:rsidRPr="00CF1B1B" w:rsidRDefault="00CF1B1B" w:rsidP="00CF1B1B">
      <w:pPr>
        <w:spacing w:line="360" w:lineRule="auto"/>
        <w:ind w:firstLine="708"/>
        <w:jc w:val="both"/>
        <w:rPr>
          <w:rFonts w:ascii="Arial" w:eastAsia="Calibri" w:hAnsi="Arial" w:cs="Arial"/>
          <w:sz w:val="26"/>
          <w:szCs w:val="26"/>
        </w:rPr>
      </w:pPr>
    </w:p>
    <w:p w:rsidR="00CF1B1B" w:rsidRPr="00CF1B1B" w:rsidRDefault="00CF1B1B" w:rsidP="00CF1B1B">
      <w:pPr>
        <w:spacing w:line="360" w:lineRule="auto"/>
        <w:ind w:firstLine="709"/>
        <w:jc w:val="both"/>
        <w:rPr>
          <w:rFonts w:ascii="Arial" w:eastAsia="Calibri" w:hAnsi="Arial" w:cs="Arial"/>
          <w:sz w:val="26"/>
          <w:szCs w:val="26"/>
        </w:rPr>
      </w:pPr>
      <w:r w:rsidRPr="00CF1B1B">
        <w:rPr>
          <w:rFonts w:ascii="Arial" w:hAnsi="Arial" w:cs="Arial"/>
          <w:b/>
          <w:sz w:val="26"/>
          <w:szCs w:val="26"/>
        </w:rPr>
        <w:t xml:space="preserve">SEGUNDO. NOTIFÍQUESE </w:t>
      </w:r>
      <w:r w:rsidR="00BD4A68">
        <w:rPr>
          <w:rFonts w:ascii="Arial" w:hAnsi="Arial" w:cs="Arial"/>
          <w:b/>
          <w:sz w:val="26"/>
          <w:szCs w:val="26"/>
        </w:rPr>
        <w:t>Y CÚ</w:t>
      </w:r>
      <w:r w:rsidRPr="00CF1B1B">
        <w:rPr>
          <w:rFonts w:ascii="Arial" w:hAnsi="Arial" w:cs="Arial"/>
          <w:b/>
          <w:sz w:val="26"/>
          <w:szCs w:val="26"/>
        </w:rPr>
        <w:t>MPLASE,</w:t>
      </w:r>
      <w:r w:rsidRPr="00CF1B1B">
        <w:rPr>
          <w:rFonts w:ascii="Arial" w:hAnsi="Arial" w:cs="Arial"/>
          <w:sz w:val="26"/>
          <w:szCs w:val="26"/>
        </w:rPr>
        <w:t xml:space="preserve"> con copia certificada de la presente resolución, vuelvan las constancias remitidas a la Séptima Sala Unitaria de Primera Instancia, </w:t>
      </w:r>
      <w:r w:rsidRPr="00CF1B1B">
        <w:rPr>
          <w:rFonts w:ascii="Arial" w:eastAsia="Calibri" w:hAnsi="Arial" w:cs="Arial"/>
          <w:sz w:val="26"/>
          <w:szCs w:val="26"/>
        </w:rPr>
        <w:t>y en su oportunidad archívese el cuaderno de revisión como concluido.</w:t>
      </w:r>
    </w:p>
    <w:p w:rsidR="00CF1B1B" w:rsidRDefault="00CF1B1B" w:rsidP="00CF1B1B"/>
    <w:p w:rsidR="00F72348" w:rsidRPr="00F86E9C" w:rsidRDefault="00F72348" w:rsidP="00F72348">
      <w:pPr>
        <w:spacing w:before="240" w:line="360" w:lineRule="auto"/>
        <w:ind w:firstLine="708"/>
        <w:jc w:val="both"/>
        <w:rPr>
          <w:rFonts w:ascii="Arial" w:hAnsi="Arial" w:cs="Arial"/>
          <w:sz w:val="26"/>
          <w:szCs w:val="26"/>
        </w:rPr>
      </w:pPr>
      <w:r>
        <w:rPr>
          <w:rFonts w:ascii="Arial" w:hAnsi="Arial" w:cs="Arial"/>
          <w:sz w:val="26"/>
          <w:szCs w:val="26"/>
        </w:rPr>
        <w:t>P</w:t>
      </w:r>
      <w:r w:rsidRPr="00C61187">
        <w:rPr>
          <w:rFonts w:ascii="Arial" w:hAnsi="Arial" w:cs="Arial"/>
          <w:sz w:val="26"/>
          <w:szCs w:val="26"/>
        </w:rPr>
        <w:t>or unanimidad de votos, lo resolvieron y firmaron los Magistrados</w:t>
      </w:r>
      <w:r>
        <w:rPr>
          <w:rFonts w:ascii="Arial" w:hAnsi="Arial" w:cs="Arial"/>
          <w:sz w:val="26"/>
          <w:szCs w:val="26"/>
        </w:rPr>
        <w:t xml:space="preserve"> Integrantes de Sala Superior del Tribunal de Justicia Administrativa para el Estado de Oaxaca; q</w:t>
      </w:r>
      <w:r w:rsidRPr="00C61187">
        <w:rPr>
          <w:rFonts w:ascii="Arial" w:hAnsi="Arial" w:cs="Arial"/>
          <w:sz w:val="26"/>
          <w:szCs w:val="26"/>
        </w:rPr>
        <w:t>uienes actúan con l</w:t>
      </w:r>
      <w:r>
        <w:rPr>
          <w:rFonts w:ascii="Arial" w:hAnsi="Arial" w:cs="Arial"/>
          <w:sz w:val="26"/>
          <w:szCs w:val="26"/>
        </w:rPr>
        <w:t>a</w:t>
      </w:r>
      <w:r w:rsidRPr="00C61187">
        <w:rPr>
          <w:rFonts w:ascii="Arial" w:hAnsi="Arial" w:cs="Arial"/>
          <w:sz w:val="26"/>
          <w:szCs w:val="26"/>
        </w:rPr>
        <w:t xml:space="preserve"> Secretari</w:t>
      </w:r>
      <w:r>
        <w:rPr>
          <w:rFonts w:ascii="Arial" w:hAnsi="Arial" w:cs="Arial"/>
          <w:sz w:val="26"/>
          <w:szCs w:val="26"/>
        </w:rPr>
        <w:t>a</w:t>
      </w:r>
      <w:r w:rsidRPr="00C61187">
        <w:rPr>
          <w:rFonts w:ascii="Arial" w:hAnsi="Arial" w:cs="Arial"/>
          <w:sz w:val="26"/>
          <w:szCs w:val="26"/>
        </w:rPr>
        <w:t xml:space="preserve"> General de Acuerdos de este T</w:t>
      </w:r>
      <w:r>
        <w:rPr>
          <w:rFonts w:ascii="Arial" w:hAnsi="Arial" w:cs="Arial"/>
          <w:sz w:val="26"/>
          <w:szCs w:val="26"/>
        </w:rPr>
        <w:t>ribunal, que autoriza y da fe.</w:t>
      </w:r>
    </w:p>
    <w:p w:rsidR="00F72348" w:rsidRDefault="00F72348" w:rsidP="00F72348">
      <w:pPr>
        <w:rPr>
          <w:rFonts w:ascii="Arial" w:hAnsi="Arial" w:cs="Arial"/>
          <w:sz w:val="20"/>
          <w:szCs w:val="20"/>
        </w:rPr>
      </w:pPr>
      <w:r>
        <w:rPr>
          <w:rFonts w:ascii="Arial" w:hAnsi="Arial" w:cs="Arial"/>
          <w:sz w:val="20"/>
          <w:szCs w:val="20"/>
        </w:rPr>
        <w:t xml:space="preserve">                            </w:t>
      </w: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9C0286" w:rsidRDefault="009C0286" w:rsidP="00F72348">
      <w:pPr>
        <w:rPr>
          <w:rFonts w:ascii="Arial" w:hAnsi="Arial" w:cs="Arial"/>
          <w:sz w:val="20"/>
          <w:szCs w:val="20"/>
        </w:rPr>
      </w:pPr>
    </w:p>
    <w:p w:rsidR="00F72348" w:rsidRDefault="00F72348" w:rsidP="00F72348">
      <w:pPr>
        <w:rPr>
          <w:rFonts w:ascii="Arial" w:hAnsi="Arial" w:cs="Arial"/>
          <w:sz w:val="20"/>
          <w:szCs w:val="20"/>
        </w:rPr>
      </w:pPr>
    </w:p>
    <w:p w:rsidR="00F72348" w:rsidRDefault="00F72348" w:rsidP="00F72348">
      <w:pPr>
        <w:ind w:left="708" w:firstLine="708"/>
        <w:rPr>
          <w:rFonts w:ascii="Arial" w:hAnsi="Arial" w:cs="Arial"/>
          <w:sz w:val="26"/>
          <w:szCs w:val="26"/>
        </w:rPr>
      </w:pPr>
      <w:r w:rsidRPr="00CE5C32">
        <w:rPr>
          <w:rFonts w:ascii="Arial" w:hAnsi="Arial" w:cs="Arial"/>
          <w:sz w:val="26"/>
          <w:szCs w:val="26"/>
        </w:rPr>
        <w:t>MAGISTRADO ADRIÁN QUIROGA AVENDAÑO</w:t>
      </w:r>
    </w:p>
    <w:p w:rsidR="00F72348" w:rsidRDefault="00F72348" w:rsidP="00F72348">
      <w:pPr>
        <w:jc w:val="center"/>
        <w:rPr>
          <w:rFonts w:ascii="Arial" w:hAnsi="Arial" w:cs="Arial"/>
          <w:sz w:val="26"/>
          <w:szCs w:val="26"/>
        </w:rPr>
      </w:pPr>
      <w:r>
        <w:rPr>
          <w:rFonts w:ascii="Arial" w:hAnsi="Arial" w:cs="Arial"/>
          <w:sz w:val="26"/>
          <w:szCs w:val="26"/>
        </w:rPr>
        <w:t>PRESIDENTE</w:t>
      </w:r>
    </w:p>
    <w:p w:rsidR="00F72348" w:rsidRDefault="00F72348" w:rsidP="00F72348">
      <w:pPr>
        <w:jc w:val="center"/>
        <w:rPr>
          <w:rFonts w:ascii="Arial" w:hAnsi="Arial" w:cs="Arial"/>
          <w:sz w:val="26"/>
          <w:szCs w:val="26"/>
        </w:rPr>
      </w:pPr>
    </w:p>
    <w:p w:rsidR="00F72348" w:rsidRDefault="00F72348" w:rsidP="00F72348">
      <w:pPr>
        <w:jc w:val="center"/>
        <w:rPr>
          <w:rFonts w:ascii="Arial" w:hAnsi="Arial" w:cs="Arial"/>
          <w:sz w:val="26"/>
          <w:szCs w:val="26"/>
        </w:rPr>
      </w:pPr>
    </w:p>
    <w:p w:rsidR="00F72348" w:rsidRDefault="00F72348" w:rsidP="00F72348">
      <w:pPr>
        <w:jc w:val="center"/>
        <w:rPr>
          <w:rFonts w:ascii="Arial" w:hAnsi="Arial" w:cs="Arial"/>
          <w:sz w:val="26"/>
          <w:szCs w:val="26"/>
        </w:rPr>
      </w:pPr>
    </w:p>
    <w:p w:rsidR="009C0286" w:rsidRDefault="009C0286" w:rsidP="00F72348">
      <w:pPr>
        <w:jc w:val="center"/>
        <w:rPr>
          <w:rFonts w:ascii="Arial" w:hAnsi="Arial" w:cs="Arial"/>
          <w:sz w:val="26"/>
          <w:szCs w:val="26"/>
        </w:rPr>
      </w:pPr>
    </w:p>
    <w:p w:rsidR="00F72348" w:rsidRPr="00BD4A68" w:rsidRDefault="00BD4A68" w:rsidP="00F72348">
      <w:pPr>
        <w:jc w:val="center"/>
        <w:rPr>
          <w:rFonts w:ascii="Arial" w:hAnsi="Arial" w:cs="Arial"/>
          <w:b/>
          <w:sz w:val="14"/>
          <w:szCs w:val="26"/>
        </w:rPr>
      </w:pPr>
      <w:r w:rsidRPr="00BD4A68">
        <w:rPr>
          <w:rFonts w:ascii="Arial" w:hAnsi="Arial" w:cs="Arial"/>
          <w:b/>
          <w:sz w:val="14"/>
          <w:szCs w:val="26"/>
        </w:rPr>
        <w:lastRenderedPageBreak/>
        <w:t>LAS PRESENTES FIRMAS CORRESPONDEN AL RECURSO DE REVISIÓN 465/2018</w:t>
      </w:r>
    </w:p>
    <w:p w:rsidR="00F72348" w:rsidRDefault="00F72348" w:rsidP="00F72348">
      <w:pPr>
        <w:jc w:val="center"/>
        <w:rPr>
          <w:rFonts w:ascii="Arial" w:hAnsi="Arial" w:cs="Arial"/>
          <w:sz w:val="26"/>
          <w:szCs w:val="26"/>
        </w:rPr>
      </w:pPr>
    </w:p>
    <w:p w:rsidR="00BD4A68" w:rsidRDefault="00BD4A68" w:rsidP="00F72348">
      <w:pPr>
        <w:jc w:val="center"/>
        <w:rPr>
          <w:rFonts w:ascii="Arial" w:hAnsi="Arial" w:cs="Arial"/>
          <w:sz w:val="26"/>
          <w:szCs w:val="26"/>
        </w:rPr>
      </w:pPr>
    </w:p>
    <w:p w:rsidR="00BD4A68" w:rsidRDefault="00BD4A68" w:rsidP="00F72348">
      <w:pPr>
        <w:jc w:val="center"/>
        <w:rPr>
          <w:rFonts w:ascii="Arial" w:hAnsi="Arial" w:cs="Arial"/>
          <w:sz w:val="26"/>
          <w:szCs w:val="26"/>
        </w:rPr>
      </w:pPr>
    </w:p>
    <w:p w:rsidR="00BD4A68" w:rsidRDefault="00BD4A68" w:rsidP="00F72348">
      <w:pPr>
        <w:jc w:val="center"/>
        <w:rPr>
          <w:rFonts w:ascii="Arial" w:hAnsi="Arial" w:cs="Arial"/>
          <w:sz w:val="26"/>
          <w:szCs w:val="26"/>
        </w:rPr>
      </w:pPr>
    </w:p>
    <w:p w:rsidR="00BD4A68" w:rsidRDefault="00BD4A68" w:rsidP="00F72348">
      <w:pPr>
        <w:jc w:val="center"/>
        <w:rPr>
          <w:rFonts w:ascii="Arial" w:hAnsi="Arial" w:cs="Arial"/>
          <w:sz w:val="26"/>
          <w:szCs w:val="26"/>
        </w:rPr>
      </w:pPr>
    </w:p>
    <w:p w:rsidR="00BD4A68" w:rsidRDefault="00BD4A68" w:rsidP="00F72348">
      <w:pPr>
        <w:jc w:val="center"/>
        <w:rPr>
          <w:rFonts w:ascii="Arial" w:hAnsi="Arial" w:cs="Arial"/>
          <w:sz w:val="26"/>
          <w:szCs w:val="26"/>
        </w:rPr>
      </w:pPr>
    </w:p>
    <w:p w:rsidR="00BD4A68" w:rsidRDefault="00BD4A68" w:rsidP="00F72348">
      <w:pPr>
        <w:jc w:val="center"/>
        <w:rPr>
          <w:rFonts w:ascii="Arial" w:hAnsi="Arial" w:cs="Arial"/>
          <w:sz w:val="26"/>
          <w:szCs w:val="26"/>
        </w:rPr>
      </w:pPr>
    </w:p>
    <w:p w:rsidR="00F72348" w:rsidRDefault="00F72348" w:rsidP="00F72348">
      <w:pPr>
        <w:jc w:val="center"/>
        <w:rPr>
          <w:rFonts w:ascii="Arial" w:hAnsi="Arial" w:cs="Arial"/>
          <w:sz w:val="26"/>
          <w:szCs w:val="26"/>
        </w:rPr>
      </w:pPr>
    </w:p>
    <w:p w:rsidR="00F72348" w:rsidRDefault="00F72348" w:rsidP="00F72348">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t>MAGISTRADO HUGO VILLEGAS AQUINO</w:t>
      </w:r>
    </w:p>
    <w:p w:rsidR="00F72348" w:rsidRDefault="00F72348" w:rsidP="00F72348">
      <w:pPr>
        <w:tabs>
          <w:tab w:val="left" w:pos="1680"/>
          <w:tab w:val="center" w:pos="4277"/>
        </w:tabs>
        <w:spacing w:line="360" w:lineRule="auto"/>
        <w:jc w:val="center"/>
        <w:rPr>
          <w:rFonts w:ascii="Arial" w:hAnsi="Arial" w:cs="Arial"/>
          <w:sz w:val="26"/>
          <w:szCs w:val="26"/>
        </w:rPr>
      </w:pPr>
    </w:p>
    <w:p w:rsidR="00F72348" w:rsidRDefault="00F72348" w:rsidP="00F72348">
      <w:pPr>
        <w:tabs>
          <w:tab w:val="left" w:pos="1680"/>
          <w:tab w:val="center" w:pos="4277"/>
        </w:tabs>
        <w:spacing w:line="360" w:lineRule="auto"/>
        <w:jc w:val="center"/>
        <w:rPr>
          <w:rFonts w:ascii="Arial" w:hAnsi="Arial" w:cs="Arial"/>
          <w:sz w:val="26"/>
          <w:szCs w:val="26"/>
        </w:rPr>
      </w:pPr>
    </w:p>
    <w:p w:rsidR="009C0286" w:rsidRPr="00CE5C32" w:rsidRDefault="009C0286" w:rsidP="00F72348">
      <w:pPr>
        <w:tabs>
          <w:tab w:val="left" w:pos="1680"/>
          <w:tab w:val="center" w:pos="4277"/>
        </w:tabs>
        <w:spacing w:line="360" w:lineRule="auto"/>
        <w:jc w:val="center"/>
        <w:rPr>
          <w:rFonts w:ascii="Arial" w:hAnsi="Arial" w:cs="Arial"/>
          <w:sz w:val="26"/>
          <w:szCs w:val="26"/>
        </w:rPr>
      </w:pPr>
    </w:p>
    <w:p w:rsidR="00F72348" w:rsidRDefault="00F72348" w:rsidP="00F72348">
      <w:pPr>
        <w:spacing w:line="360" w:lineRule="auto"/>
        <w:jc w:val="center"/>
        <w:rPr>
          <w:rFonts w:ascii="Arial" w:hAnsi="Arial" w:cs="Arial"/>
          <w:sz w:val="26"/>
          <w:szCs w:val="26"/>
        </w:rPr>
      </w:pPr>
    </w:p>
    <w:p w:rsidR="004F7BB2" w:rsidRDefault="004F7BB2" w:rsidP="00F72348">
      <w:pPr>
        <w:spacing w:line="360" w:lineRule="auto"/>
        <w:jc w:val="center"/>
        <w:rPr>
          <w:rFonts w:ascii="Arial" w:hAnsi="Arial" w:cs="Arial"/>
          <w:sz w:val="26"/>
          <w:szCs w:val="26"/>
        </w:rPr>
      </w:pPr>
    </w:p>
    <w:p w:rsidR="00F72348" w:rsidRDefault="00F72348" w:rsidP="00F72348">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F72348" w:rsidRDefault="00F72348" w:rsidP="00F72348">
      <w:pPr>
        <w:spacing w:line="360" w:lineRule="auto"/>
        <w:jc w:val="center"/>
        <w:rPr>
          <w:rFonts w:ascii="Arial" w:hAnsi="Arial" w:cs="Arial"/>
          <w:sz w:val="26"/>
          <w:szCs w:val="26"/>
        </w:rPr>
      </w:pPr>
    </w:p>
    <w:p w:rsidR="004F7BB2" w:rsidRDefault="004F7BB2" w:rsidP="00F72348">
      <w:pPr>
        <w:spacing w:line="360" w:lineRule="auto"/>
        <w:jc w:val="center"/>
        <w:rPr>
          <w:rFonts w:ascii="Arial" w:hAnsi="Arial" w:cs="Arial"/>
          <w:sz w:val="26"/>
          <w:szCs w:val="26"/>
        </w:rPr>
      </w:pPr>
    </w:p>
    <w:p w:rsidR="00BD4A68" w:rsidRDefault="00BD4A68" w:rsidP="00F72348">
      <w:pPr>
        <w:spacing w:line="360" w:lineRule="auto"/>
        <w:jc w:val="center"/>
        <w:rPr>
          <w:rFonts w:ascii="Arial" w:hAnsi="Arial" w:cs="Arial"/>
          <w:sz w:val="26"/>
          <w:szCs w:val="26"/>
        </w:rPr>
      </w:pPr>
    </w:p>
    <w:p w:rsidR="004F7BB2" w:rsidRDefault="004F7BB2" w:rsidP="00F72348">
      <w:pPr>
        <w:spacing w:line="360" w:lineRule="auto"/>
        <w:jc w:val="center"/>
        <w:rPr>
          <w:rFonts w:ascii="Arial" w:hAnsi="Arial" w:cs="Arial"/>
          <w:sz w:val="26"/>
          <w:szCs w:val="26"/>
        </w:rPr>
      </w:pPr>
    </w:p>
    <w:p w:rsidR="004F7BB2" w:rsidRPr="00CE5C32" w:rsidRDefault="004F7BB2" w:rsidP="00F72348">
      <w:pPr>
        <w:spacing w:line="360" w:lineRule="auto"/>
        <w:jc w:val="center"/>
        <w:rPr>
          <w:rFonts w:ascii="Arial" w:hAnsi="Arial" w:cs="Arial"/>
          <w:sz w:val="26"/>
          <w:szCs w:val="26"/>
        </w:rPr>
      </w:pPr>
    </w:p>
    <w:p w:rsidR="00F72348" w:rsidRDefault="004F7BB2" w:rsidP="00F72348">
      <w:pPr>
        <w:spacing w:line="360" w:lineRule="auto"/>
        <w:rPr>
          <w:rFonts w:ascii="Arial" w:hAnsi="Arial" w:cs="Arial"/>
          <w:sz w:val="26"/>
          <w:szCs w:val="26"/>
        </w:rPr>
      </w:pPr>
      <w:r>
        <w:rPr>
          <w:rFonts w:ascii="Arial" w:hAnsi="Arial" w:cs="Arial"/>
          <w:sz w:val="26"/>
          <w:szCs w:val="26"/>
        </w:rPr>
        <w:t xml:space="preserve">              </w:t>
      </w:r>
      <w:r w:rsidR="00F72348">
        <w:rPr>
          <w:rFonts w:ascii="Arial" w:hAnsi="Arial" w:cs="Arial"/>
          <w:sz w:val="26"/>
          <w:szCs w:val="26"/>
        </w:rPr>
        <w:t xml:space="preserve"> </w:t>
      </w:r>
      <w:r w:rsidR="00F72348" w:rsidRPr="00CE5C32">
        <w:rPr>
          <w:rFonts w:ascii="Arial" w:hAnsi="Arial" w:cs="Arial"/>
          <w:sz w:val="26"/>
          <w:szCs w:val="26"/>
        </w:rPr>
        <w:t>MAGISTRADA MARÍA ELENA VILLA DE JARQUÍN</w:t>
      </w:r>
    </w:p>
    <w:p w:rsidR="00F72348" w:rsidRDefault="00F72348" w:rsidP="00F72348">
      <w:pPr>
        <w:spacing w:line="360" w:lineRule="auto"/>
        <w:rPr>
          <w:rFonts w:ascii="Arial" w:hAnsi="Arial" w:cs="Arial"/>
          <w:sz w:val="26"/>
          <w:szCs w:val="26"/>
        </w:rPr>
      </w:pPr>
    </w:p>
    <w:p w:rsidR="004F7BB2" w:rsidRDefault="004F7BB2" w:rsidP="00F72348">
      <w:pPr>
        <w:spacing w:line="360" w:lineRule="auto"/>
        <w:rPr>
          <w:rFonts w:ascii="Arial" w:hAnsi="Arial" w:cs="Arial"/>
          <w:sz w:val="26"/>
          <w:szCs w:val="26"/>
        </w:rPr>
      </w:pPr>
    </w:p>
    <w:p w:rsidR="00F72348" w:rsidRDefault="00F72348" w:rsidP="00F72348">
      <w:pPr>
        <w:spacing w:line="360" w:lineRule="auto"/>
        <w:rPr>
          <w:rFonts w:ascii="Arial" w:hAnsi="Arial" w:cs="Arial"/>
          <w:sz w:val="26"/>
          <w:szCs w:val="26"/>
        </w:rPr>
      </w:pPr>
    </w:p>
    <w:p w:rsidR="00BD4A68" w:rsidRDefault="00BD4A68" w:rsidP="00F72348">
      <w:pPr>
        <w:spacing w:line="360" w:lineRule="auto"/>
        <w:rPr>
          <w:rFonts w:ascii="Arial" w:hAnsi="Arial" w:cs="Arial"/>
          <w:sz w:val="26"/>
          <w:szCs w:val="26"/>
        </w:rPr>
      </w:pPr>
    </w:p>
    <w:p w:rsidR="004F7BB2" w:rsidRPr="00CE5C32" w:rsidRDefault="004F7BB2" w:rsidP="00F72348">
      <w:pPr>
        <w:spacing w:line="360" w:lineRule="auto"/>
        <w:rPr>
          <w:rFonts w:ascii="Arial" w:hAnsi="Arial" w:cs="Arial"/>
          <w:sz w:val="26"/>
          <w:szCs w:val="26"/>
        </w:rPr>
      </w:pPr>
    </w:p>
    <w:p w:rsidR="00F72348" w:rsidRDefault="00F72348" w:rsidP="00F72348">
      <w:pPr>
        <w:spacing w:line="360" w:lineRule="auto"/>
        <w:jc w:val="center"/>
        <w:rPr>
          <w:rFonts w:ascii="Arial" w:hAnsi="Arial" w:cs="Arial"/>
          <w:sz w:val="26"/>
          <w:szCs w:val="26"/>
        </w:rPr>
      </w:pPr>
      <w:r>
        <w:rPr>
          <w:rFonts w:ascii="Arial" w:hAnsi="Arial" w:cs="Arial"/>
          <w:sz w:val="26"/>
          <w:szCs w:val="26"/>
        </w:rPr>
        <w:t>MAGISTRADO MANUEL VELASCO ALCÁNTARA</w:t>
      </w:r>
    </w:p>
    <w:p w:rsidR="00F72348" w:rsidRDefault="00F72348" w:rsidP="00F72348">
      <w:pPr>
        <w:spacing w:line="360" w:lineRule="auto"/>
        <w:jc w:val="center"/>
        <w:rPr>
          <w:rFonts w:ascii="Arial" w:hAnsi="Arial" w:cs="Arial"/>
          <w:sz w:val="26"/>
          <w:szCs w:val="26"/>
        </w:rPr>
      </w:pPr>
    </w:p>
    <w:p w:rsidR="009C0286" w:rsidRDefault="009C0286" w:rsidP="009C0286">
      <w:pPr>
        <w:spacing w:line="360" w:lineRule="auto"/>
        <w:rPr>
          <w:rFonts w:ascii="Arial" w:hAnsi="Arial" w:cs="Arial"/>
          <w:sz w:val="26"/>
          <w:szCs w:val="26"/>
        </w:rPr>
      </w:pPr>
    </w:p>
    <w:p w:rsidR="00BD4A68" w:rsidRDefault="00BD4A68" w:rsidP="009C0286">
      <w:pPr>
        <w:spacing w:line="360" w:lineRule="auto"/>
        <w:rPr>
          <w:rFonts w:ascii="Arial" w:hAnsi="Arial" w:cs="Arial"/>
          <w:sz w:val="26"/>
          <w:szCs w:val="26"/>
        </w:rPr>
      </w:pPr>
    </w:p>
    <w:p w:rsidR="00BD4A68" w:rsidRDefault="00BD4A68" w:rsidP="009C0286">
      <w:pPr>
        <w:spacing w:line="360" w:lineRule="auto"/>
        <w:rPr>
          <w:rFonts w:ascii="Arial" w:hAnsi="Arial" w:cs="Arial"/>
          <w:sz w:val="26"/>
          <w:szCs w:val="26"/>
        </w:rPr>
      </w:pPr>
    </w:p>
    <w:p w:rsidR="009C0286" w:rsidRDefault="009C0286" w:rsidP="009C0286">
      <w:pPr>
        <w:spacing w:line="360" w:lineRule="auto"/>
        <w:rPr>
          <w:rFonts w:ascii="Arial" w:hAnsi="Arial" w:cs="Arial"/>
          <w:sz w:val="26"/>
          <w:szCs w:val="26"/>
        </w:rPr>
      </w:pPr>
    </w:p>
    <w:p w:rsidR="00F72348" w:rsidRDefault="00F72348" w:rsidP="00F72348">
      <w:pPr>
        <w:jc w:val="center"/>
        <w:rPr>
          <w:rFonts w:ascii="Arial" w:hAnsi="Arial" w:cs="Arial"/>
          <w:sz w:val="26"/>
          <w:szCs w:val="26"/>
        </w:rPr>
      </w:pPr>
      <w:r>
        <w:rPr>
          <w:rFonts w:ascii="Arial" w:hAnsi="Arial" w:cs="Arial"/>
          <w:sz w:val="26"/>
          <w:szCs w:val="26"/>
        </w:rPr>
        <w:t>LICENCIADA  LETICIA GARCÍA SOTO</w:t>
      </w:r>
    </w:p>
    <w:p w:rsidR="004D0EEB" w:rsidRPr="00442A4F" w:rsidRDefault="00F72348" w:rsidP="00442A4F">
      <w:pPr>
        <w:jc w:val="center"/>
        <w:rPr>
          <w:rFonts w:ascii="Arial" w:hAnsi="Arial" w:cs="Arial"/>
          <w:sz w:val="26"/>
          <w:szCs w:val="26"/>
        </w:rPr>
      </w:pPr>
      <w:r w:rsidRPr="00CE5C32">
        <w:rPr>
          <w:rFonts w:ascii="Arial" w:hAnsi="Arial" w:cs="Arial"/>
          <w:sz w:val="26"/>
          <w:szCs w:val="26"/>
        </w:rPr>
        <w:t>SECRETARIA GENERAL DE ACUERDOS</w:t>
      </w:r>
    </w:p>
    <w:sectPr w:rsidR="004D0EEB" w:rsidRPr="00442A4F" w:rsidSect="001B639B">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C57" w:rsidRDefault="00463C57">
      <w:r>
        <w:separator/>
      </w:r>
    </w:p>
  </w:endnote>
  <w:endnote w:type="continuationSeparator" w:id="0">
    <w:p w:rsidR="00463C57" w:rsidRDefault="0046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80A" w:rsidRDefault="007448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80A" w:rsidRDefault="0074480A">
    <w:pPr>
      <w:pStyle w:val="Piedepgina"/>
    </w:pPr>
    <w:r>
      <w:rPr>
        <w:noProof/>
        <w:lang w:eastAsia="es-MX"/>
      </w:rPr>
      <w:drawing>
        <wp:anchor distT="0" distB="0" distL="114300" distR="114300" simplePos="0" relativeHeight="251671552" behindDoc="0" locked="0" layoutInCell="1" allowOverlap="1" wp14:anchorId="748F44EA" wp14:editId="3753CC54">
          <wp:simplePos x="0" y="0"/>
          <wp:positionH relativeFrom="column">
            <wp:posOffset>-1251585</wp:posOffset>
          </wp:positionH>
          <wp:positionV relativeFrom="paragraph">
            <wp:posOffset>-5093970</wp:posOffset>
          </wp:positionV>
          <wp:extent cx="1188720" cy="1122045"/>
          <wp:effectExtent l="0" t="0" r="0" b="190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80A" w:rsidRDefault="007448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C57" w:rsidRDefault="00463C57">
      <w:r>
        <w:separator/>
      </w:r>
    </w:p>
  </w:footnote>
  <w:footnote w:type="continuationSeparator" w:id="0">
    <w:p w:rsidR="00463C57" w:rsidRDefault="00463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524A9E" w:rsidRDefault="00E42433">
        <w:pPr>
          <w:pStyle w:val="Encabezado"/>
          <w:jc w:val="center"/>
        </w:pPr>
        <w:r>
          <w:rPr>
            <w:noProof/>
          </w:rPr>
          <w:fldChar w:fldCharType="begin"/>
        </w:r>
        <w:r>
          <w:rPr>
            <w:noProof/>
          </w:rPr>
          <w:instrText>PAGE   \* MERGEFORMAT</w:instrText>
        </w:r>
        <w:r>
          <w:rPr>
            <w:noProof/>
          </w:rPr>
          <w:fldChar w:fldCharType="separate"/>
        </w:r>
        <w:r w:rsidR="0074480A">
          <w:rPr>
            <w:noProof/>
          </w:rPr>
          <w:t>2</w:t>
        </w:r>
        <w:r>
          <w:rPr>
            <w:noProof/>
          </w:rPr>
          <w:fldChar w:fldCharType="end"/>
        </w:r>
      </w:p>
    </w:sdtContent>
  </w:sdt>
  <w:p w:rsidR="00524A9E" w:rsidRDefault="0074480A">
    <w:pPr>
      <w:pStyle w:val="Encabezado"/>
    </w:pPr>
    <w:bookmarkStart w:id="0" w:name="_GoBack"/>
    <w:r>
      <w:rPr>
        <w:noProof/>
        <w:lang w:eastAsia="es-MX"/>
      </w:rPr>
      <w:drawing>
        <wp:anchor distT="0" distB="0" distL="114300" distR="114300" simplePos="0" relativeHeight="251669504" behindDoc="0" locked="0" layoutInCell="1" allowOverlap="1" wp14:anchorId="03F36CE0" wp14:editId="2CA48366">
          <wp:simplePos x="0" y="0"/>
          <wp:positionH relativeFrom="column">
            <wp:posOffset>5253990</wp:posOffset>
          </wp:positionH>
          <wp:positionV relativeFrom="paragraph">
            <wp:posOffset>5607685</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524A9E" w:rsidRDefault="00E42433" w:rsidP="00F8331C">
        <w:pPr>
          <w:pStyle w:val="Encabezado"/>
          <w:jc w:val="center"/>
          <w:rPr>
            <w:noProof/>
          </w:rPr>
        </w:pPr>
        <w:r>
          <w:rPr>
            <w:noProof/>
          </w:rPr>
          <w:fldChar w:fldCharType="begin"/>
        </w:r>
        <w:r>
          <w:rPr>
            <w:noProof/>
          </w:rPr>
          <w:instrText xml:space="preserve"> PAGE   \* MERGEFORMAT </w:instrText>
        </w:r>
        <w:r>
          <w:rPr>
            <w:noProof/>
          </w:rPr>
          <w:fldChar w:fldCharType="separate"/>
        </w:r>
        <w:r w:rsidR="0074480A">
          <w:rPr>
            <w:noProof/>
          </w:rPr>
          <w:t>1</w:t>
        </w:r>
        <w:r>
          <w:rPr>
            <w:noProof/>
          </w:rPr>
          <w:fldChar w:fldCharType="end"/>
        </w:r>
      </w:p>
    </w:sdtContent>
  </w:sdt>
  <w:p w:rsidR="00524A9E" w:rsidRDefault="00524A9E" w:rsidP="00F8331C">
    <w:pPr>
      <w:pStyle w:val="Encabezado"/>
      <w:jc w:val="center"/>
    </w:pPr>
    <w:r>
      <w:rPr>
        <w:noProof/>
        <w:lang w:val="es-MX" w:eastAsia="es-MX"/>
      </w:rPr>
      <w:drawing>
        <wp:anchor distT="0" distB="0" distL="114300" distR="114300" simplePos="0" relativeHeight="251659264" behindDoc="1" locked="0" layoutInCell="1" allowOverlap="1" wp14:anchorId="6636CA16" wp14:editId="5EF3A367">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1072" behindDoc="0" locked="0" layoutInCell="1" allowOverlap="1" wp14:anchorId="43D09875" wp14:editId="3475ABE1">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80A" w:rsidRDefault="007448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D5"/>
    <w:rsid w:val="00002844"/>
    <w:rsid w:val="00005271"/>
    <w:rsid w:val="00026EB9"/>
    <w:rsid w:val="00030CA4"/>
    <w:rsid w:val="00043210"/>
    <w:rsid w:val="0004439E"/>
    <w:rsid w:val="000447E8"/>
    <w:rsid w:val="00046DB2"/>
    <w:rsid w:val="00051E1B"/>
    <w:rsid w:val="00052012"/>
    <w:rsid w:val="00092DAC"/>
    <w:rsid w:val="000A6960"/>
    <w:rsid w:val="000B2991"/>
    <w:rsid w:val="000C2E86"/>
    <w:rsid w:val="00100CD5"/>
    <w:rsid w:val="00123358"/>
    <w:rsid w:val="001460C3"/>
    <w:rsid w:val="00175188"/>
    <w:rsid w:val="001A42DD"/>
    <w:rsid w:val="001B639B"/>
    <w:rsid w:val="001C1537"/>
    <w:rsid w:val="001C5DD6"/>
    <w:rsid w:val="001C6254"/>
    <w:rsid w:val="001F05D6"/>
    <w:rsid w:val="001F6CA3"/>
    <w:rsid w:val="00223A86"/>
    <w:rsid w:val="00224898"/>
    <w:rsid w:val="002E19CB"/>
    <w:rsid w:val="002E2BA0"/>
    <w:rsid w:val="00315324"/>
    <w:rsid w:val="0032025C"/>
    <w:rsid w:val="003233E9"/>
    <w:rsid w:val="00357DFB"/>
    <w:rsid w:val="00390A07"/>
    <w:rsid w:val="00392A5B"/>
    <w:rsid w:val="00394391"/>
    <w:rsid w:val="003C623D"/>
    <w:rsid w:val="003C62C9"/>
    <w:rsid w:val="003E143A"/>
    <w:rsid w:val="003F5EAD"/>
    <w:rsid w:val="00434891"/>
    <w:rsid w:val="00442A4F"/>
    <w:rsid w:val="00460197"/>
    <w:rsid w:val="00463C57"/>
    <w:rsid w:val="004642E9"/>
    <w:rsid w:val="004D0EEB"/>
    <w:rsid w:val="004F7BB2"/>
    <w:rsid w:val="00524A9E"/>
    <w:rsid w:val="00530B56"/>
    <w:rsid w:val="00531C8A"/>
    <w:rsid w:val="00544A09"/>
    <w:rsid w:val="00581CFA"/>
    <w:rsid w:val="0059699E"/>
    <w:rsid w:val="005E0042"/>
    <w:rsid w:val="006224EF"/>
    <w:rsid w:val="006500B3"/>
    <w:rsid w:val="0068420B"/>
    <w:rsid w:val="00694548"/>
    <w:rsid w:val="006F2460"/>
    <w:rsid w:val="006F2A31"/>
    <w:rsid w:val="00726039"/>
    <w:rsid w:val="0074480A"/>
    <w:rsid w:val="007A08A3"/>
    <w:rsid w:val="007C1294"/>
    <w:rsid w:val="007E2A5E"/>
    <w:rsid w:val="007F1C52"/>
    <w:rsid w:val="008070F9"/>
    <w:rsid w:val="00816CF6"/>
    <w:rsid w:val="00860CB8"/>
    <w:rsid w:val="00863B53"/>
    <w:rsid w:val="008720D9"/>
    <w:rsid w:val="008834EE"/>
    <w:rsid w:val="00891F9E"/>
    <w:rsid w:val="008E322E"/>
    <w:rsid w:val="009229B9"/>
    <w:rsid w:val="00932A50"/>
    <w:rsid w:val="00936B59"/>
    <w:rsid w:val="00976313"/>
    <w:rsid w:val="00980758"/>
    <w:rsid w:val="009C0286"/>
    <w:rsid w:val="00A166A2"/>
    <w:rsid w:val="00A45791"/>
    <w:rsid w:val="00A52EBA"/>
    <w:rsid w:val="00A852C9"/>
    <w:rsid w:val="00A91769"/>
    <w:rsid w:val="00AA25E5"/>
    <w:rsid w:val="00AA4BB8"/>
    <w:rsid w:val="00AB3E34"/>
    <w:rsid w:val="00AC78DA"/>
    <w:rsid w:val="00B26346"/>
    <w:rsid w:val="00B6621B"/>
    <w:rsid w:val="00B862FD"/>
    <w:rsid w:val="00BD4A68"/>
    <w:rsid w:val="00BE0066"/>
    <w:rsid w:val="00BE40D1"/>
    <w:rsid w:val="00C35C4A"/>
    <w:rsid w:val="00C402C2"/>
    <w:rsid w:val="00C4290B"/>
    <w:rsid w:val="00C66996"/>
    <w:rsid w:val="00C779EF"/>
    <w:rsid w:val="00C848A0"/>
    <w:rsid w:val="00C84978"/>
    <w:rsid w:val="00CC2FF8"/>
    <w:rsid w:val="00CC4976"/>
    <w:rsid w:val="00CF1B1B"/>
    <w:rsid w:val="00D058D0"/>
    <w:rsid w:val="00D44245"/>
    <w:rsid w:val="00D50128"/>
    <w:rsid w:val="00DD2F6A"/>
    <w:rsid w:val="00DD2FC3"/>
    <w:rsid w:val="00DE0FA7"/>
    <w:rsid w:val="00E2475A"/>
    <w:rsid w:val="00E42433"/>
    <w:rsid w:val="00E731A4"/>
    <w:rsid w:val="00E92155"/>
    <w:rsid w:val="00EB233B"/>
    <w:rsid w:val="00EE2440"/>
    <w:rsid w:val="00EE767A"/>
    <w:rsid w:val="00F21784"/>
    <w:rsid w:val="00F72348"/>
    <w:rsid w:val="00F8331C"/>
    <w:rsid w:val="00FE06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70DCA-B17B-40B6-B98E-EB6322B7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D5"/>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0CD5"/>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100CD5"/>
    <w:rPr>
      <w:rFonts w:ascii="Times New Roman" w:eastAsia="PMingLiU" w:hAnsi="Times New Roman" w:cs="Times New Roman"/>
      <w:sz w:val="24"/>
      <w:szCs w:val="24"/>
      <w:lang w:val="es-ES" w:eastAsia="zh-TW"/>
    </w:rPr>
  </w:style>
  <w:style w:type="paragraph" w:styleId="Sinespaciado">
    <w:name w:val="No Spacing"/>
    <w:uiPriority w:val="1"/>
    <w:qFormat/>
    <w:rsid w:val="00100CD5"/>
    <w:pPr>
      <w:spacing w:after="0" w:line="240" w:lineRule="auto"/>
    </w:pPr>
    <w:rPr>
      <w:lang w:val="es-ES"/>
    </w:rPr>
  </w:style>
  <w:style w:type="paragraph" w:styleId="Textodeglobo">
    <w:name w:val="Balloon Text"/>
    <w:basedOn w:val="Normal"/>
    <w:link w:val="TextodegloboCar"/>
    <w:uiPriority w:val="99"/>
    <w:semiHidden/>
    <w:unhideWhenUsed/>
    <w:rsid w:val="001751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188"/>
    <w:rPr>
      <w:rFonts w:ascii="Segoe UI" w:hAnsi="Segoe UI" w:cs="Segoe UI"/>
      <w:sz w:val="18"/>
      <w:szCs w:val="18"/>
    </w:rPr>
  </w:style>
  <w:style w:type="paragraph" w:styleId="Piedepgina">
    <w:name w:val="footer"/>
    <w:basedOn w:val="Normal"/>
    <w:link w:val="PiedepginaCar"/>
    <w:uiPriority w:val="99"/>
    <w:unhideWhenUsed/>
    <w:rsid w:val="001B639B"/>
    <w:pPr>
      <w:tabs>
        <w:tab w:val="center" w:pos="4419"/>
        <w:tab w:val="right" w:pos="8838"/>
      </w:tabs>
    </w:pPr>
  </w:style>
  <w:style w:type="character" w:customStyle="1" w:styleId="PiedepginaCar">
    <w:name w:val="Pie de página Car"/>
    <w:basedOn w:val="Fuentedeprrafopredeter"/>
    <w:link w:val="Piedepgina"/>
    <w:uiPriority w:val="99"/>
    <w:rsid w:val="001B6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7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A2ED6-6413-4FB5-ACED-8234B9FE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1664</Words>
  <Characters>9156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TCAC-Personal</cp:lastModifiedBy>
  <cp:revision>24</cp:revision>
  <cp:lastPrinted>2019-06-17T15:57:00Z</cp:lastPrinted>
  <dcterms:created xsi:type="dcterms:W3CDTF">2019-06-12T14:13:00Z</dcterms:created>
  <dcterms:modified xsi:type="dcterms:W3CDTF">2019-07-10T20:05:00Z</dcterms:modified>
</cp:coreProperties>
</file>