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04" w:rsidRPr="001F0AA4" w:rsidRDefault="003A0F04" w:rsidP="003A0F04">
      <w:pPr>
        <w:pStyle w:val="Encabezado"/>
        <w:spacing w:line="360" w:lineRule="auto"/>
        <w:ind w:left="4248"/>
        <w:jc w:val="both"/>
        <w:rPr>
          <w:rFonts w:ascii="Arial" w:hAnsi="Arial" w:cs="Arial"/>
          <w:b/>
        </w:rPr>
      </w:pPr>
      <w:bookmarkStart w:id="0" w:name="_GoBack"/>
      <w:bookmarkEnd w:id="0"/>
      <w:r w:rsidRPr="001F0AA4">
        <w:rPr>
          <w:rFonts w:ascii="Arial" w:hAnsi="Arial" w:cs="Arial"/>
          <w:b/>
        </w:rPr>
        <w:t xml:space="preserve">SEXTA SALA UNITARIA DE PRIMERA INSTANCIA DEL TRIBUNAL </w:t>
      </w:r>
      <w:r w:rsidR="005A2A03">
        <w:rPr>
          <w:rFonts w:ascii="Arial" w:hAnsi="Arial" w:cs="Arial"/>
          <w:b/>
        </w:rPr>
        <w:t>DE JUSTICIA ADMINISTRATIVA</w:t>
      </w:r>
      <w:r w:rsidR="009D13B9">
        <w:rPr>
          <w:rFonts w:ascii="Arial" w:hAnsi="Arial" w:cs="Arial"/>
          <w:b/>
        </w:rPr>
        <w:t xml:space="preserve"> DEL ESTADO </w:t>
      </w:r>
      <w:r w:rsidRPr="001F0AA4">
        <w:rPr>
          <w:rFonts w:ascii="Arial" w:hAnsi="Arial" w:cs="Arial"/>
          <w:b/>
        </w:rPr>
        <w:t>DE OAXACA.</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5A2A03" w:rsidP="003A0F04">
      <w:pPr>
        <w:pStyle w:val="Encabezado"/>
        <w:spacing w:line="360" w:lineRule="auto"/>
        <w:ind w:left="4248"/>
        <w:jc w:val="both"/>
        <w:rPr>
          <w:rFonts w:ascii="Arial" w:hAnsi="Arial" w:cs="Arial"/>
          <w:b/>
        </w:rPr>
      </w:pPr>
      <w:r>
        <w:rPr>
          <w:rFonts w:ascii="Arial" w:hAnsi="Arial" w:cs="Arial"/>
          <w:b/>
        </w:rPr>
        <w:t xml:space="preserve">EXPEDIENTE: </w:t>
      </w:r>
      <w:r w:rsidR="008065E4">
        <w:rPr>
          <w:rFonts w:ascii="Arial" w:hAnsi="Arial" w:cs="Arial"/>
          <w:b/>
        </w:rPr>
        <w:t>44</w:t>
      </w:r>
      <w:r w:rsidR="00954DAB">
        <w:rPr>
          <w:rFonts w:ascii="Arial" w:hAnsi="Arial" w:cs="Arial"/>
          <w:b/>
        </w:rPr>
        <w:t>/2017</w:t>
      </w:r>
    </w:p>
    <w:p w:rsidR="003A0F04" w:rsidRPr="001F0AA4" w:rsidRDefault="003A0F04" w:rsidP="003A0F04">
      <w:pPr>
        <w:pStyle w:val="Encabezado"/>
        <w:tabs>
          <w:tab w:val="clear" w:pos="4419"/>
          <w:tab w:val="center" w:pos="8931"/>
        </w:tabs>
        <w:spacing w:line="360" w:lineRule="auto"/>
        <w:jc w:val="both"/>
        <w:rPr>
          <w:rFonts w:ascii="Arial" w:hAnsi="Arial" w:cs="Arial"/>
          <w:b/>
        </w:rPr>
      </w:pPr>
    </w:p>
    <w:p w:rsidR="003A0F04" w:rsidRPr="001F0AA4" w:rsidRDefault="003A0F04" w:rsidP="003A0F04">
      <w:pPr>
        <w:pStyle w:val="Encabezado"/>
        <w:spacing w:line="360" w:lineRule="auto"/>
        <w:ind w:left="4248"/>
        <w:rPr>
          <w:rFonts w:ascii="Arial" w:hAnsi="Arial" w:cs="Arial"/>
          <w:b/>
        </w:rPr>
      </w:pPr>
      <w:r w:rsidRPr="001F0AA4">
        <w:rPr>
          <w:rFonts w:ascii="Arial" w:hAnsi="Arial" w:cs="Arial"/>
          <w:b/>
        </w:rPr>
        <w:t>ACTOR:</w:t>
      </w:r>
      <w:r w:rsidR="0080479F">
        <w:rPr>
          <w:rFonts w:ascii="Arial" w:hAnsi="Arial" w:cs="Arial"/>
          <w:b/>
        </w:rPr>
        <w:t xml:space="preserve"> *****</w:t>
      </w:r>
      <w:r w:rsidRPr="001F0AA4">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1823EE">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sidR="008065E4">
        <w:rPr>
          <w:rFonts w:ascii="Arial" w:hAnsi="Arial" w:cs="Arial"/>
          <w:b/>
        </w:rPr>
        <w:t xml:space="preserve">POLICÍA </w:t>
      </w:r>
      <w:r w:rsidR="009D13B9">
        <w:rPr>
          <w:rFonts w:ascii="Arial" w:hAnsi="Arial" w:cs="Arial"/>
          <w:b/>
        </w:rPr>
        <w:t xml:space="preserve">VIAL ESTATAL </w:t>
      </w:r>
      <w:r w:rsidR="0080479F">
        <w:rPr>
          <w:rFonts w:ascii="Arial" w:hAnsi="Arial" w:cs="Arial"/>
          <w:b/>
        </w:rPr>
        <w:t>*****</w:t>
      </w:r>
      <w:r w:rsidR="001823EE">
        <w:rPr>
          <w:rFonts w:ascii="Arial" w:hAnsi="Arial" w:cs="Arial"/>
          <w:b/>
        </w:rPr>
        <w:t>.</w:t>
      </w:r>
    </w:p>
    <w:p w:rsidR="003A0F04" w:rsidRPr="001F0AA4" w:rsidRDefault="003A0F04" w:rsidP="003A0F04">
      <w:pPr>
        <w:pStyle w:val="Encabezado"/>
        <w:spacing w:line="360" w:lineRule="auto"/>
        <w:ind w:left="4248"/>
        <w:jc w:val="both"/>
        <w:rPr>
          <w:rFonts w:ascii="Arial" w:hAnsi="Arial" w:cs="Arial"/>
          <w:b/>
        </w:rPr>
      </w:pPr>
    </w:p>
    <w:p w:rsidR="003A0F04" w:rsidRPr="001F0AA4" w:rsidRDefault="003A0F04" w:rsidP="003A0F04">
      <w:pPr>
        <w:spacing w:after="0" w:line="360" w:lineRule="auto"/>
        <w:jc w:val="both"/>
        <w:rPr>
          <w:rFonts w:ascii="Arial" w:hAnsi="Arial" w:cs="Arial"/>
          <w:b/>
        </w:rPr>
      </w:pPr>
      <w:r>
        <w:rPr>
          <w:rFonts w:ascii="Arial" w:hAnsi="Arial" w:cs="Arial"/>
          <w:b/>
        </w:rPr>
        <w:t xml:space="preserve">OAXACA DE JUÁREZ, OAXACA A </w:t>
      </w:r>
      <w:r w:rsidR="008065E4">
        <w:rPr>
          <w:rFonts w:ascii="Arial" w:hAnsi="Arial" w:cs="Arial"/>
          <w:b/>
        </w:rPr>
        <w:t>27</w:t>
      </w:r>
      <w:r w:rsidR="007E0407">
        <w:rPr>
          <w:rFonts w:ascii="Arial" w:hAnsi="Arial" w:cs="Arial"/>
          <w:b/>
        </w:rPr>
        <w:t xml:space="preserve"> </w:t>
      </w:r>
      <w:r w:rsidR="008065E4">
        <w:rPr>
          <w:rFonts w:ascii="Arial" w:hAnsi="Arial" w:cs="Arial"/>
          <w:b/>
        </w:rPr>
        <w:t>VEINTISIETE</w:t>
      </w:r>
      <w:r w:rsidRPr="001F0AA4">
        <w:rPr>
          <w:rFonts w:ascii="Arial" w:hAnsi="Arial" w:cs="Arial"/>
          <w:b/>
        </w:rPr>
        <w:t xml:space="preserve"> DE </w:t>
      </w:r>
      <w:r w:rsidR="005A2A03">
        <w:rPr>
          <w:rFonts w:ascii="Arial" w:hAnsi="Arial" w:cs="Arial"/>
          <w:b/>
        </w:rPr>
        <w:t>ABRIL DE 2018</w:t>
      </w:r>
      <w:r w:rsidRPr="001F0AA4">
        <w:rPr>
          <w:rFonts w:ascii="Arial" w:hAnsi="Arial" w:cs="Arial"/>
          <w:b/>
        </w:rPr>
        <w:t xml:space="preserve"> DOS MIL </w:t>
      </w:r>
      <w:r w:rsidR="005A2A03">
        <w:rPr>
          <w:rFonts w:ascii="Arial" w:hAnsi="Arial" w:cs="Arial"/>
          <w:b/>
        </w:rPr>
        <w:t>DIECIOCHO</w:t>
      </w:r>
      <w:r w:rsidRPr="001F0AA4">
        <w:rPr>
          <w:rFonts w:ascii="Arial" w:hAnsi="Arial" w:cs="Arial"/>
          <w:b/>
        </w:rPr>
        <w:t xml:space="preserve">.- - - - - - - - - - - - - - - - - - - - - - - - - - - - - - - - - - - - - - - - - - - - - - - - - - - - - </w:t>
      </w:r>
      <w:r w:rsidR="005A2A03">
        <w:rPr>
          <w:rFonts w:ascii="Arial" w:hAnsi="Arial" w:cs="Arial"/>
          <w:b/>
        </w:rPr>
        <w:t>- - -</w:t>
      </w:r>
    </w:p>
    <w:p w:rsidR="003A0F04" w:rsidRPr="001F0AA4" w:rsidRDefault="003A0F04" w:rsidP="003A0F04">
      <w:pPr>
        <w:spacing w:after="0" w:line="360" w:lineRule="auto"/>
        <w:jc w:val="both"/>
        <w:rPr>
          <w:rFonts w:ascii="Arial" w:hAnsi="Arial" w:cs="Arial"/>
          <w:b/>
        </w:rPr>
      </w:pPr>
    </w:p>
    <w:p w:rsidR="001823EE" w:rsidRPr="001F0AA4" w:rsidRDefault="003A0F04" w:rsidP="00B53609">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sidR="008065E4">
        <w:rPr>
          <w:rFonts w:ascii="Arial" w:hAnsi="Arial" w:cs="Arial"/>
        </w:rPr>
        <w:t>44</w:t>
      </w:r>
      <w:r w:rsidR="001823EE">
        <w:rPr>
          <w:rFonts w:ascii="Arial" w:hAnsi="Arial" w:cs="Arial"/>
        </w:rPr>
        <w:t>/2017</w:t>
      </w:r>
      <w:r w:rsidRPr="001F0AA4">
        <w:rPr>
          <w:rFonts w:ascii="Arial" w:hAnsi="Arial" w:cs="Arial"/>
        </w:rPr>
        <w:t xml:space="preserve">, promovido por </w:t>
      </w:r>
      <w:r w:rsidR="0080479F">
        <w:rPr>
          <w:rFonts w:ascii="Arial" w:hAnsi="Arial" w:cs="Arial"/>
          <w:b/>
        </w:rPr>
        <w:t>*****</w:t>
      </w:r>
      <w:r w:rsidRPr="001F0AA4">
        <w:rPr>
          <w:rFonts w:ascii="Arial" w:hAnsi="Arial" w:cs="Arial"/>
        </w:rPr>
        <w:t xml:space="preserve"> en </w:t>
      </w:r>
      <w:r w:rsidRPr="00B65E90">
        <w:rPr>
          <w:rFonts w:ascii="Arial" w:hAnsi="Arial" w:cs="Arial"/>
          <w:b/>
        </w:rPr>
        <w:t>contra</w:t>
      </w:r>
      <w:r w:rsidRPr="001F0AA4">
        <w:rPr>
          <w:rFonts w:ascii="Arial" w:hAnsi="Arial" w:cs="Arial"/>
        </w:rPr>
        <w:t xml:space="preserve"> de</w:t>
      </w:r>
      <w:r w:rsidR="008065E4">
        <w:rPr>
          <w:rFonts w:ascii="Arial" w:hAnsi="Arial" w:cs="Arial"/>
        </w:rPr>
        <w:t>l</w:t>
      </w:r>
      <w:r w:rsidR="008065E4" w:rsidRPr="008065E4">
        <w:rPr>
          <w:rFonts w:ascii="Arial" w:hAnsi="Arial" w:cs="Arial"/>
          <w:b/>
        </w:rPr>
        <w:t xml:space="preserve"> </w:t>
      </w:r>
      <w:r w:rsidR="008065E4">
        <w:rPr>
          <w:rFonts w:ascii="Arial" w:hAnsi="Arial" w:cs="Arial"/>
          <w:b/>
        </w:rPr>
        <w:t xml:space="preserve">POLICÍA </w:t>
      </w:r>
      <w:r w:rsidR="009D13B9">
        <w:rPr>
          <w:rFonts w:ascii="Arial" w:hAnsi="Arial" w:cs="Arial"/>
          <w:b/>
        </w:rPr>
        <w:t>VIAL ESTATAL</w:t>
      </w:r>
      <w:r w:rsidR="008065E4">
        <w:rPr>
          <w:rFonts w:ascii="Arial" w:hAnsi="Arial" w:cs="Arial"/>
          <w:b/>
        </w:rPr>
        <w:t xml:space="preserve"> </w:t>
      </w:r>
      <w:r w:rsidR="0080479F">
        <w:rPr>
          <w:rFonts w:ascii="Arial" w:hAnsi="Arial" w:cs="Arial"/>
          <w:b/>
        </w:rPr>
        <w:t>*****</w:t>
      </w:r>
      <w:r w:rsidRPr="001F0AA4">
        <w:rPr>
          <w:rFonts w:ascii="Arial" w:hAnsi="Arial" w:cs="Arial"/>
          <w:b/>
        </w:rPr>
        <w:t>. - - - - - - -</w:t>
      </w:r>
      <w:r>
        <w:rPr>
          <w:rFonts w:ascii="Arial" w:hAnsi="Arial" w:cs="Arial"/>
          <w:b/>
        </w:rPr>
        <w:t xml:space="preserve"> - - - - - - - - - - - - - -</w:t>
      </w:r>
      <w:r w:rsidRPr="001F0AA4">
        <w:rPr>
          <w:rFonts w:ascii="Arial" w:hAnsi="Arial" w:cs="Arial"/>
          <w:b/>
        </w:rPr>
        <w:t xml:space="preserve"> - </w:t>
      </w:r>
      <w:r>
        <w:rPr>
          <w:rFonts w:ascii="Arial" w:hAnsi="Arial" w:cs="Arial"/>
          <w:b/>
        </w:rPr>
        <w:t xml:space="preserve">- - - - </w:t>
      </w:r>
    </w:p>
    <w:p w:rsidR="003A0F04" w:rsidRPr="001F0AA4" w:rsidRDefault="003A0F04" w:rsidP="003A0F04">
      <w:pPr>
        <w:spacing w:after="0" w:line="360" w:lineRule="auto"/>
        <w:jc w:val="center"/>
        <w:rPr>
          <w:rFonts w:ascii="Arial" w:hAnsi="Arial" w:cs="Arial"/>
          <w:b/>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R E S U L T A N D O:</w:t>
      </w:r>
    </w:p>
    <w:p w:rsidR="003A0F04" w:rsidRPr="001F0AA4" w:rsidRDefault="003A0F04" w:rsidP="003A0F04">
      <w:pPr>
        <w:spacing w:after="0" w:line="360" w:lineRule="auto"/>
        <w:rPr>
          <w:rFonts w:ascii="Arial" w:hAnsi="Arial" w:cs="Arial"/>
          <w:b/>
        </w:rPr>
      </w:pPr>
    </w:p>
    <w:p w:rsidR="00D62324" w:rsidRDefault="009D2CE6" w:rsidP="009D13B9">
      <w:pPr>
        <w:spacing w:after="0" w:line="360" w:lineRule="auto"/>
        <w:ind w:firstLine="567"/>
        <w:jc w:val="both"/>
        <w:rPr>
          <w:rFonts w:ascii="Arial" w:hAnsi="Arial" w:cs="Arial"/>
        </w:rPr>
      </w:pPr>
      <w:r>
        <w:rPr>
          <w:rFonts w:ascii="Arial" w:hAnsi="Arial" w:cs="Arial"/>
          <w:b/>
        </w:rPr>
        <w:t>1°</w:t>
      </w:r>
      <w:r w:rsidR="00063092">
        <w:rPr>
          <w:rFonts w:ascii="Arial" w:hAnsi="Arial" w:cs="Arial"/>
          <w:b/>
        </w:rPr>
        <w:t>.</w:t>
      </w:r>
      <w:r w:rsidR="003A0F04" w:rsidRPr="001F0AA4">
        <w:rPr>
          <w:rFonts w:ascii="Arial" w:hAnsi="Arial" w:cs="Arial"/>
          <w:b/>
        </w:rPr>
        <w:t xml:space="preserve"> </w:t>
      </w:r>
      <w:r w:rsidR="003A0F04" w:rsidRPr="001F0AA4">
        <w:rPr>
          <w:rFonts w:ascii="Arial" w:hAnsi="Arial" w:cs="Arial"/>
        </w:rPr>
        <w:t xml:space="preserve">Por escrito recibido el </w:t>
      </w:r>
      <w:r w:rsidR="008065E4">
        <w:rPr>
          <w:rFonts w:ascii="Arial" w:hAnsi="Arial" w:cs="Arial"/>
        </w:rPr>
        <w:t>15 quince</w:t>
      </w:r>
      <w:r w:rsidR="003717D0">
        <w:rPr>
          <w:rFonts w:ascii="Arial" w:hAnsi="Arial" w:cs="Arial"/>
        </w:rPr>
        <w:t xml:space="preserve"> de </w:t>
      </w:r>
      <w:r w:rsidR="008065E4">
        <w:rPr>
          <w:rFonts w:ascii="Arial" w:hAnsi="Arial" w:cs="Arial"/>
        </w:rPr>
        <w:t>mayo</w:t>
      </w:r>
      <w:r w:rsidR="003717D0">
        <w:rPr>
          <w:rFonts w:ascii="Arial" w:hAnsi="Arial" w:cs="Arial"/>
        </w:rPr>
        <w:t xml:space="preserve"> del 2017 dos mil diecisiete, </w:t>
      </w:r>
      <w:r w:rsidR="003A0F04" w:rsidRPr="001F0AA4">
        <w:rPr>
          <w:rFonts w:ascii="Arial" w:hAnsi="Arial" w:cs="Arial"/>
        </w:rPr>
        <w:t xml:space="preserve">en Oficialía de Partes Común del </w:t>
      </w:r>
      <w:r w:rsidR="00086E81">
        <w:rPr>
          <w:rFonts w:ascii="Arial" w:hAnsi="Arial" w:cs="Arial"/>
        </w:rPr>
        <w:t xml:space="preserve">entonces </w:t>
      </w:r>
      <w:r w:rsidR="003A0F04" w:rsidRPr="001F0AA4">
        <w:rPr>
          <w:rFonts w:ascii="Arial" w:hAnsi="Arial" w:cs="Arial"/>
        </w:rPr>
        <w:t>Tribunal de lo Contencioso Administrativo y de Cuentas del Poder Judicial del Estado de Oaxaca</w:t>
      </w:r>
      <w:r w:rsidR="009D13B9">
        <w:rPr>
          <w:rFonts w:ascii="Arial" w:hAnsi="Arial" w:cs="Arial"/>
        </w:rPr>
        <w:t xml:space="preserve"> actualmente Tribunal de Justicia Administrativa del Estado de Oaxaca</w:t>
      </w:r>
      <w:r w:rsidR="003A0F04" w:rsidRPr="001F0AA4">
        <w:rPr>
          <w:rFonts w:ascii="Arial" w:hAnsi="Arial" w:cs="Arial"/>
        </w:rPr>
        <w:t>,</w:t>
      </w:r>
      <w:r w:rsidR="00580E82">
        <w:rPr>
          <w:rFonts w:ascii="Arial" w:hAnsi="Arial" w:cs="Arial"/>
        </w:rPr>
        <w:t xml:space="preserve"> </w:t>
      </w:r>
      <w:r w:rsidR="0080479F">
        <w:rPr>
          <w:rFonts w:ascii="Arial" w:hAnsi="Arial" w:cs="Arial"/>
        </w:rPr>
        <w:t>*****</w:t>
      </w:r>
      <w:r w:rsidR="003717D0">
        <w:rPr>
          <w:rFonts w:ascii="Arial" w:hAnsi="Arial" w:cs="Arial"/>
        </w:rPr>
        <w:t xml:space="preserve">, </w:t>
      </w:r>
      <w:r w:rsidR="003A0F04" w:rsidRPr="001F0AA4">
        <w:rPr>
          <w:rFonts w:ascii="Arial" w:hAnsi="Arial" w:cs="Arial"/>
        </w:rPr>
        <w:t>demandó la nulidad lisa y llana de</w:t>
      </w:r>
      <w:r w:rsidR="003717D0">
        <w:rPr>
          <w:rFonts w:ascii="Arial" w:hAnsi="Arial" w:cs="Arial"/>
        </w:rPr>
        <w:t xml:space="preserve"> la boleta de infracción con número de folio </w:t>
      </w:r>
      <w:r w:rsidR="0080479F">
        <w:rPr>
          <w:rFonts w:ascii="Arial" w:hAnsi="Arial" w:cs="Arial"/>
        </w:rPr>
        <w:t>**********</w:t>
      </w:r>
      <w:r w:rsidR="003717D0">
        <w:rPr>
          <w:rFonts w:ascii="Arial" w:hAnsi="Arial" w:cs="Arial"/>
        </w:rPr>
        <w:t xml:space="preserve"> de fecha </w:t>
      </w:r>
      <w:r w:rsidR="008065E4">
        <w:rPr>
          <w:rFonts w:ascii="Arial" w:hAnsi="Arial" w:cs="Arial"/>
        </w:rPr>
        <w:t>9 nueve de mayo</w:t>
      </w:r>
      <w:r w:rsidR="003717D0">
        <w:rPr>
          <w:rFonts w:ascii="Arial" w:hAnsi="Arial" w:cs="Arial"/>
        </w:rPr>
        <w:t xml:space="preserve"> de 2017 dos mil</w:t>
      </w:r>
      <w:r w:rsidR="008065E4">
        <w:rPr>
          <w:rFonts w:ascii="Arial" w:hAnsi="Arial" w:cs="Arial"/>
        </w:rPr>
        <w:t xml:space="preserve"> diecisiete</w:t>
      </w:r>
      <w:r w:rsidR="008065E4" w:rsidRPr="00AD5222">
        <w:rPr>
          <w:rFonts w:ascii="Arial" w:hAnsi="Arial" w:cs="Arial"/>
        </w:rPr>
        <w:t>.</w:t>
      </w:r>
      <w:r w:rsidR="00580E82" w:rsidRPr="00AD5222">
        <w:rPr>
          <w:rFonts w:ascii="Arial" w:hAnsi="Arial" w:cs="Arial"/>
        </w:rPr>
        <w:t xml:space="preserve"> </w:t>
      </w:r>
      <w:r w:rsidR="00A96688" w:rsidRPr="00AD5222">
        <w:rPr>
          <w:rFonts w:ascii="Arial" w:hAnsi="Arial" w:cs="Arial"/>
          <w:b/>
        </w:rPr>
        <w:t>Por acuerdo de</w:t>
      </w:r>
      <w:r w:rsidR="00EA5A83" w:rsidRPr="00AD5222">
        <w:rPr>
          <w:rFonts w:ascii="Arial" w:hAnsi="Arial" w:cs="Arial"/>
          <w:b/>
        </w:rPr>
        <w:t xml:space="preserve"> </w:t>
      </w:r>
      <w:r w:rsidR="008065E4" w:rsidRPr="00AD5222">
        <w:rPr>
          <w:rFonts w:ascii="Arial" w:hAnsi="Arial" w:cs="Arial"/>
          <w:b/>
        </w:rPr>
        <w:t>23 veintitrés de mayo de</w:t>
      </w:r>
      <w:r w:rsidR="00D62324" w:rsidRPr="00AD5222">
        <w:rPr>
          <w:rFonts w:ascii="Arial" w:hAnsi="Arial" w:cs="Arial"/>
          <w:b/>
        </w:rPr>
        <w:t xml:space="preserve"> 2017 dos mil diecisiete, </w:t>
      </w:r>
      <w:r w:rsidR="003A0F04" w:rsidRPr="00AD5222">
        <w:rPr>
          <w:rFonts w:ascii="Arial" w:hAnsi="Arial" w:cs="Arial"/>
          <w:b/>
        </w:rPr>
        <w:t xml:space="preserve">se admitió a trámite </w:t>
      </w:r>
      <w:r w:rsidR="0040525B" w:rsidRPr="00AD5222">
        <w:rPr>
          <w:rFonts w:ascii="Arial" w:hAnsi="Arial" w:cs="Arial"/>
        </w:rPr>
        <w:t>la demanda en contra de</w:t>
      </w:r>
      <w:r w:rsidR="00580E82" w:rsidRPr="00AD5222">
        <w:rPr>
          <w:rFonts w:ascii="Arial" w:hAnsi="Arial" w:cs="Arial"/>
        </w:rPr>
        <w:t xml:space="preserve"> </w:t>
      </w:r>
      <w:r w:rsidR="0080479F">
        <w:rPr>
          <w:rFonts w:ascii="Arial" w:hAnsi="Arial" w:cs="Arial"/>
        </w:rPr>
        <w:t>*****</w:t>
      </w:r>
      <w:r w:rsidR="00D62324" w:rsidRPr="00AD5222">
        <w:rPr>
          <w:rFonts w:ascii="Arial" w:hAnsi="Arial" w:cs="Arial"/>
        </w:rPr>
        <w:t xml:space="preserve"> en su carácter de </w:t>
      </w:r>
      <w:r w:rsidR="00FA4602" w:rsidRPr="00AD5222">
        <w:rPr>
          <w:rFonts w:ascii="Arial" w:hAnsi="Arial" w:cs="Arial"/>
        </w:rPr>
        <w:t>Policía de Tránsito del Estado</w:t>
      </w:r>
      <w:r w:rsidR="00D62324" w:rsidRPr="00AD5222">
        <w:rPr>
          <w:rFonts w:ascii="Arial" w:hAnsi="Arial" w:cs="Arial"/>
        </w:rPr>
        <w:t xml:space="preserve"> </w:t>
      </w:r>
      <w:r w:rsidR="003A0F04" w:rsidRPr="00AD5222">
        <w:rPr>
          <w:rFonts w:ascii="Arial" w:hAnsi="Arial" w:cs="Arial"/>
        </w:rPr>
        <w:t>ordenándose notificar, emplazar y correr traslado a la autoridad demandada a quien se</w:t>
      </w:r>
      <w:r w:rsidR="0040525B" w:rsidRPr="00AD5222">
        <w:rPr>
          <w:rFonts w:ascii="Arial" w:hAnsi="Arial" w:cs="Arial"/>
        </w:rPr>
        <w:t xml:space="preserve"> le</w:t>
      </w:r>
      <w:r w:rsidR="003A0F04" w:rsidRPr="00AD5222">
        <w:rPr>
          <w:rFonts w:ascii="Arial" w:hAnsi="Arial" w:cs="Arial"/>
        </w:rPr>
        <w:t xml:space="preserve"> concedió plazo de 9 nueve </w:t>
      </w:r>
      <w:r w:rsidR="0040525B" w:rsidRPr="00AD5222">
        <w:rPr>
          <w:rFonts w:ascii="Arial" w:hAnsi="Arial" w:cs="Arial"/>
        </w:rPr>
        <w:t>días hábiles para que produjera</w:t>
      </w:r>
      <w:r w:rsidR="003A0F04" w:rsidRPr="00AD5222">
        <w:rPr>
          <w:rFonts w:ascii="Arial" w:hAnsi="Arial" w:cs="Arial"/>
        </w:rPr>
        <w:t xml:space="preserve"> su contestación, haciéndole saber que de no contestar los hechos planteados en la demanda, afirmándolos, negándolos o </w:t>
      </w:r>
      <w:r w:rsidR="003A0F04" w:rsidRPr="001F0AA4">
        <w:rPr>
          <w:rFonts w:ascii="Arial" w:hAnsi="Arial" w:cs="Arial"/>
        </w:rPr>
        <w:t>expresando que los ignorara</w:t>
      </w:r>
      <w:r w:rsidR="004C300D">
        <w:rPr>
          <w:rFonts w:ascii="Arial" w:hAnsi="Arial" w:cs="Arial"/>
        </w:rPr>
        <w:t>n</w:t>
      </w:r>
      <w:r w:rsidR="003A0F04"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w:t>
      </w:r>
      <w:r w:rsidR="00FA4602" w:rsidRPr="001F0AA4">
        <w:rPr>
          <w:rFonts w:ascii="Arial" w:hAnsi="Arial" w:cs="Arial"/>
        </w:rPr>
        <w:t>que</w:t>
      </w:r>
      <w:r w:rsidR="003A0F04" w:rsidRPr="001F0AA4">
        <w:rPr>
          <w:rFonts w:ascii="Arial" w:hAnsi="Arial" w:cs="Arial"/>
        </w:rPr>
        <w:t xml:space="preserve"> acreditara su calidad de autoridad, exhibiendo copia debidamente certificada del nombramiento conferido y en que constara la protesta de ley, y copias para el traslado a su contraparte</w:t>
      </w:r>
      <w:r w:rsidR="00D62324">
        <w:rPr>
          <w:rFonts w:ascii="Arial" w:hAnsi="Arial" w:cs="Arial"/>
        </w:rPr>
        <w:t xml:space="preserve"> así como que presentara copia certificada del acta de infracción impugnada. </w:t>
      </w:r>
      <w:r w:rsidR="003A0F04" w:rsidRPr="001F0AA4">
        <w:rPr>
          <w:rFonts w:ascii="Arial" w:hAnsi="Arial" w:cs="Arial"/>
        </w:rPr>
        <w:t xml:space="preserve">Se admitieron a la actora las pruebas ofrecidas que consisten en: </w:t>
      </w:r>
      <w:r w:rsidR="001823EE">
        <w:rPr>
          <w:rFonts w:ascii="Arial" w:hAnsi="Arial" w:cs="Arial"/>
        </w:rPr>
        <w:t>1.-</w:t>
      </w:r>
      <w:r w:rsidR="00D62324">
        <w:rPr>
          <w:rFonts w:ascii="Arial" w:hAnsi="Arial" w:cs="Arial"/>
        </w:rPr>
        <w:t xml:space="preserve"> Acta de infracción</w:t>
      </w:r>
      <w:r w:rsidR="001823EE">
        <w:rPr>
          <w:rFonts w:ascii="Arial" w:hAnsi="Arial" w:cs="Arial"/>
        </w:rPr>
        <w:t xml:space="preserve"> </w:t>
      </w:r>
      <w:r w:rsidR="00FA4602">
        <w:rPr>
          <w:rFonts w:ascii="Arial" w:hAnsi="Arial" w:cs="Arial"/>
        </w:rPr>
        <w:t xml:space="preserve">original con número de folio </w:t>
      </w:r>
      <w:r w:rsidR="0080479F">
        <w:rPr>
          <w:rFonts w:ascii="Arial" w:hAnsi="Arial" w:cs="Arial"/>
        </w:rPr>
        <w:t>**********</w:t>
      </w:r>
      <w:r w:rsidR="00FA4602">
        <w:rPr>
          <w:rFonts w:ascii="Arial" w:hAnsi="Arial" w:cs="Arial"/>
        </w:rPr>
        <w:t xml:space="preserve"> de fecha 9 nueve de mayo del 2017 dos mil diecisiete</w:t>
      </w:r>
      <w:r w:rsidR="005B7FD5">
        <w:rPr>
          <w:rFonts w:ascii="Arial" w:hAnsi="Arial" w:cs="Arial"/>
        </w:rPr>
        <w:t xml:space="preserve">. - - - - </w:t>
      </w:r>
      <w:r w:rsidR="0080479F">
        <w:rPr>
          <w:rFonts w:ascii="Arial" w:hAnsi="Arial" w:cs="Arial"/>
        </w:rPr>
        <w:t xml:space="preserve">- - - - - - - - - - - - - - - </w:t>
      </w:r>
    </w:p>
    <w:p w:rsidR="00575196" w:rsidRDefault="00575196" w:rsidP="00575196">
      <w:pPr>
        <w:spacing w:after="0" w:line="360" w:lineRule="auto"/>
        <w:jc w:val="both"/>
        <w:rPr>
          <w:rFonts w:ascii="Arial" w:hAnsi="Arial" w:cs="Arial"/>
        </w:rPr>
      </w:pPr>
    </w:p>
    <w:p w:rsidR="005B7FD5" w:rsidRDefault="009D2CE6" w:rsidP="00063092">
      <w:pPr>
        <w:spacing w:after="0" w:line="360" w:lineRule="auto"/>
        <w:ind w:firstLine="567"/>
        <w:jc w:val="both"/>
        <w:rPr>
          <w:rFonts w:ascii="Arial" w:hAnsi="Arial" w:cs="Arial"/>
        </w:rPr>
      </w:pPr>
      <w:r>
        <w:rPr>
          <w:rFonts w:ascii="Arial" w:hAnsi="Arial" w:cs="Arial"/>
          <w:b/>
        </w:rPr>
        <w:t>2°</w:t>
      </w:r>
      <w:r w:rsidR="00063092">
        <w:rPr>
          <w:rFonts w:ascii="Arial" w:hAnsi="Arial" w:cs="Arial"/>
          <w:b/>
        </w:rPr>
        <w:t>.</w:t>
      </w:r>
      <w:r w:rsidR="003A0F04" w:rsidRPr="001F0AA4">
        <w:rPr>
          <w:rFonts w:ascii="Arial" w:hAnsi="Arial" w:cs="Arial"/>
          <w:b/>
        </w:rPr>
        <w:t xml:space="preserve"> </w:t>
      </w:r>
      <w:r w:rsidR="003A0F04">
        <w:rPr>
          <w:rFonts w:ascii="Arial" w:hAnsi="Arial" w:cs="Arial"/>
          <w:b/>
        </w:rPr>
        <w:t xml:space="preserve">Tramite del Juicio. </w:t>
      </w:r>
      <w:r w:rsidR="003A0F04" w:rsidRPr="001F0AA4">
        <w:rPr>
          <w:rFonts w:ascii="Arial" w:hAnsi="Arial" w:cs="Arial"/>
        </w:rPr>
        <w:t>Me</w:t>
      </w:r>
      <w:r w:rsidR="00832338">
        <w:rPr>
          <w:rFonts w:ascii="Arial" w:hAnsi="Arial" w:cs="Arial"/>
        </w:rPr>
        <w:t xml:space="preserve">diante acuerdo de fecha 20 veinte de junio del 2017 dos mil diecisiete se tuvo por recibido el oficio </w:t>
      </w:r>
      <w:r w:rsidR="0080479F">
        <w:rPr>
          <w:rFonts w:ascii="Arial" w:hAnsi="Arial" w:cs="Arial"/>
        </w:rPr>
        <w:t>**********</w:t>
      </w:r>
      <w:r w:rsidR="00832338">
        <w:rPr>
          <w:rFonts w:ascii="Arial" w:hAnsi="Arial" w:cs="Arial"/>
        </w:rPr>
        <w:t xml:space="preserve"> signado por </w:t>
      </w:r>
      <w:r w:rsidR="0080479F">
        <w:rPr>
          <w:rFonts w:ascii="Arial" w:hAnsi="Arial" w:cs="Arial"/>
        </w:rPr>
        <w:t>*****</w:t>
      </w:r>
      <w:r w:rsidR="00832338">
        <w:rPr>
          <w:rFonts w:ascii="Arial" w:hAnsi="Arial" w:cs="Arial"/>
        </w:rPr>
        <w:t xml:space="preserve"> en su carácter de Policía Vial Estatal, empero, toda vez que no acredito debidamente su carácter de Policía Estatal, se le tuvo contestando la demanda en sentido afirmativo.</w:t>
      </w:r>
      <w:r w:rsidR="00437DCE">
        <w:rPr>
          <w:rFonts w:ascii="Arial" w:hAnsi="Arial" w:cs="Arial"/>
        </w:rPr>
        <w:t xml:space="preserve"> - - - - - - - - - - - - - - - - - - </w:t>
      </w:r>
    </w:p>
    <w:p w:rsidR="008C7B33" w:rsidRDefault="008C7B33" w:rsidP="00063092">
      <w:pPr>
        <w:spacing w:after="0" w:line="360" w:lineRule="auto"/>
        <w:ind w:firstLine="567"/>
        <w:jc w:val="both"/>
        <w:rPr>
          <w:rFonts w:ascii="Arial" w:hAnsi="Arial" w:cs="Arial"/>
          <w:b/>
        </w:rPr>
      </w:pPr>
    </w:p>
    <w:p w:rsidR="00936FC6" w:rsidRDefault="009D2CE6" w:rsidP="001335AA">
      <w:pPr>
        <w:spacing w:after="0" w:line="360" w:lineRule="auto"/>
        <w:ind w:firstLine="567"/>
        <w:jc w:val="both"/>
        <w:rPr>
          <w:rFonts w:ascii="Arial" w:hAnsi="Arial" w:cs="Arial"/>
        </w:rPr>
      </w:pPr>
      <w:r>
        <w:rPr>
          <w:rFonts w:ascii="Arial" w:hAnsi="Arial" w:cs="Arial"/>
          <w:b/>
        </w:rPr>
        <w:lastRenderedPageBreak/>
        <w:t>3°</w:t>
      </w:r>
      <w:r w:rsidR="00063092">
        <w:rPr>
          <w:rFonts w:ascii="Arial" w:hAnsi="Arial" w:cs="Arial"/>
          <w:b/>
        </w:rPr>
        <w:t>.</w:t>
      </w:r>
      <w:r w:rsidR="003A0F04" w:rsidRPr="001F0AA4">
        <w:rPr>
          <w:rFonts w:ascii="Arial" w:hAnsi="Arial" w:cs="Arial"/>
        </w:rPr>
        <w:t xml:space="preserve"> </w:t>
      </w:r>
      <w:r w:rsidR="001857E5">
        <w:rPr>
          <w:rFonts w:ascii="Arial" w:hAnsi="Arial" w:cs="Arial"/>
        </w:rPr>
        <w:t xml:space="preserve">Por acuerdo de fecha </w:t>
      </w:r>
      <w:r w:rsidR="00832338">
        <w:rPr>
          <w:rFonts w:ascii="Arial" w:hAnsi="Arial" w:cs="Arial"/>
        </w:rPr>
        <w:t xml:space="preserve">17 diecisiete de abril del 2018 dos mil dieciocho se desechó por </w:t>
      </w:r>
      <w:r w:rsidR="00832338" w:rsidRPr="00832338">
        <w:rPr>
          <w:rFonts w:ascii="Arial" w:hAnsi="Arial" w:cs="Arial"/>
          <w:u w:val="single"/>
        </w:rPr>
        <w:t>notoriamente improcedente</w:t>
      </w:r>
      <w:r w:rsidR="00832338">
        <w:rPr>
          <w:rFonts w:ascii="Arial" w:hAnsi="Arial" w:cs="Arial"/>
        </w:rPr>
        <w:t xml:space="preserve"> el recurso interpuesto por la aquí autoridad demandada en contra del acuerdo anterior, toda vez que nuevamente fue omisa en acreditar debidamente su personería; por otro lado se fijaron las 11 once horas del día 25 veinticinco de abril el 2018 dos mil dieciocho </w:t>
      </w:r>
      <w:r w:rsidR="008C7B33">
        <w:rPr>
          <w:rFonts w:ascii="Arial" w:hAnsi="Arial" w:cs="Arial"/>
        </w:rPr>
        <w:t>para que se celebrara la Audiencia Final misma que se llevó a cabo</w:t>
      </w:r>
      <w:r w:rsidR="003A0F04" w:rsidRPr="001F0AA4">
        <w:rPr>
          <w:rFonts w:ascii="Arial" w:hAnsi="Arial" w:cs="Arial"/>
        </w:rPr>
        <w:t xml:space="preserve">, sin comparecencia de las partes ni persona alguna que legalmente las representara; se abrió el periodo de desahogo de pruebas donde el Titular de esta Sexta Sala </w:t>
      </w:r>
      <w:r w:rsidR="003A0F04">
        <w:rPr>
          <w:rFonts w:ascii="Arial" w:hAnsi="Arial" w:cs="Arial"/>
        </w:rPr>
        <w:t>U</w:t>
      </w:r>
      <w:r w:rsidR="003A0F04" w:rsidRPr="001F0AA4">
        <w:rPr>
          <w:rFonts w:ascii="Arial" w:hAnsi="Arial" w:cs="Arial"/>
        </w:rPr>
        <w:t>nit</w:t>
      </w:r>
      <w:r w:rsidR="00063092">
        <w:rPr>
          <w:rFonts w:ascii="Arial" w:hAnsi="Arial" w:cs="Arial"/>
        </w:rPr>
        <w:t>aria de Primera Instancia, del T</w:t>
      </w:r>
      <w:r w:rsidR="003A0F04" w:rsidRPr="001F0AA4">
        <w:rPr>
          <w:rFonts w:ascii="Arial" w:hAnsi="Arial" w:cs="Arial"/>
        </w:rPr>
        <w:t xml:space="preserve">ribunal de </w:t>
      </w:r>
      <w:r w:rsidR="001857E5">
        <w:rPr>
          <w:rFonts w:ascii="Arial" w:hAnsi="Arial" w:cs="Arial"/>
        </w:rPr>
        <w:t>Justicia Administrativa del Estado de Oaxaca</w:t>
      </w:r>
      <w:r w:rsidR="003A0F04" w:rsidRPr="001F0AA4">
        <w:rPr>
          <w:rFonts w:ascii="Arial" w:hAnsi="Arial" w:cs="Arial"/>
        </w:rPr>
        <w:t xml:space="preserve"> las declaró desahogadas por su propia naturaleza; en el periodo de alegatos se dio </w:t>
      </w:r>
      <w:r w:rsidR="001E074A">
        <w:rPr>
          <w:rFonts w:ascii="Arial" w:hAnsi="Arial" w:cs="Arial"/>
        </w:rPr>
        <w:t xml:space="preserve">cuenta </w:t>
      </w:r>
      <w:r w:rsidR="001335AA">
        <w:rPr>
          <w:rFonts w:ascii="Arial" w:hAnsi="Arial" w:cs="Arial"/>
        </w:rPr>
        <w:t xml:space="preserve">con el escrito presentado por la parte actora el cual se ordenó fuera agregado a autos y se advirtió que la autoridad demandada no presentó escrito formulando alegatos por lo que se declaró precluido su derecho; </w:t>
      </w:r>
      <w:r w:rsidR="00936FC6">
        <w:rPr>
          <w:rFonts w:ascii="Arial" w:hAnsi="Arial" w:cs="Arial"/>
        </w:rPr>
        <w:t xml:space="preserve">por último se citó a las partes para oír sentencia, misma que ahora se pronuncia. - - - - - - - </w:t>
      </w:r>
      <w:r w:rsidR="001335AA">
        <w:rPr>
          <w:rFonts w:ascii="Arial" w:hAnsi="Arial" w:cs="Arial"/>
        </w:rPr>
        <w:t xml:space="preserve">- - - - - - - - - - - - - - - - </w:t>
      </w:r>
    </w:p>
    <w:p w:rsidR="003A0F04" w:rsidRPr="001F0AA4" w:rsidRDefault="003A0F04" w:rsidP="003A0F04">
      <w:pPr>
        <w:spacing w:after="0" w:line="360" w:lineRule="auto"/>
        <w:ind w:firstLine="708"/>
        <w:jc w:val="both"/>
        <w:rPr>
          <w:rFonts w:ascii="Arial" w:hAnsi="Arial" w:cs="Arial"/>
        </w:rPr>
      </w:pPr>
    </w:p>
    <w:p w:rsidR="003A0F04" w:rsidRPr="001F0AA4" w:rsidRDefault="003A0F04" w:rsidP="003A0F04">
      <w:pPr>
        <w:spacing w:after="0" w:line="360" w:lineRule="auto"/>
        <w:jc w:val="center"/>
        <w:rPr>
          <w:rFonts w:ascii="Arial" w:hAnsi="Arial" w:cs="Arial"/>
          <w:b/>
        </w:rPr>
      </w:pPr>
      <w:r w:rsidRPr="001F0AA4">
        <w:rPr>
          <w:rFonts w:ascii="Arial" w:hAnsi="Arial" w:cs="Arial"/>
          <w:b/>
        </w:rPr>
        <w:t>C O N S I D E R A N D O:</w:t>
      </w:r>
    </w:p>
    <w:p w:rsidR="003A0F04" w:rsidRPr="001F0AA4" w:rsidRDefault="003A0F04" w:rsidP="003A0F04">
      <w:pPr>
        <w:spacing w:after="0" w:line="360" w:lineRule="auto"/>
        <w:rPr>
          <w:rFonts w:ascii="Arial" w:hAnsi="Arial" w:cs="Arial"/>
          <w:b/>
        </w:rPr>
      </w:pPr>
    </w:p>
    <w:p w:rsidR="003A0F04" w:rsidRPr="001F0AA4" w:rsidRDefault="003A0F04" w:rsidP="003A0F04">
      <w:pPr>
        <w:spacing w:after="0" w:line="360" w:lineRule="auto"/>
        <w:ind w:right="-93" w:firstLine="708"/>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001857E5" w:rsidRPr="001857E5">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1335AA">
        <w:rPr>
          <w:rFonts w:ascii="Arial" w:hAnsi="Arial" w:cs="Arial"/>
        </w:rPr>
        <w:t>rtículos 114 QUÁTER fracción VI</w:t>
      </w:r>
      <w:r w:rsidR="001857E5"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1335AA">
        <w:rPr>
          <w:rFonts w:ascii="Arial" w:hAnsi="Arial" w:cs="Arial"/>
        </w:rPr>
        <w:t>estatal</w:t>
      </w:r>
      <w:r w:rsidR="001857E5" w:rsidRPr="001857E5">
        <w:rPr>
          <w:rFonts w:ascii="Arial" w:hAnsi="Arial" w:cs="Arial"/>
        </w:rPr>
        <w:t xml:space="preserve">. - - - </w:t>
      </w:r>
      <w:r w:rsidR="001335AA">
        <w:rPr>
          <w:rFonts w:ascii="Arial" w:hAnsi="Arial" w:cs="Arial"/>
        </w:rPr>
        <w:t>- -</w:t>
      </w:r>
    </w:p>
    <w:p w:rsidR="003A0F04" w:rsidRPr="001F0AA4" w:rsidRDefault="003A0F04" w:rsidP="003A0F04">
      <w:pPr>
        <w:spacing w:after="0" w:line="360" w:lineRule="auto"/>
        <w:jc w:val="both"/>
        <w:rPr>
          <w:rFonts w:ascii="Arial" w:hAnsi="Arial" w:cs="Arial"/>
        </w:rPr>
      </w:pPr>
    </w:p>
    <w:p w:rsidR="001335AA" w:rsidRDefault="003A0F04" w:rsidP="001335AA">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 xml:space="preserve">ersonalidad y </w:t>
      </w:r>
      <w:r w:rsidR="001E074A">
        <w:rPr>
          <w:rFonts w:ascii="Arial" w:hAnsi="Arial" w:cs="Arial"/>
          <w:b/>
        </w:rPr>
        <w:t>Personería</w:t>
      </w:r>
      <w:r w:rsidRPr="001F0AA4">
        <w:rPr>
          <w:rFonts w:ascii="Arial" w:hAnsi="Arial" w:cs="Arial"/>
          <w:b/>
        </w:rPr>
        <w:t>.</w:t>
      </w:r>
      <w:r>
        <w:rPr>
          <w:rFonts w:ascii="Arial" w:hAnsi="Arial" w:cs="Arial"/>
          <w:b/>
        </w:rPr>
        <w:t>-</w:t>
      </w:r>
      <w:r w:rsidRPr="001F0AA4">
        <w:rPr>
          <w:rFonts w:ascii="Arial" w:hAnsi="Arial" w:cs="Arial"/>
        </w:rPr>
        <w:t xml:space="preserve"> </w:t>
      </w:r>
      <w:r w:rsidR="001335AA" w:rsidRPr="001F0AA4">
        <w:rPr>
          <w:rFonts w:ascii="Arial" w:hAnsi="Arial" w:cs="Arial"/>
        </w:rPr>
        <w:t>Quedó acreditada</w:t>
      </w:r>
      <w:r w:rsidR="001335AA">
        <w:rPr>
          <w:rFonts w:ascii="Arial" w:hAnsi="Arial" w:cs="Arial"/>
        </w:rPr>
        <w:t xml:space="preserve"> por cuanto hace a la parte actora en términos del artículo 117 de la Ley de Justicia Administrativa para el Estado de Oaxaca ya que promueve por propio derecho; por otro lado, la autoridad demandada no acredita su personería en términos del artículo 120 del ordenamiento legal en cita. - - - - - - </w:t>
      </w:r>
    </w:p>
    <w:p w:rsidR="003939A5" w:rsidRDefault="003939A5" w:rsidP="003A0F04">
      <w:pPr>
        <w:spacing w:after="0" w:line="360" w:lineRule="auto"/>
        <w:jc w:val="both"/>
        <w:rPr>
          <w:rFonts w:ascii="Arial" w:hAnsi="Arial" w:cs="Arial"/>
          <w:b/>
        </w:rPr>
      </w:pPr>
    </w:p>
    <w:p w:rsidR="001335AA" w:rsidRDefault="003A0F04" w:rsidP="003A0F04">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sidR="001E074A">
        <w:rPr>
          <w:rFonts w:ascii="Arial" w:hAnsi="Arial" w:cs="Arial"/>
          <w:b/>
        </w:rPr>
        <w:t>Fijación</w:t>
      </w:r>
      <w:r>
        <w:rPr>
          <w:rFonts w:ascii="Arial" w:hAnsi="Arial" w:cs="Arial"/>
          <w:b/>
        </w:rPr>
        <w:t xml:space="preserve">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El actor </w:t>
      </w:r>
      <w:r w:rsidR="00C369F3">
        <w:rPr>
          <w:rFonts w:ascii="Arial" w:hAnsi="Arial" w:cs="Arial"/>
        </w:rPr>
        <w:t xml:space="preserve">***** </w:t>
      </w:r>
      <w:r w:rsidR="0051485D">
        <w:rPr>
          <w:rFonts w:ascii="Arial" w:hAnsi="Arial" w:cs="Arial"/>
        </w:rPr>
        <w:t>señala que le causa agravio el acta de infracción impugnada toda vez que</w:t>
      </w:r>
      <w:r w:rsidR="008C7B33">
        <w:rPr>
          <w:rFonts w:ascii="Arial" w:hAnsi="Arial" w:cs="Arial"/>
        </w:rPr>
        <w:t xml:space="preserve"> la autoridad demandada</w:t>
      </w:r>
      <w:r w:rsidR="0051485D">
        <w:rPr>
          <w:rFonts w:ascii="Arial" w:hAnsi="Arial" w:cs="Arial"/>
        </w:rPr>
        <w:t xml:space="preserve"> </w:t>
      </w:r>
      <w:r w:rsidR="001335AA">
        <w:rPr>
          <w:rFonts w:ascii="Arial" w:hAnsi="Arial" w:cs="Arial"/>
        </w:rPr>
        <w:t xml:space="preserve">transgrede el principio de legalidad y seguridad jurídica ya que no queda acreditada la competencia material y territorial del Policía Estatal para emitir el acto impugnado ni retener la tarjeta de circulación del actor. De igual manera refiere que carece de una debida fundamentación y motivación toda vez que se limita a subrayar el precepto </w:t>
      </w:r>
      <w:r w:rsidR="001335AA" w:rsidRPr="001335AA">
        <w:rPr>
          <w:rFonts w:ascii="Arial" w:hAnsi="Arial" w:cs="Arial"/>
          <w:sz w:val="20"/>
        </w:rPr>
        <w:t>“MAL COMPORTAMIENTO”</w:t>
      </w:r>
      <w:r w:rsidR="001335AA">
        <w:rPr>
          <w:rFonts w:ascii="Arial" w:hAnsi="Arial" w:cs="Arial"/>
        </w:rPr>
        <w:t>, sin que se especifique en qué consistió el mal comportamiento que actualizo el aqu</w:t>
      </w:r>
      <w:r w:rsidR="00681FDE">
        <w:rPr>
          <w:rFonts w:ascii="Arial" w:hAnsi="Arial" w:cs="Arial"/>
        </w:rPr>
        <w:t xml:space="preserve">í actor. - - </w:t>
      </w:r>
    </w:p>
    <w:p w:rsidR="00681FDE" w:rsidRDefault="00681FDE" w:rsidP="00681FDE">
      <w:pPr>
        <w:spacing w:after="0" w:line="360" w:lineRule="auto"/>
        <w:ind w:firstLine="567"/>
        <w:jc w:val="both"/>
        <w:rPr>
          <w:rFonts w:ascii="Arial" w:hAnsi="Arial" w:cs="Arial"/>
        </w:rPr>
      </w:pPr>
    </w:p>
    <w:p w:rsidR="00681FDE" w:rsidRDefault="00681FDE" w:rsidP="00681FDE">
      <w:pPr>
        <w:spacing w:after="0" w:line="360" w:lineRule="auto"/>
        <w:ind w:firstLine="567"/>
        <w:jc w:val="both"/>
        <w:rPr>
          <w:rFonts w:ascii="Arial" w:hAnsi="Arial" w:cs="Arial"/>
        </w:rPr>
      </w:pPr>
      <w:r>
        <w:rPr>
          <w:rFonts w:ascii="Arial" w:hAnsi="Arial" w:cs="Arial"/>
        </w:rPr>
        <w:t xml:space="preserve">Respecto a los argumentos hechos valer por la autoridad demandada, los mismos se desestiman en virtud de que se le tuvo contestando la demanda en sentido afirmativo de conformidad con el artículo 153 segundo párrafo de la Ley de la Materia. - - - - - - - - - - </w:t>
      </w:r>
    </w:p>
    <w:p w:rsidR="00086E81" w:rsidRDefault="00086E81" w:rsidP="003A0F04">
      <w:pPr>
        <w:spacing w:after="0" w:line="360" w:lineRule="auto"/>
        <w:jc w:val="both"/>
        <w:rPr>
          <w:rFonts w:ascii="Arial" w:hAnsi="Arial" w:cs="Arial"/>
        </w:rPr>
      </w:pPr>
    </w:p>
    <w:p w:rsidR="0051485D" w:rsidRDefault="003A0F04" w:rsidP="0024685B">
      <w:pPr>
        <w:spacing w:after="0" w:line="360" w:lineRule="auto"/>
        <w:ind w:firstLine="567"/>
        <w:jc w:val="both"/>
        <w:rPr>
          <w:rFonts w:ascii="Arial" w:hAnsi="Arial" w:cs="Arial"/>
        </w:rPr>
      </w:pPr>
      <w:r>
        <w:rPr>
          <w:rFonts w:ascii="Arial" w:hAnsi="Arial" w:cs="Arial"/>
          <w:b/>
        </w:rPr>
        <w:lastRenderedPageBreak/>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el acta de infracción de folio </w:t>
      </w:r>
      <w:r w:rsidR="00C369F3">
        <w:rPr>
          <w:rFonts w:ascii="Arial" w:hAnsi="Arial" w:cs="Arial"/>
        </w:rPr>
        <w:t>**********</w:t>
      </w:r>
      <w:r w:rsidR="00681FDE">
        <w:rPr>
          <w:rFonts w:ascii="Arial" w:hAnsi="Arial" w:cs="Arial"/>
        </w:rPr>
        <w:t xml:space="preserve"> d</w:t>
      </w:r>
      <w:r w:rsidR="00AA4A50">
        <w:rPr>
          <w:rFonts w:ascii="Arial" w:hAnsi="Arial" w:cs="Arial"/>
        </w:rPr>
        <w:t>e fecha 9 nueve de mayo del 2017</w:t>
      </w:r>
      <w:r w:rsidR="00681FDE">
        <w:rPr>
          <w:rFonts w:ascii="Arial" w:hAnsi="Arial" w:cs="Arial"/>
        </w:rPr>
        <w:t xml:space="preserve"> dos mil </w:t>
      </w:r>
      <w:r w:rsidR="00AA4A50">
        <w:rPr>
          <w:rFonts w:ascii="Arial" w:hAnsi="Arial" w:cs="Arial"/>
        </w:rPr>
        <w:t>diecisiete</w:t>
      </w:r>
      <w:r w:rsidR="00681FDE">
        <w:rPr>
          <w:rFonts w:ascii="Arial" w:hAnsi="Arial" w:cs="Arial"/>
        </w:rPr>
        <w:t xml:space="preserve"> visible en original a foja 11 once del expediente natural a rubro citado </w:t>
      </w:r>
      <w:r w:rsidR="00B2610B">
        <w:rPr>
          <w:rFonts w:ascii="Arial" w:hAnsi="Arial" w:cs="Arial"/>
        </w:rPr>
        <w:t>y que tiene valor probatorio pleno en términos de lo dispuesto por el artículo 173</w:t>
      </w:r>
      <w:r w:rsidR="00B2610B">
        <w:rPr>
          <w:rStyle w:val="Refdenotaalpie"/>
          <w:rFonts w:ascii="Arial" w:hAnsi="Arial" w:cs="Arial"/>
        </w:rPr>
        <w:footnoteReference w:id="1"/>
      </w:r>
      <w:r w:rsidR="00B2610B">
        <w:rPr>
          <w:rFonts w:ascii="Arial" w:hAnsi="Arial" w:cs="Arial"/>
        </w:rPr>
        <w:t xml:space="preserve"> fracción I de la Ley de Justicia Administrativa para el Estado de Oaxaca </w:t>
      </w:r>
      <w:r w:rsidR="00681FDE">
        <w:rPr>
          <w:rFonts w:ascii="Arial" w:hAnsi="Arial" w:cs="Arial"/>
        </w:rPr>
        <w:t xml:space="preserve">por tratarse de un documento público expedido por autoridad competente </w:t>
      </w:r>
      <w:r w:rsidR="00B2610B">
        <w:rPr>
          <w:rFonts w:ascii="Arial" w:hAnsi="Arial" w:cs="Arial"/>
        </w:rPr>
        <w:t xml:space="preserve">y que fue reconocida por la demandada de forma tácita como efecto de su contestación afirmativa de la demanda; es con esos medios de convicción que esta Sala tiene por acreditado el acto impugnado. - - - </w:t>
      </w:r>
      <w:r w:rsidR="00AA4A50">
        <w:rPr>
          <w:rFonts w:ascii="Arial" w:hAnsi="Arial" w:cs="Arial"/>
        </w:rPr>
        <w:t xml:space="preserve">- - - - - - - - - - - - - - - </w:t>
      </w:r>
    </w:p>
    <w:p w:rsidR="0024685B" w:rsidRDefault="0024685B" w:rsidP="0024685B">
      <w:pPr>
        <w:spacing w:after="0" w:line="360" w:lineRule="auto"/>
        <w:ind w:firstLine="567"/>
        <w:jc w:val="both"/>
        <w:rPr>
          <w:rFonts w:ascii="Arial" w:hAnsi="Arial" w:cs="Arial"/>
        </w:rPr>
      </w:pPr>
    </w:p>
    <w:p w:rsidR="00AA4A50" w:rsidRDefault="00187176" w:rsidP="00AA4A50">
      <w:pPr>
        <w:spacing w:after="0" w:line="360" w:lineRule="auto"/>
        <w:ind w:firstLine="567"/>
        <w:jc w:val="both"/>
        <w:rPr>
          <w:rFonts w:ascii="Arial" w:hAnsi="Arial" w:cs="Arial"/>
        </w:rPr>
      </w:pPr>
      <w:r>
        <w:rPr>
          <w:rFonts w:ascii="Arial" w:hAnsi="Arial" w:cs="Arial"/>
          <w:b/>
        </w:rPr>
        <w:t>QUINTO</w:t>
      </w:r>
      <w:r w:rsidR="003A0F04" w:rsidRPr="001F0AA4">
        <w:rPr>
          <w:rFonts w:ascii="Arial" w:hAnsi="Arial" w:cs="Arial"/>
        </w:rPr>
        <w:t xml:space="preserve">.- </w:t>
      </w:r>
      <w:r w:rsidR="0024685B">
        <w:rPr>
          <w:rFonts w:ascii="Arial" w:hAnsi="Arial" w:cs="Arial"/>
          <w:b/>
        </w:rPr>
        <w:t>Causales de Improcedencia y S</w:t>
      </w:r>
      <w:r w:rsidR="0024685B" w:rsidRPr="001F0AA4">
        <w:rPr>
          <w:rFonts w:ascii="Arial" w:hAnsi="Arial" w:cs="Arial"/>
          <w:b/>
        </w:rPr>
        <w:t>obreseimiento</w:t>
      </w:r>
      <w:r w:rsidR="003A0F04" w:rsidRPr="001F0AA4">
        <w:rPr>
          <w:rFonts w:ascii="Arial" w:hAnsi="Arial" w:cs="Arial"/>
        </w:rPr>
        <w:t xml:space="preserve">. </w:t>
      </w:r>
      <w:r w:rsidR="00AA4A50" w:rsidRPr="001F0AA4">
        <w:rPr>
          <w:rFonts w:ascii="Arial" w:hAnsi="Arial" w:cs="Arial"/>
        </w:rPr>
        <w:t xml:space="preserve">Considerando que son de orden público y de estudio preferente a cualquier otra cuestión </w:t>
      </w:r>
      <w:r w:rsidR="00AA4A50">
        <w:rPr>
          <w:rFonts w:ascii="Arial" w:hAnsi="Arial" w:cs="Arial"/>
        </w:rPr>
        <w:t xml:space="preserve">y derivado del imperioso estudio oficioso que especifica el artículo 131 in fine de la Ley de la Materia respecto a dichas causales, esta Sala advierte que en el presente caso concreto no se actualiza causal de improcedencia ni sobreseimiento, </w:t>
      </w:r>
      <w:r w:rsidR="00AA4A50" w:rsidRPr="001F0AA4">
        <w:rPr>
          <w:rFonts w:ascii="Arial" w:hAnsi="Arial" w:cs="Arial"/>
        </w:rPr>
        <w:t xml:space="preserve">consecuentemente, no se sobresee el juicio. - - - - - - - - - - - - - - - - - - - - - - - - - - - - - - - - - - - - - - - - - - - - - - - - - - - - </w:t>
      </w:r>
      <w:r w:rsidR="00AA4A50">
        <w:rPr>
          <w:rFonts w:ascii="Arial" w:hAnsi="Arial" w:cs="Arial"/>
        </w:rPr>
        <w:t xml:space="preserve">- - - - - - - </w:t>
      </w:r>
    </w:p>
    <w:p w:rsidR="00AA4A50" w:rsidRDefault="00AA4A50" w:rsidP="00AA4A50">
      <w:pPr>
        <w:spacing w:after="0" w:line="360" w:lineRule="auto"/>
        <w:ind w:firstLine="708"/>
        <w:jc w:val="both"/>
        <w:rPr>
          <w:rFonts w:ascii="Arial" w:hAnsi="Arial" w:cs="Arial"/>
        </w:rPr>
      </w:pPr>
    </w:p>
    <w:p w:rsidR="006D0CA1" w:rsidRDefault="003A0F04" w:rsidP="0024685B">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sidRPr="001F0AA4">
        <w:rPr>
          <w:rFonts w:ascii="Arial" w:hAnsi="Arial" w:cs="Arial"/>
        </w:rPr>
        <w:t xml:space="preserve"> </w:t>
      </w:r>
      <w:r w:rsidR="00052683">
        <w:rPr>
          <w:rFonts w:ascii="Arial" w:hAnsi="Arial" w:cs="Arial"/>
        </w:rPr>
        <w:t>Por cuestión de método, se analiza el concepto de impugnación marcado como Segundo en la demanda inicial y que refiere a la indebida fundamentación y motivación de los actos administrativos. Así pues, d</w:t>
      </w:r>
      <w:r w:rsidRPr="001F0AA4">
        <w:rPr>
          <w:rFonts w:ascii="Arial" w:hAnsi="Arial" w:cs="Arial"/>
        </w:rPr>
        <w:t xml:space="preserve">e las constancias de los autos se desprende que </w:t>
      </w:r>
      <w:r w:rsidR="00AA4A50">
        <w:rPr>
          <w:rFonts w:ascii="Arial" w:hAnsi="Arial" w:cs="Arial"/>
        </w:rPr>
        <w:t>le asienta la</w:t>
      </w:r>
      <w:r w:rsidRPr="001F0AA4">
        <w:rPr>
          <w:rFonts w:ascii="Arial" w:hAnsi="Arial" w:cs="Arial"/>
        </w:rPr>
        <w:t xml:space="preserve"> razón </w:t>
      </w:r>
      <w:r w:rsidR="00AA4A50">
        <w:rPr>
          <w:rFonts w:ascii="Arial" w:hAnsi="Arial" w:cs="Arial"/>
        </w:rPr>
        <w:t xml:space="preserve">a </w:t>
      </w:r>
      <w:r w:rsidRPr="001F0AA4">
        <w:rPr>
          <w:rFonts w:ascii="Arial" w:hAnsi="Arial" w:cs="Arial"/>
        </w:rPr>
        <w:t>la parte actora para solicitar que se determine la NULIDAD LISA Y LLANA del acta de infracción de folio</w:t>
      </w:r>
      <w:r w:rsidR="00AA4A50">
        <w:rPr>
          <w:rFonts w:ascii="Arial" w:hAnsi="Arial" w:cs="Arial"/>
        </w:rPr>
        <w:t xml:space="preserve"> </w:t>
      </w:r>
      <w:r w:rsidR="00753867">
        <w:rPr>
          <w:rFonts w:ascii="Arial" w:hAnsi="Arial" w:cs="Arial"/>
        </w:rPr>
        <w:t>**********</w:t>
      </w:r>
      <w:r w:rsidR="00AA4A50">
        <w:rPr>
          <w:rFonts w:ascii="Arial" w:hAnsi="Arial" w:cs="Arial"/>
        </w:rPr>
        <w:t xml:space="preserve"> de fecha 9 nueve de mayo del 2017 dos mil diecisiete</w:t>
      </w:r>
      <w:r w:rsidR="00164A5A">
        <w:rPr>
          <w:rFonts w:ascii="Arial" w:hAnsi="Arial" w:cs="Arial"/>
        </w:rPr>
        <w:t xml:space="preserve">, toda vez que como refiere existe una indebida fundamentación y motivación; esto es así ya que de un estudio integral del acto impugnado se advierte que no hubo una correcta adecuación de la hipótesis normativa aplicable a la </w:t>
      </w:r>
      <w:r w:rsidR="006B3920">
        <w:rPr>
          <w:rFonts w:ascii="Arial" w:hAnsi="Arial" w:cs="Arial"/>
        </w:rPr>
        <w:t>presunta</w:t>
      </w:r>
      <w:r w:rsidR="00164A5A">
        <w:rPr>
          <w:rFonts w:ascii="Arial" w:hAnsi="Arial" w:cs="Arial"/>
        </w:rPr>
        <w:t xml:space="preserve"> infracción que cometió la parte actora y que se relacione con el supuesto previsto por el legislador, ya que es de explorado derecho, que para la </w:t>
      </w:r>
      <w:r w:rsidR="006B3920">
        <w:rPr>
          <w:rFonts w:ascii="Arial" w:hAnsi="Arial" w:cs="Arial"/>
        </w:rPr>
        <w:t>acreditación</w:t>
      </w:r>
      <w:r w:rsidR="00164A5A">
        <w:rPr>
          <w:rFonts w:ascii="Arial" w:hAnsi="Arial" w:cs="Arial"/>
        </w:rPr>
        <w:t xml:space="preserve"> de una debida fundamentación y motivación, debe especificarse no solo la norma aplicable al caso concreto sino también las circunstancias especiales</w:t>
      </w:r>
      <w:r w:rsidR="006B3920">
        <w:rPr>
          <w:rFonts w:ascii="Arial" w:hAnsi="Arial" w:cs="Arial"/>
        </w:rPr>
        <w:t>,</w:t>
      </w:r>
      <w:r w:rsidR="00164A5A">
        <w:rPr>
          <w:rFonts w:ascii="Arial" w:hAnsi="Arial" w:cs="Arial"/>
        </w:rPr>
        <w:t xml:space="preserve"> </w:t>
      </w:r>
      <w:r w:rsidR="00164A5A" w:rsidRPr="00164A5A">
        <w:rPr>
          <w:rFonts w:ascii="Arial" w:hAnsi="Arial" w:cs="Arial"/>
        </w:rPr>
        <w:t>razones particulares o causas inmediatas que se hayan tenido en consideración para la emisión del acto</w:t>
      </w:r>
      <w:r w:rsidR="00164A5A">
        <w:rPr>
          <w:rFonts w:ascii="Arial" w:hAnsi="Arial" w:cs="Arial"/>
        </w:rPr>
        <w:t xml:space="preserve"> administrativo y que a lo cual no acontecen. Lo anterior se sustenta con la Jurisprudencia emitida por la Segunda Sala de la Suprema Corte de Justicia de la Nación, publicada en el apéndice 2011 </w:t>
      </w:r>
      <w:r w:rsidR="00164A5A" w:rsidRPr="00164A5A">
        <w:rPr>
          <w:rFonts w:ascii="Arial" w:hAnsi="Arial" w:cs="Arial"/>
        </w:rPr>
        <w:tab/>
        <w:t>Tomo I. Constitucional 3. Derechos Fundamentales Primera Parte - SCJN Décima Tercera Sección - Fundamentación y motivación</w:t>
      </w:r>
      <w:r w:rsidR="00164A5A">
        <w:rPr>
          <w:rFonts w:ascii="Arial" w:hAnsi="Arial" w:cs="Arial"/>
        </w:rPr>
        <w:t xml:space="preserve">, página 1239, Séptima Época de número 266, rubro y texto siguientes: </w:t>
      </w:r>
    </w:p>
    <w:p w:rsidR="00164A5A" w:rsidRDefault="00164A5A" w:rsidP="00181169">
      <w:pPr>
        <w:spacing w:after="0" w:line="360" w:lineRule="auto"/>
        <w:ind w:firstLine="708"/>
        <w:jc w:val="both"/>
        <w:rPr>
          <w:rFonts w:ascii="Arial" w:hAnsi="Arial" w:cs="Arial"/>
        </w:rPr>
      </w:pPr>
    </w:p>
    <w:p w:rsidR="00164A5A" w:rsidRPr="00164A5A" w:rsidRDefault="00164A5A" w:rsidP="00164A5A">
      <w:pPr>
        <w:spacing w:after="0" w:line="240" w:lineRule="auto"/>
        <w:ind w:left="709" w:right="616" w:hanging="1"/>
        <w:jc w:val="both"/>
        <w:rPr>
          <w:rFonts w:ascii="Arial" w:hAnsi="Arial" w:cs="Arial"/>
          <w:b/>
          <w:sz w:val="20"/>
        </w:rPr>
      </w:pPr>
      <w:r w:rsidRPr="00164A5A">
        <w:rPr>
          <w:rFonts w:ascii="Arial" w:hAnsi="Arial" w:cs="Arial"/>
          <w:b/>
          <w:sz w:val="20"/>
        </w:rPr>
        <w:t>FUNDAMENTACIÓN Y MOTIVACIÓN.</w:t>
      </w:r>
    </w:p>
    <w:p w:rsidR="00164A5A" w:rsidRPr="00164A5A" w:rsidRDefault="00164A5A" w:rsidP="00164A5A">
      <w:pPr>
        <w:spacing w:after="0" w:line="240" w:lineRule="auto"/>
        <w:ind w:left="709" w:right="616" w:hanging="1"/>
        <w:jc w:val="both"/>
        <w:rPr>
          <w:rFonts w:ascii="Arial" w:hAnsi="Arial" w:cs="Arial"/>
          <w:sz w:val="20"/>
        </w:rPr>
      </w:pPr>
    </w:p>
    <w:p w:rsidR="00164A5A" w:rsidRPr="00164A5A" w:rsidRDefault="00164A5A" w:rsidP="00164A5A">
      <w:pPr>
        <w:spacing w:after="0" w:line="240" w:lineRule="auto"/>
        <w:ind w:left="709" w:right="616" w:hanging="1"/>
        <w:jc w:val="both"/>
        <w:rPr>
          <w:rFonts w:ascii="Arial" w:hAnsi="Arial" w:cs="Arial"/>
          <w:sz w:val="20"/>
        </w:rPr>
      </w:pPr>
      <w:r w:rsidRPr="00164A5A">
        <w:rPr>
          <w:rFonts w:ascii="Arial" w:hAnsi="Arial" w:cs="Arial"/>
          <w:sz w:val="20"/>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6D0CA1" w:rsidRDefault="006D0CA1" w:rsidP="00181169">
      <w:pPr>
        <w:spacing w:after="0" w:line="360" w:lineRule="auto"/>
        <w:ind w:firstLine="708"/>
        <w:jc w:val="both"/>
        <w:rPr>
          <w:rFonts w:ascii="Arial" w:hAnsi="Arial" w:cs="Arial"/>
        </w:rPr>
      </w:pPr>
    </w:p>
    <w:p w:rsidR="006D0CA1" w:rsidRDefault="006D0CA1" w:rsidP="00181169">
      <w:pPr>
        <w:spacing w:after="0" w:line="360" w:lineRule="auto"/>
        <w:ind w:firstLine="708"/>
        <w:jc w:val="both"/>
        <w:rPr>
          <w:rFonts w:ascii="Arial" w:hAnsi="Arial" w:cs="Arial"/>
        </w:rPr>
      </w:pPr>
    </w:p>
    <w:p w:rsidR="00052683" w:rsidRDefault="00C849D9" w:rsidP="0024685B">
      <w:pPr>
        <w:spacing w:after="0" w:line="360" w:lineRule="auto"/>
        <w:ind w:right="49" w:firstLine="567"/>
        <w:jc w:val="both"/>
        <w:rPr>
          <w:rFonts w:ascii="Arial" w:hAnsi="Arial" w:cs="Arial"/>
        </w:rPr>
      </w:pPr>
      <w:r w:rsidRPr="00801150">
        <w:rPr>
          <w:rFonts w:ascii="Arial" w:hAnsi="Arial" w:cs="Arial"/>
        </w:rPr>
        <w:t>De</w:t>
      </w:r>
      <w:r w:rsidR="00052683">
        <w:rPr>
          <w:rFonts w:ascii="Arial" w:hAnsi="Arial" w:cs="Arial"/>
        </w:rPr>
        <w:t xml:space="preserve"> esa guisa se tiene que en el cuerpo del acta de infracción resulta visible que </w:t>
      </w:r>
      <w:r w:rsidR="00AA4A50">
        <w:rPr>
          <w:rFonts w:ascii="Arial" w:hAnsi="Arial" w:cs="Arial"/>
        </w:rPr>
        <w:t>por toda</w:t>
      </w:r>
      <w:r w:rsidR="00052683">
        <w:rPr>
          <w:rFonts w:ascii="Arial" w:hAnsi="Arial" w:cs="Arial"/>
        </w:rPr>
        <w:t xml:space="preserve"> fundamentación y motivación se </w:t>
      </w:r>
      <w:r w:rsidR="00AA4A50">
        <w:rPr>
          <w:rFonts w:ascii="Arial" w:hAnsi="Arial" w:cs="Arial"/>
        </w:rPr>
        <w:t>limita</w:t>
      </w:r>
      <w:r w:rsidR="00052683">
        <w:rPr>
          <w:rFonts w:ascii="Arial" w:hAnsi="Arial" w:cs="Arial"/>
        </w:rPr>
        <w:t xml:space="preserve"> </w:t>
      </w:r>
      <w:r w:rsidR="00AA4A50">
        <w:rPr>
          <w:rFonts w:ascii="Arial" w:hAnsi="Arial" w:cs="Arial"/>
        </w:rPr>
        <w:t>a subrayar: “</w:t>
      </w:r>
      <w:r w:rsidR="00AA4A50">
        <w:rPr>
          <w:rFonts w:ascii="Arial" w:hAnsi="Arial" w:cs="Arial"/>
          <w:sz w:val="20"/>
        </w:rPr>
        <w:t xml:space="preserve">50. MAL COMPORTAMIENTO DEL CONDUCTOR” </w:t>
      </w:r>
      <w:r w:rsidR="00052683">
        <w:rPr>
          <w:rFonts w:ascii="Arial" w:hAnsi="Arial" w:cs="Arial"/>
        </w:rPr>
        <w:t xml:space="preserve">lo que resulta una clara contravención a la técnica jurídica estipulada por la Segunda Sala de la Suprema Corte de Justicia de la Nación en la Jurisprudencia antes citada, puesto que se limita a </w:t>
      </w:r>
      <w:r w:rsidR="00AA4A50">
        <w:rPr>
          <w:rFonts w:ascii="Arial" w:hAnsi="Arial" w:cs="Arial"/>
        </w:rPr>
        <w:t>subrayar el presupuesto actualizado por el aquí actor</w:t>
      </w:r>
      <w:r w:rsidR="00052683">
        <w:rPr>
          <w:rFonts w:ascii="Arial" w:hAnsi="Arial" w:cs="Arial"/>
        </w:rPr>
        <w:t xml:space="preserve">, sin que especifique el motivo por el cual la conducta actualizada por el aquí actor, encuadra con el presupuesto normativo. - - - - - - - - - - - - - - </w:t>
      </w:r>
      <w:r w:rsidR="00AA4A50">
        <w:rPr>
          <w:rFonts w:ascii="Arial" w:hAnsi="Arial" w:cs="Arial"/>
        </w:rPr>
        <w:t xml:space="preserve">- - - - - - - - - - - - - - - - - - - - - - - - - - - - - </w:t>
      </w:r>
    </w:p>
    <w:p w:rsidR="00052683" w:rsidRDefault="00052683" w:rsidP="0024685B">
      <w:pPr>
        <w:spacing w:after="0" w:line="360" w:lineRule="auto"/>
        <w:ind w:right="49" w:firstLine="567"/>
        <w:jc w:val="both"/>
        <w:rPr>
          <w:rFonts w:ascii="Arial" w:hAnsi="Arial" w:cs="Arial"/>
        </w:rPr>
      </w:pPr>
    </w:p>
    <w:p w:rsidR="00C849D9" w:rsidRPr="00EA2846" w:rsidRDefault="006D6579" w:rsidP="006D6579">
      <w:pPr>
        <w:spacing w:after="0" w:line="360" w:lineRule="auto"/>
        <w:ind w:right="49" w:firstLine="567"/>
        <w:jc w:val="both"/>
        <w:rPr>
          <w:rFonts w:ascii="Arial" w:hAnsi="Arial" w:cs="Arial"/>
        </w:rPr>
      </w:pPr>
      <w:r>
        <w:rPr>
          <w:rFonts w:ascii="Arial" w:hAnsi="Arial" w:cs="Arial"/>
        </w:rPr>
        <w:t xml:space="preserve">De </w:t>
      </w:r>
      <w:r w:rsidR="00C849D9" w:rsidRPr="00801150">
        <w:rPr>
          <w:rFonts w:ascii="Arial" w:hAnsi="Arial" w:cs="Arial"/>
        </w:rPr>
        <w:t>ahí que resultan en esencia, fundados los conceptos de impugnación del actor relativa a la falta de fundamentación y motivación de la que adolece el acta de infracción de tránsito impugnada, expuesta por el actor en su demanda, pues en efecto como lo estatuye el artículo 16 de la Constitución Política de los Estados Unidos Mexicanos, nadie “</w:t>
      </w:r>
      <w:r w:rsidR="00C849D9" w:rsidRPr="00EA2846">
        <w:rPr>
          <w:rFonts w:ascii="Arial" w:hAnsi="Arial" w:cs="Arial"/>
          <w:i/>
        </w:rPr>
        <w:t>puede ser molestado en su persona, familia, domicilio, papeles o posesiones sino en virtud de mandamiento escrito de la autoridad competente, que funde y motive la causa legal del procedimiento</w:t>
      </w:r>
      <w:r w:rsidR="00C849D9">
        <w:rPr>
          <w:rFonts w:ascii="Arial" w:hAnsi="Arial" w:cs="Arial"/>
        </w:rPr>
        <w:t>”</w:t>
      </w:r>
      <w:r w:rsidR="00C849D9">
        <w:rPr>
          <w:rStyle w:val="Refdenotaalpie"/>
          <w:rFonts w:ascii="Arial" w:hAnsi="Arial" w:cs="Arial"/>
        </w:rPr>
        <w:footnoteReference w:id="2"/>
      </w:r>
      <w:r w:rsidR="00C849D9" w:rsidRPr="00801150">
        <w:rPr>
          <w:rFonts w:ascii="Arial" w:hAnsi="Arial" w:cs="Arial"/>
        </w:rPr>
        <w:t xml:space="preserve">. </w:t>
      </w:r>
      <w:r w:rsidR="00C849D9" w:rsidRPr="00EA2846">
        <w:rPr>
          <w:rFonts w:ascii="Arial" w:hAnsi="Arial" w:cs="Arial"/>
        </w:rPr>
        <w:t>Esto es así, pues el artículo 16 Constitucional, establece una obligación para las autoridades, en el sentido de que deb</w:t>
      </w:r>
      <w:r w:rsidR="00C849D9">
        <w:rPr>
          <w:rFonts w:ascii="Arial" w:hAnsi="Arial" w:cs="Arial"/>
        </w:rPr>
        <w:t xml:space="preserve">en fundar y motivar sus actos; </w:t>
      </w:r>
      <w:r w:rsidR="00C849D9" w:rsidRPr="00EA2846">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w:t>
      </w:r>
    </w:p>
    <w:p w:rsidR="00C849D9" w:rsidRDefault="00C849D9" w:rsidP="00C849D9">
      <w:pPr>
        <w:spacing w:after="0" w:line="360" w:lineRule="auto"/>
        <w:ind w:right="49" w:firstLine="708"/>
        <w:jc w:val="both"/>
        <w:rPr>
          <w:rFonts w:ascii="Arial" w:hAnsi="Arial" w:cs="Arial"/>
        </w:rPr>
      </w:pPr>
    </w:p>
    <w:p w:rsidR="00C849D9" w:rsidRPr="00EA2846" w:rsidRDefault="00C849D9" w:rsidP="00C849D9">
      <w:pPr>
        <w:spacing w:after="0" w:line="360" w:lineRule="auto"/>
        <w:ind w:right="49" w:firstLine="708"/>
        <w:jc w:val="both"/>
        <w:rPr>
          <w:rFonts w:ascii="Arial" w:hAnsi="Arial" w:cs="Arial"/>
        </w:rPr>
      </w:pPr>
      <w:r w:rsidRPr="00EA2846">
        <w:rPr>
          <w:rFonts w:ascii="Arial" w:hAnsi="Arial" w:cs="Arial"/>
        </w:rPr>
        <w:t xml:space="preserve">Este criterio también se sostiene en la Jurisprudencia de número 216534, emitida por el Pleno de la Suprema Corte de Justicia de la Nación, publicada en el Semanario Judicial de la Federación y su Gaceta, Octava Época, número 64, abril de 1993, página 43:     </w:t>
      </w:r>
    </w:p>
    <w:p w:rsidR="00C849D9" w:rsidRPr="00EA2846" w:rsidRDefault="00C849D9" w:rsidP="00C849D9">
      <w:pPr>
        <w:spacing w:after="0" w:line="360" w:lineRule="auto"/>
        <w:ind w:right="49" w:firstLine="708"/>
        <w:jc w:val="both"/>
        <w:rPr>
          <w:rFonts w:ascii="Arial" w:hAnsi="Arial" w:cs="Arial"/>
          <w:b/>
        </w:rPr>
      </w:pPr>
    </w:p>
    <w:p w:rsidR="00C849D9" w:rsidRPr="00EA2846" w:rsidRDefault="006D6579" w:rsidP="00C849D9">
      <w:pPr>
        <w:spacing w:after="0" w:line="360" w:lineRule="auto"/>
        <w:ind w:left="709" w:right="616" w:hanging="1"/>
        <w:jc w:val="both"/>
        <w:rPr>
          <w:rFonts w:ascii="Arial" w:hAnsi="Arial" w:cs="Arial"/>
          <w:b/>
          <w:sz w:val="20"/>
        </w:rPr>
      </w:pPr>
      <w:r w:rsidRPr="006D6579">
        <w:rPr>
          <w:rFonts w:ascii="Arial" w:hAnsi="Arial" w:cs="Arial"/>
          <w:sz w:val="20"/>
        </w:rPr>
        <w:t>“</w:t>
      </w:r>
      <w:r w:rsidR="00C849D9" w:rsidRPr="00EA2846">
        <w:rPr>
          <w:rFonts w:ascii="Arial" w:hAnsi="Arial" w:cs="Arial"/>
          <w:b/>
          <w:sz w:val="20"/>
        </w:rPr>
        <w:t>FUNDAMENTACION Y MOTIVACION DE LOS ACTOS ADMINISTRATIVOS.</w:t>
      </w:r>
    </w:p>
    <w:p w:rsidR="00C849D9" w:rsidRPr="00EA2846" w:rsidRDefault="00C849D9" w:rsidP="00C849D9">
      <w:pPr>
        <w:spacing w:after="0" w:line="360" w:lineRule="auto"/>
        <w:ind w:left="709" w:right="616" w:hanging="1"/>
        <w:jc w:val="both"/>
        <w:rPr>
          <w:rFonts w:ascii="Arial" w:hAnsi="Arial" w:cs="Arial"/>
          <w:b/>
          <w:sz w:val="20"/>
        </w:rPr>
      </w:pPr>
    </w:p>
    <w:p w:rsidR="00C849D9" w:rsidRPr="00EA2846" w:rsidRDefault="00C849D9" w:rsidP="00C849D9">
      <w:pPr>
        <w:spacing w:after="0" w:line="240" w:lineRule="auto"/>
        <w:ind w:left="709" w:right="616" w:hanging="1"/>
        <w:jc w:val="both"/>
        <w:rPr>
          <w:rFonts w:ascii="Arial" w:hAnsi="Arial" w:cs="Arial"/>
          <w:sz w:val="20"/>
        </w:rPr>
      </w:pPr>
      <w:r w:rsidRPr="00EA2846">
        <w:rPr>
          <w:rFonts w:ascii="Arial" w:hAnsi="Arial" w:cs="Arial"/>
          <w:sz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6D6579">
        <w:rPr>
          <w:rFonts w:ascii="Arial" w:hAnsi="Arial" w:cs="Arial"/>
          <w:sz w:val="20"/>
        </w:rPr>
        <w:t>”</w:t>
      </w:r>
    </w:p>
    <w:p w:rsidR="006D6579" w:rsidRPr="00157F90" w:rsidRDefault="006D6579" w:rsidP="006D6579">
      <w:pPr>
        <w:spacing w:line="360" w:lineRule="auto"/>
        <w:ind w:firstLine="567"/>
        <w:jc w:val="both"/>
      </w:pPr>
      <w:r>
        <w:rPr>
          <w:rFonts w:ascii="Arial" w:hAnsi="Arial" w:cs="Arial"/>
        </w:rPr>
        <w:t xml:space="preserve">Por otra parte, en atinencia a que </w:t>
      </w:r>
      <w:r w:rsidR="00B2728F">
        <w:rPr>
          <w:rFonts w:ascii="Arial" w:hAnsi="Arial" w:cs="Arial"/>
        </w:rPr>
        <w:t>el concepto</w:t>
      </w:r>
      <w:r>
        <w:rPr>
          <w:rFonts w:ascii="Arial" w:hAnsi="Arial" w:cs="Arial"/>
        </w:rPr>
        <w:t xml:space="preserve"> </w:t>
      </w:r>
      <w:r w:rsidR="00B2728F">
        <w:rPr>
          <w:rFonts w:ascii="Arial" w:hAnsi="Arial" w:cs="Arial"/>
        </w:rPr>
        <w:t>de impugnación antes mencionado</w:t>
      </w:r>
      <w:r>
        <w:rPr>
          <w:rFonts w:ascii="Arial" w:hAnsi="Arial" w:cs="Arial"/>
        </w:rPr>
        <w:t xml:space="preserve">, es suficiente para determinar la Nulidad Lisa y Llana de acta de infracción impugnada, es que resulta </w:t>
      </w:r>
      <w:r w:rsidR="00B2728F">
        <w:rPr>
          <w:rFonts w:ascii="Arial" w:hAnsi="Arial" w:cs="Arial"/>
        </w:rPr>
        <w:t>ocioso</w:t>
      </w:r>
      <w:r>
        <w:rPr>
          <w:rFonts w:ascii="Arial" w:hAnsi="Arial" w:cs="Arial"/>
        </w:rPr>
        <w:t xml:space="preserve"> el estudio de los demás conceptos de impugnación fijados en la Litis. Sirve de soporte a lo anterior la Jurisprudencia  emitida por los Tribunales Colegiados  de </w:t>
      </w:r>
      <w:r>
        <w:rPr>
          <w:rFonts w:ascii="Arial" w:hAnsi="Arial" w:cs="Arial"/>
        </w:rPr>
        <w:lastRenderedPageBreak/>
        <w:t>Circuito, Públicada en el Semanario Judicial de la Federación y su Gaceta, Tomo XV, Mayo de 2002, con número de registro 186983, página 928:</w:t>
      </w:r>
    </w:p>
    <w:p w:rsidR="006D6579" w:rsidRDefault="006D6579" w:rsidP="006D6579">
      <w:pPr>
        <w:tabs>
          <w:tab w:val="left" w:pos="6663"/>
        </w:tabs>
        <w:spacing w:line="276" w:lineRule="auto"/>
        <w:ind w:left="709" w:right="616" w:hanging="1"/>
        <w:jc w:val="both"/>
        <w:rPr>
          <w:rFonts w:ascii="Arial" w:hAnsi="Arial" w:cs="Arial"/>
          <w:b/>
          <w:sz w:val="20"/>
        </w:rPr>
      </w:pPr>
    </w:p>
    <w:p w:rsidR="006D6579" w:rsidRPr="006D6579" w:rsidRDefault="006D6579" w:rsidP="006D6579">
      <w:pPr>
        <w:tabs>
          <w:tab w:val="left" w:pos="6663"/>
        </w:tabs>
        <w:spacing w:line="276" w:lineRule="auto"/>
        <w:ind w:left="709" w:right="616" w:hanging="1"/>
        <w:jc w:val="both"/>
        <w:rPr>
          <w:rFonts w:ascii="Arial" w:hAnsi="Arial" w:cs="Arial"/>
          <w:b/>
          <w:sz w:val="20"/>
        </w:rPr>
      </w:pPr>
      <w:r w:rsidRPr="006D6579">
        <w:rPr>
          <w:rFonts w:ascii="Arial" w:hAnsi="Arial" w:cs="Arial"/>
          <w:b/>
          <w:sz w:val="20"/>
        </w:rPr>
        <w:t>“CONCEPTOS DE IMPUGNACIÓN. CUANDO RESULTA FUNDADO ALGUNO DE NATURALEZA PROCEDIMENTAL, ES INNECESARIO EL ESTUDIO DE LOS RESTANTES.</w:t>
      </w:r>
    </w:p>
    <w:p w:rsidR="006D6579" w:rsidRPr="006D6579" w:rsidRDefault="006D6579" w:rsidP="006D6579">
      <w:pPr>
        <w:tabs>
          <w:tab w:val="left" w:pos="6663"/>
        </w:tabs>
        <w:spacing w:line="276" w:lineRule="auto"/>
        <w:ind w:left="709" w:right="616" w:hanging="1"/>
        <w:jc w:val="both"/>
        <w:rPr>
          <w:rFonts w:ascii="Arial" w:hAnsi="Arial" w:cs="Arial"/>
          <w:sz w:val="20"/>
        </w:rPr>
      </w:pPr>
      <w:r w:rsidRPr="006D6579">
        <w:rPr>
          <w:rFonts w:ascii="Arial" w:hAnsi="Arial" w:cs="Arial"/>
          <w:sz w:val="20"/>
        </w:rPr>
        <w:t xml:space="preserve"> 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p>
    <w:p w:rsidR="006D6579" w:rsidRDefault="006D6579" w:rsidP="0024685B">
      <w:pPr>
        <w:spacing w:after="0" w:line="360" w:lineRule="auto"/>
        <w:ind w:right="49" w:firstLine="567"/>
        <w:jc w:val="both"/>
        <w:rPr>
          <w:rFonts w:ascii="Arial" w:hAnsi="Arial" w:cs="Arial"/>
        </w:rPr>
      </w:pPr>
    </w:p>
    <w:p w:rsidR="00FC25D0" w:rsidRDefault="006B3920" w:rsidP="007729C7">
      <w:pPr>
        <w:spacing w:after="0" w:line="360" w:lineRule="auto"/>
        <w:ind w:right="49" w:firstLine="567"/>
        <w:jc w:val="both"/>
        <w:rPr>
          <w:rFonts w:ascii="Arial" w:hAnsi="Arial" w:cs="Arial"/>
        </w:rPr>
      </w:pPr>
      <w:r w:rsidRPr="001F0AA4">
        <w:rPr>
          <w:rFonts w:ascii="Arial" w:hAnsi="Arial" w:cs="Arial"/>
        </w:rPr>
        <w:t>En cuanto a la pretensión del actor se le devuelva</w:t>
      </w:r>
      <w:r w:rsidR="007729C7">
        <w:rPr>
          <w:rFonts w:ascii="Arial" w:hAnsi="Arial" w:cs="Arial"/>
        </w:rPr>
        <w:t xml:space="preserve"> la tarjeta de circulación y que especifica a foja 13 trece de su demanda inicial</w:t>
      </w:r>
      <w:r w:rsidRPr="001F0AA4">
        <w:rPr>
          <w:rFonts w:ascii="Arial" w:hAnsi="Arial" w:cs="Arial"/>
        </w:rPr>
        <w:t xml:space="preserve">, siendo </w:t>
      </w:r>
      <w:r w:rsidR="007729C7">
        <w:rPr>
          <w:rFonts w:ascii="Arial" w:hAnsi="Arial" w:cs="Arial"/>
        </w:rPr>
        <w:t xml:space="preserve">la retención de la misma </w:t>
      </w:r>
      <w:r w:rsidRPr="001F0AA4">
        <w:rPr>
          <w:rFonts w:ascii="Arial" w:hAnsi="Arial" w:cs="Arial"/>
        </w:rPr>
        <w:t>un acto consecuente, inmediato y directo del aquí acto impugnado, que se declaró nulo en</w:t>
      </w:r>
      <w:r w:rsidR="007729C7">
        <w:rPr>
          <w:rFonts w:ascii="Arial" w:hAnsi="Arial" w:cs="Arial"/>
        </w:rPr>
        <w:t xml:space="preserve"> forma lisa y llana, es por lo </w:t>
      </w:r>
      <w:r w:rsidRPr="001F0AA4">
        <w:rPr>
          <w:rFonts w:ascii="Arial" w:hAnsi="Arial" w:cs="Arial"/>
        </w:rPr>
        <w:t>que resulta un e</w:t>
      </w:r>
      <w:r w:rsidR="0024685B">
        <w:rPr>
          <w:rFonts w:ascii="Arial" w:hAnsi="Arial" w:cs="Arial"/>
        </w:rPr>
        <w:t>fecto propio de tal declaración</w:t>
      </w:r>
      <w:r w:rsidR="0024685B">
        <w:rPr>
          <w:rStyle w:val="Refdenotaalpie"/>
          <w:rFonts w:ascii="Arial" w:hAnsi="Arial" w:cs="Arial"/>
        </w:rPr>
        <w:footnoteReference w:id="3"/>
      </w:r>
      <w:r w:rsidRPr="001F0AA4">
        <w:rPr>
          <w:rFonts w:ascii="Arial" w:hAnsi="Arial" w:cs="Arial"/>
        </w:rPr>
        <w:t xml:space="preserve">, procede se ordene </w:t>
      </w:r>
      <w:r w:rsidR="006D011D">
        <w:rPr>
          <w:rFonts w:ascii="Arial" w:hAnsi="Arial" w:cs="Arial"/>
        </w:rPr>
        <w:t xml:space="preserve">al </w:t>
      </w:r>
      <w:r w:rsidR="007729C7">
        <w:rPr>
          <w:rFonts w:ascii="Arial" w:hAnsi="Arial" w:cs="Arial"/>
        </w:rPr>
        <w:t>Director General de la Policía Vial Estatal</w:t>
      </w:r>
      <w:r w:rsidRPr="001F0AA4">
        <w:rPr>
          <w:rFonts w:ascii="Arial" w:hAnsi="Arial" w:cs="Arial"/>
        </w:rPr>
        <w:t xml:space="preserve">, la devolución de </w:t>
      </w:r>
      <w:r w:rsidR="007729C7">
        <w:rPr>
          <w:rFonts w:ascii="Arial" w:hAnsi="Arial" w:cs="Arial"/>
        </w:rPr>
        <w:t>la garantía retenida</w:t>
      </w:r>
      <w:r w:rsidRPr="001F0AA4">
        <w:rPr>
          <w:rFonts w:ascii="Arial" w:hAnsi="Arial" w:cs="Arial"/>
        </w:rPr>
        <w:t xml:space="preserve"> por la ilegal infracci</w:t>
      </w:r>
      <w:r w:rsidR="008F2B9D">
        <w:rPr>
          <w:rFonts w:ascii="Arial" w:hAnsi="Arial" w:cs="Arial"/>
        </w:rPr>
        <w:t>ón al Reglamento de la Ley de Tránsito</w:t>
      </w:r>
      <w:r w:rsidRPr="001F0AA4">
        <w:rPr>
          <w:rFonts w:ascii="Arial" w:hAnsi="Arial" w:cs="Arial"/>
        </w:rPr>
        <w:t xml:space="preserve">, que se le atribuyó. Ahora, cabe destacar que ante la pretensión reclamada en devolución y de acuerdo a una comprensión integral de la demanda, de conformidad con el artículo 176 de la Ley de la materia debe hacerse la devolución arriba mencionada al actor. - - - - - - - - - - - - - - - - - - - </w:t>
      </w:r>
    </w:p>
    <w:p w:rsidR="007729C7" w:rsidRDefault="007729C7" w:rsidP="00D9723A">
      <w:pPr>
        <w:spacing w:after="0" w:line="360" w:lineRule="auto"/>
        <w:ind w:right="49" w:firstLine="708"/>
        <w:jc w:val="both"/>
        <w:rPr>
          <w:rFonts w:ascii="Arial" w:hAnsi="Arial" w:cs="Arial"/>
        </w:rPr>
      </w:pPr>
    </w:p>
    <w:p w:rsidR="007729C7" w:rsidRPr="006B33D4" w:rsidRDefault="003A0F04" w:rsidP="006B33D4">
      <w:pPr>
        <w:spacing w:after="0" w:line="360" w:lineRule="auto"/>
        <w:ind w:right="49" w:firstLine="708"/>
        <w:jc w:val="both"/>
        <w:rPr>
          <w:rFonts w:ascii="Arial" w:hAnsi="Arial" w:cs="Arial"/>
        </w:rPr>
      </w:pPr>
      <w:r w:rsidRPr="001F0AA4">
        <w:rPr>
          <w:rFonts w:ascii="Arial" w:hAnsi="Arial" w:cs="Arial"/>
        </w:rPr>
        <w:t>Por lo expuesto y con fundamento en los artículos 177, 178 fracci</w:t>
      </w:r>
      <w:r w:rsidR="007357E0">
        <w:rPr>
          <w:rFonts w:ascii="Arial" w:hAnsi="Arial" w:cs="Arial"/>
        </w:rPr>
        <w:t>ón II</w:t>
      </w:r>
      <w:r w:rsidRPr="001F0AA4">
        <w:rPr>
          <w:rFonts w:ascii="Arial" w:hAnsi="Arial" w:cs="Arial"/>
        </w:rPr>
        <w:t xml:space="preserve"> y 179 de Ley de Justicia Administrativa para el Estado de Oaxaca, se; - - - - - - - - - - - - - - - - - - - - - </w:t>
      </w:r>
    </w:p>
    <w:p w:rsidR="007729C7" w:rsidRPr="001F0AA4" w:rsidRDefault="007729C7" w:rsidP="003A0F04">
      <w:pPr>
        <w:spacing w:after="0" w:line="360" w:lineRule="auto"/>
        <w:ind w:right="49"/>
        <w:rPr>
          <w:rFonts w:ascii="Arial" w:hAnsi="Arial" w:cs="Arial"/>
          <w:b/>
        </w:rPr>
      </w:pPr>
    </w:p>
    <w:p w:rsidR="003A0F04" w:rsidRDefault="003A0F04" w:rsidP="003A0F04">
      <w:pPr>
        <w:spacing w:after="0" w:line="360" w:lineRule="auto"/>
        <w:ind w:right="49" w:firstLine="708"/>
        <w:jc w:val="center"/>
        <w:rPr>
          <w:rFonts w:ascii="Arial" w:hAnsi="Arial" w:cs="Arial"/>
          <w:b/>
        </w:rPr>
      </w:pPr>
      <w:r w:rsidRPr="001F0AA4">
        <w:rPr>
          <w:rFonts w:ascii="Arial" w:hAnsi="Arial" w:cs="Arial"/>
          <w:b/>
        </w:rPr>
        <w:t>R E S U E L V E:</w:t>
      </w:r>
    </w:p>
    <w:p w:rsidR="005626AB" w:rsidRPr="001F0AA4" w:rsidRDefault="005626AB" w:rsidP="003A0F04">
      <w:pPr>
        <w:spacing w:after="0" w:line="360" w:lineRule="auto"/>
        <w:ind w:right="49" w:firstLine="708"/>
        <w:jc w:val="center"/>
        <w:rPr>
          <w:rFonts w:ascii="Arial" w:hAnsi="Arial" w:cs="Arial"/>
          <w:b/>
        </w:rPr>
      </w:pPr>
    </w:p>
    <w:p w:rsidR="003A0F04" w:rsidRPr="001F0AA4" w:rsidRDefault="003A0F04" w:rsidP="003A0F04">
      <w:pPr>
        <w:spacing w:after="0" w:line="360" w:lineRule="auto"/>
        <w:ind w:right="49" w:firstLine="708"/>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Sexta Sala Unitaria fue competente para conocer y resolver del presente asunto. - - - - - - - - - - - - - - - - - - - - - - - - - - - - - - - - - - - - - - - - - - - - - - - - - - - - -</w:t>
      </w:r>
    </w:p>
    <w:p w:rsidR="003A0F04" w:rsidRPr="001F0AA4" w:rsidRDefault="003A0F04" w:rsidP="003A0F04">
      <w:pPr>
        <w:spacing w:after="0" w:line="360" w:lineRule="auto"/>
        <w:ind w:right="49"/>
        <w:jc w:val="both"/>
        <w:rPr>
          <w:rFonts w:ascii="Arial" w:hAnsi="Arial" w:cs="Arial"/>
        </w:rPr>
      </w:pPr>
    </w:p>
    <w:p w:rsidR="003A0F04" w:rsidRDefault="003A0F04" w:rsidP="003A0F04">
      <w:pPr>
        <w:spacing w:after="0" w:line="360" w:lineRule="auto"/>
        <w:ind w:right="49" w:firstLine="708"/>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w:t>
      </w:r>
      <w:r w:rsidR="007357E0">
        <w:rPr>
          <w:rFonts w:ascii="Arial" w:hAnsi="Arial" w:cs="Arial"/>
        </w:rPr>
        <w:t xml:space="preserve"> </w:t>
      </w:r>
      <w:r w:rsidR="007729C7">
        <w:rPr>
          <w:rFonts w:ascii="Arial" w:hAnsi="Arial" w:cs="Arial"/>
        </w:rPr>
        <w:t>de la parte actora quedó acreditada en autos y no así al de la autoridad demandada</w:t>
      </w:r>
      <w:r w:rsidRPr="001F0AA4">
        <w:rPr>
          <w:rFonts w:ascii="Arial" w:hAnsi="Arial" w:cs="Arial"/>
        </w:rPr>
        <w:t xml:space="preserve">.- - - - - - </w:t>
      </w:r>
      <w:r w:rsidR="007729C7">
        <w:rPr>
          <w:rFonts w:ascii="Arial" w:hAnsi="Arial" w:cs="Arial"/>
        </w:rPr>
        <w:t xml:space="preserve">- - - - - - - - - - - - - - - - - - - - - - - - - - - - - - - - - - - </w:t>
      </w:r>
    </w:p>
    <w:p w:rsidR="00D9723A" w:rsidRPr="001F0AA4" w:rsidRDefault="00D9723A" w:rsidP="003A0F04">
      <w:pPr>
        <w:spacing w:after="0" w:line="360" w:lineRule="auto"/>
        <w:ind w:right="49" w:firstLine="708"/>
        <w:jc w:val="both"/>
        <w:rPr>
          <w:rFonts w:ascii="Arial" w:hAnsi="Arial" w:cs="Arial"/>
          <w:b/>
        </w:rPr>
      </w:pPr>
    </w:p>
    <w:p w:rsidR="003A0F04" w:rsidRDefault="003A0F04" w:rsidP="007357E0">
      <w:pPr>
        <w:spacing w:after="0" w:line="360" w:lineRule="auto"/>
        <w:ind w:right="49" w:firstLine="708"/>
        <w:jc w:val="both"/>
        <w:rPr>
          <w:rFonts w:ascii="Arial" w:hAnsi="Arial" w:cs="Arial"/>
        </w:rPr>
      </w:pPr>
      <w:r w:rsidRPr="001F0AA4">
        <w:rPr>
          <w:rFonts w:ascii="Arial" w:hAnsi="Arial" w:cs="Arial"/>
          <w:b/>
        </w:rPr>
        <w:t>TERCERO.</w:t>
      </w:r>
      <w:r>
        <w:rPr>
          <w:rFonts w:ascii="Arial" w:hAnsi="Arial" w:cs="Arial"/>
          <w:b/>
        </w:rPr>
        <w:t>-</w:t>
      </w:r>
      <w:r w:rsidR="00D9723A" w:rsidRPr="00D9723A">
        <w:rPr>
          <w:rFonts w:ascii="Arial" w:hAnsi="Arial" w:cs="Arial"/>
        </w:rPr>
        <w:t xml:space="preserve"> </w:t>
      </w:r>
      <w:r w:rsidR="00D9723A" w:rsidRPr="001F0AA4">
        <w:rPr>
          <w:rFonts w:ascii="Arial" w:hAnsi="Arial" w:cs="Arial"/>
        </w:rPr>
        <w:t>No se actualizaron causales de</w:t>
      </w:r>
      <w:r w:rsidR="00357D68">
        <w:rPr>
          <w:rFonts w:ascii="Arial" w:hAnsi="Arial" w:cs="Arial"/>
        </w:rPr>
        <w:t xml:space="preserve"> improcedencia y sobreseimiento. </w:t>
      </w:r>
      <w:r w:rsidRPr="001F0AA4">
        <w:rPr>
          <w:rFonts w:ascii="Arial" w:hAnsi="Arial" w:cs="Arial"/>
        </w:rPr>
        <w:t xml:space="preserve">- - - </w:t>
      </w:r>
    </w:p>
    <w:p w:rsidR="007357E0" w:rsidRPr="001F0AA4" w:rsidRDefault="007357E0" w:rsidP="007357E0">
      <w:pPr>
        <w:spacing w:after="0" w:line="360" w:lineRule="auto"/>
        <w:ind w:right="49" w:firstLine="708"/>
        <w:jc w:val="both"/>
        <w:rPr>
          <w:rFonts w:ascii="Arial" w:hAnsi="Arial" w:cs="Arial"/>
        </w:rPr>
      </w:pPr>
    </w:p>
    <w:p w:rsidR="00244526" w:rsidRPr="001F0AA4" w:rsidRDefault="003A0F04" w:rsidP="00244526">
      <w:pPr>
        <w:spacing w:after="0" w:line="360" w:lineRule="auto"/>
        <w:ind w:right="49" w:firstLine="708"/>
        <w:jc w:val="both"/>
        <w:rPr>
          <w:rFonts w:ascii="Arial" w:hAnsi="Arial" w:cs="Arial"/>
          <w:b/>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 xml:space="preserve">Se declara la </w:t>
      </w:r>
      <w:r w:rsidRPr="001F0AA4">
        <w:rPr>
          <w:rFonts w:ascii="Arial" w:hAnsi="Arial" w:cs="Arial"/>
          <w:b/>
        </w:rPr>
        <w:t>NULIDAD</w:t>
      </w:r>
      <w:r w:rsidRPr="001F0AA4">
        <w:rPr>
          <w:rFonts w:ascii="Arial" w:hAnsi="Arial" w:cs="Arial"/>
        </w:rPr>
        <w:t xml:space="preserve"> </w:t>
      </w:r>
      <w:r w:rsidRPr="001F0AA4">
        <w:rPr>
          <w:rFonts w:ascii="Arial" w:hAnsi="Arial" w:cs="Arial"/>
          <w:b/>
        </w:rPr>
        <w:t>LISA Y LLANA</w:t>
      </w:r>
      <w:r w:rsidRPr="001F0AA4">
        <w:rPr>
          <w:rFonts w:ascii="Arial" w:hAnsi="Arial" w:cs="Arial"/>
        </w:rPr>
        <w:t xml:space="preserve"> del acta de infracción de tránsito folio </w:t>
      </w:r>
      <w:r w:rsidR="00FC00A0">
        <w:rPr>
          <w:rFonts w:ascii="Arial" w:hAnsi="Arial" w:cs="Arial"/>
        </w:rPr>
        <w:t xml:space="preserve">********** </w:t>
      </w:r>
      <w:r w:rsidR="00357D68">
        <w:rPr>
          <w:rFonts w:ascii="Arial" w:hAnsi="Arial" w:cs="Arial"/>
        </w:rPr>
        <w:t>de fecha 9 nueve de mayo del 2017 dos mil diecisiete</w:t>
      </w:r>
      <w:r w:rsidR="003B28E8">
        <w:rPr>
          <w:rFonts w:ascii="Arial" w:hAnsi="Arial" w:cs="Arial"/>
        </w:rPr>
        <w:t xml:space="preserve"> relacionada con el vehículo particular marca </w:t>
      </w:r>
      <w:r w:rsidR="00FC00A0">
        <w:rPr>
          <w:rFonts w:ascii="Arial" w:hAnsi="Arial" w:cs="Arial"/>
        </w:rPr>
        <w:t>**********</w:t>
      </w:r>
      <w:r w:rsidR="003B28E8">
        <w:rPr>
          <w:rFonts w:ascii="Arial" w:hAnsi="Arial" w:cs="Arial"/>
        </w:rPr>
        <w:t xml:space="preserve"> tipo </w:t>
      </w:r>
      <w:r w:rsidR="00FC00A0">
        <w:rPr>
          <w:rFonts w:ascii="Arial" w:hAnsi="Arial" w:cs="Arial"/>
        </w:rPr>
        <w:t>**********</w:t>
      </w:r>
      <w:r w:rsidR="006D011D">
        <w:rPr>
          <w:rFonts w:ascii="Arial" w:hAnsi="Arial" w:cs="Arial"/>
        </w:rPr>
        <w:t xml:space="preserve">, placas folio </w:t>
      </w:r>
      <w:r w:rsidR="00FC00A0">
        <w:rPr>
          <w:rFonts w:ascii="Arial" w:hAnsi="Arial" w:cs="Arial"/>
        </w:rPr>
        <w:t>**********</w:t>
      </w:r>
      <w:r w:rsidR="003B28E8">
        <w:rPr>
          <w:rFonts w:ascii="Arial" w:hAnsi="Arial" w:cs="Arial"/>
        </w:rPr>
        <w:t xml:space="preserve"> y en consecuencia se le restituye en el pleno goce de sus derechos afectados</w:t>
      </w:r>
      <w:r w:rsidR="00244526" w:rsidRPr="001F0AA4">
        <w:rPr>
          <w:rFonts w:ascii="Arial" w:hAnsi="Arial" w:cs="Arial"/>
          <w:b/>
        </w:rPr>
        <w:t>.</w:t>
      </w:r>
      <w:r w:rsidR="00244526" w:rsidRPr="001F0AA4">
        <w:rPr>
          <w:rFonts w:ascii="Arial" w:hAnsi="Arial" w:cs="Arial"/>
        </w:rPr>
        <w:t>- - - - - - -</w:t>
      </w:r>
      <w:r w:rsidR="00672B1D">
        <w:rPr>
          <w:rFonts w:ascii="Arial" w:hAnsi="Arial" w:cs="Arial"/>
        </w:rPr>
        <w:t xml:space="preserve"> - - - - - </w:t>
      </w:r>
    </w:p>
    <w:p w:rsidR="003A0F04" w:rsidRPr="001F0AA4" w:rsidRDefault="003A0F04" w:rsidP="003A0F04">
      <w:pPr>
        <w:spacing w:after="0" w:line="360" w:lineRule="auto"/>
        <w:ind w:right="49" w:firstLine="708"/>
        <w:jc w:val="both"/>
        <w:rPr>
          <w:rFonts w:ascii="Arial" w:hAnsi="Arial" w:cs="Arial"/>
        </w:rPr>
      </w:pPr>
    </w:p>
    <w:p w:rsidR="004C32FE" w:rsidRPr="001F0AA4" w:rsidRDefault="003A0F04" w:rsidP="00672B1D">
      <w:pPr>
        <w:spacing w:after="0" w:line="360" w:lineRule="auto"/>
        <w:ind w:right="49" w:firstLine="567"/>
        <w:jc w:val="both"/>
        <w:rPr>
          <w:rFonts w:ascii="Arial" w:hAnsi="Arial" w:cs="Arial"/>
          <w:b/>
        </w:rPr>
      </w:pPr>
      <w:r w:rsidRPr="001F0AA4">
        <w:rPr>
          <w:rFonts w:ascii="Arial" w:hAnsi="Arial" w:cs="Arial"/>
          <w:b/>
        </w:rPr>
        <w:t>QUINTO.</w:t>
      </w:r>
      <w:r>
        <w:rPr>
          <w:rFonts w:ascii="Arial" w:hAnsi="Arial" w:cs="Arial"/>
          <w:b/>
        </w:rPr>
        <w:t>-</w:t>
      </w:r>
      <w:r w:rsidRPr="001F0AA4">
        <w:rPr>
          <w:rFonts w:ascii="Arial" w:hAnsi="Arial" w:cs="Arial"/>
          <w:b/>
        </w:rPr>
        <w:t xml:space="preserve"> </w:t>
      </w:r>
      <w:r w:rsidR="004C32FE" w:rsidRPr="001F0AA4">
        <w:rPr>
          <w:rFonts w:ascii="Arial" w:hAnsi="Arial" w:cs="Arial"/>
          <w:b/>
        </w:rPr>
        <w:t xml:space="preserve">Se ORDENA al </w:t>
      </w:r>
      <w:r w:rsidR="00357D68">
        <w:rPr>
          <w:rFonts w:ascii="Arial" w:hAnsi="Arial" w:cs="Arial"/>
          <w:b/>
        </w:rPr>
        <w:t xml:space="preserve">Director General de la Policía Estatal </w:t>
      </w:r>
      <w:r w:rsidR="00357D68">
        <w:rPr>
          <w:rFonts w:ascii="Arial" w:hAnsi="Arial" w:cs="Arial"/>
        </w:rPr>
        <w:t>que haga la inmediata entrega de la garantía retenida</w:t>
      </w:r>
      <w:r w:rsidR="006D011D">
        <w:rPr>
          <w:rFonts w:ascii="Arial" w:hAnsi="Arial" w:cs="Arial"/>
        </w:rPr>
        <w:t>.</w:t>
      </w:r>
      <w:r w:rsidR="004C32FE" w:rsidRPr="001F0AA4">
        <w:rPr>
          <w:rFonts w:ascii="Arial" w:hAnsi="Arial" w:cs="Arial"/>
        </w:rPr>
        <w:t xml:space="preserve">- - - </w:t>
      </w:r>
      <w:r w:rsidR="004C32FE">
        <w:rPr>
          <w:rFonts w:ascii="Arial" w:hAnsi="Arial" w:cs="Arial"/>
        </w:rPr>
        <w:t xml:space="preserve">- - - - - - - - - - - - - - - - - - - - - - - - - - - - - - - - </w:t>
      </w:r>
    </w:p>
    <w:p w:rsidR="004C32FE" w:rsidRPr="001F0AA4" w:rsidRDefault="004C32FE" w:rsidP="004C32FE">
      <w:pPr>
        <w:spacing w:after="0" w:line="360" w:lineRule="auto"/>
        <w:ind w:right="49"/>
        <w:jc w:val="both"/>
        <w:rPr>
          <w:rFonts w:ascii="Arial" w:hAnsi="Arial" w:cs="Arial"/>
        </w:rPr>
      </w:pPr>
    </w:p>
    <w:p w:rsidR="006B33D4" w:rsidRDefault="004C32FE" w:rsidP="00672B1D">
      <w:pPr>
        <w:spacing w:after="0" w:line="360" w:lineRule="auto"/>
        <w:ind w:right="49" w:firstLine="567"/>
        <w:jc w:val="both"/>
        <w:rPr>
          <w:rFonts w:ascii="Arial" w:hAnsi="Arial" w:cs="Arial"/>
        </w:rPr>
      </w:pPr>
      <w:r w:rsidRPr="001F0AA4">
        <w:rPr>
          <w:rFonts w:ascii="Arial" w:hAnsi="Arial" w:cs="Arial"/>
          <w:b/>
        </w:rPr>
        <w:t>SEXTO.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AL TESORERO MUNICIPAL DEL MUNICIPIO DE OAXACA DE JUÁREZ</w:t>
      </w:r>
      <w:r w:rsidRPr="001F0AA4">
        <w:rPr>
          <w:rFonts w:ascii="Arial" w:hAnsi="Arial" w:cs="Arial"/>
        </w:rPr>
        <w:t>,</w:t>
      </w:r>
      <w:r w:rsidR="00672B1D">
        <w:rPr>
          <w:rFonts w:ascii="Arial" w:hAnsi="Arial" w:cs="Arial"/>
        </w:rPr>
        <w:t xml:space="preserve"> con copia de la presente</w:t>
      </w:r>
      <w:r w:rsidRPr="001F0AA4">
        <w:rPr>
          <w:rFonts w:ascii="Arial" w:hAnsi="Arial" w:cs="Arial"/>
        </w:rPr>
        <w:t xml:space="preserve"> con fundamento en los artículos 142 fracción I y 143 fracciones I y II, de la Ley de Justicia Administrativa y de Cu</w:t>
      </w:r>
      <w:r>
        <w:rPr>
          <w:rFonts w:ascii="Arial" w:hAnsi="Arial" w:cs="Arial"/>
        </w:rPr>
        <w:t>entas para el Estado de Oaxaca.</w:t>
      </w:r>
      <w:r w:rsidRPr="001F0AA4">
        <w:rPr>
          <w:rFonts w:ascii="Arial" w:hAnsi="Arial" w:cs="Arial"/>
          <w:b/>
          <w:iCs/>
        </w:rPr>
        <w:t>- CÚMPLASE</w:t>
      </w:r>
      <w:r w:rsidRPr="001F0AA4">
        <w:rPr>
          <w:rFonts w:ascii="Arial" w:hAnsi="Arial" w:cs="Arial"/>
        </w:rPr>
        <w:t>. - - - - - - - - - - - - - - - - - - - - - - - - - - - - - - -  - - - - - - - - -</w:t>
      </w:r>
    </w:p>
    <w:p w:rsidR="004C32FE" w:rsidRPr="001F0AA4" w:rsidRDefault="004C32FE" w:rsidP="00672B1D">
      <w:pPr>
        <w:spacing w:after="0" w:line="360" w:lineRule="auto"/>
        <w:ind w:right="49" w:firstLine="567"/>
        <w:jc w:val="both"/>
        <w:rPr>
          <w:rFonts w:ascii="Arial" w:hAnsi="Arial" w:cs="Arial"/>
        </w:rPr>
      </w:pPr>
      <w:r w:rsidRPr="001F0AA4">
        <w:rPr>
          <w:rFonts w:ascii="Arial" w:hAnsi="Arial" w:cs="Arial"/>
        </w:rPr>
        <w:t xml:space="preserve"> </w:t>
      </w:r>
    </w:p>
    <w:p w:rsidR="003A0F04" w:rsidRPr="001F0AA4" w:rsidRDefault="003A0F04" w:rsidP="003A0F04">
      <w:pPr>
        <w:spacing w:after="0" w:line="360" w:lineRule="auto"/>
        <w:ind w:right="49" w:firstLine="708"/>
        <w:jc w:val="both"/>
        <w:rPr>
          <w:rFonts w:ascii="Arial" w:hAnsi="Arial" w:cs="Arial"/>
        </w:rPr>
      </w:pPr>
      <w:r w:rsidRPr="001F0AA4">
        <w:rPr>
          <w:rFonts w:ascii="Arial" w:hAnsi="Arial" w:cs="Arial"/>
        </w:rPr>
        <w:t>Así lo resolvió y firmó el Titular de la Sexta Sala Unitaria de Primera Instancia  del Tribunal de lo Contencioso Administrativo y de Cuentas del Poder Judicial del Estado de Oaxaca, Magistrado Abraham Santiago Soriano, quien actúa ante el Licenciado Christian Mauricio Morales Morales, Secretario de Acuerdos, que autoriza y da fe.- - - - -</w:t>
      </w:r>
      <w:r w:rsidR="00244526">
        <w:rPr>
          <w:rFonts w:ascii="Arial" w:hAnsi="Arial" w:cs="Arial"/>
        </w:rPr>
        <w:t xml:space="preserve"> </w:t>
      </w:r>
      <w:r w:rsidRPr="001F0AA4">
        <w:rPr>
          <w:rFonts w:ascii="Arial" w:hAnsi="Arial" w:cs="Arial"/>
        </w:rPr>
        <w:t xml:space="preserve">- - - - - - - - </w:t>
      </w:r>
    </w:p>
    <w:p w:rsidR="003A0F04" w:rsidRPr="001F0AA4" w:rsidRDefault="003A0F04" w:rsidP="003A0F04">
      <w:pPr>
        <w:spacing w:after="0" w:line="360" w:lineRule="auto"/>
        <w:ind w:right="49" w:firstLine="708"/>
        <w:jc w:val="both"/>
        <w:rPr>
          <w:rFonts w:ascii="Arial" w:hAnsi="Arial" w:cs="Arial"/>
        </w:rPr>
      </w:pPr>
    </w:p>
    <w:p w:rsidR="003A0F04" w:rsidRPr="001F0AA4" w:rsidRDefault="003A0F04" w:rsidP="003A0F04">
      <w:pPr>
        <w:rPr>
          <w:rFonts w:ascii="Arial" w:hAnsi="Arial" w:cs="Arial"/>
        </w:rPr>
      </w:pPr>
    </w:p>
    <w:p w:rsidR="00496546" w:rsidRDefault="00496546"/>
    <w:sectPr w:rsidR="00496546" w:rsidSect="00E41A8D">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DB5" w:rsidRDefault="00317DB5" w:rsidP="003A0F04">
      <w:pPr>
        <w:spacing w:after="0" w:line="240" w:lineRule="auto"/>
      </w:pPr>
      <w:r>
        <w:separator/>
      </w:r>
    </w:p>
  </w:endnote>
  <w:endnote w:type="continuationSeparator" w:id="0">
    <w:p w:rsidR="00317DB5" w:rsidRDefault="00317DB5"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DB5" w:rsidRDefault="00317DB5" w:rsidP="003A0F04">
      <w:pPr>
        <w:spacing w:after="0" w:line="240" w:lineRule="auto"/>
      </w:pPr>
      <w:r>
        <w:separator/>
      </w:r>
    </w:p>
  </w:footnote>
  <w:footnote w:type="continuationSeparator" w:id="0">
    <w:p w:rsidR="00317DB5" w:rsidRDefault="00317DB5" w:rsidP="003A0F04">
      <w:pPr>
        <w:spacing w:after="0" w:line="240" w:lineRule="auto"/>
      </w:pPr>
      <w:r>
        <w:continuationSeparator/>
      </w:r>
    </w:p>
  </w:footnote>
  <w:footnote w:id="1">
    <w:p w:rsidR="00D85F8B" w:rsidRDefault="00D85F8B">
      <w:pPr>
        <w:pStyle w:val="Textonotapie"/>
        <w:rPr>
          <w:rFonts w:ascii="Arial" w:hAnsi="Arial" w:cs="Arial"/>
          <w:color w:val="000000"/>
          <w:sz w:val="16"/>
          <w:szCs w:val="16"/>
        </w:rPr>
      </w:pPr>
      <w:r>
        <w:rPr>
          <w:rStyle w:val="Refdenotaalpie"/>
        </w:rPr>
        <w:footnoteRef/>
      </w:r>
      <w:r>
        <w:t xml:space="preserve"> </w:t>
      </w:r>
      <w:r w:rsidRPr="0024685B">
        <w:rPr>
          <w:rFonts w:ascii="Arial" w:hAnsi="Arial" w:cs="Arial"/>
          <w:b/>
          <w:bCs/>
          <w:color w:val="000000"/>
          <w:sz w:val="16"/>
          <w:szCs w:val="16"/>
        </w:rPr>
        <w:t xml:space="preserve">ARTICULO 173.- </w:t>
      </w:r>
      <w:r w:rsidRPr="0024685B">
        <w:rPr>
          <w:rFonts w:ascii="Arial" w:hAnsi="Arial" w:cs="Arial"/>
          <w:color w:val="000000"/>
          <w:sz w:val="16"/>
          <w:szCs w:val="16"/>
        </w:rPr>
        <w:t>La valoración de las pruebas se hará  de acuerdo con las siguientes reglas: I. Harán prueba plena la confesión expresa de las partes y los actos contenidos en</w:t>
      </w:r>
      <w:r>
        <w:rPr>
          <w:rFonts w:ascii="Arial" w:hAnsi="Arial" w:cs="Arial"/>
          <w:color w:val="000000"/>
          <w:sz w:val="16"/>
          <w:szCs w:val="16"/>
        </w:rPr>
        <w:t xml:space="preserve"> </w:t>
      </w:r>
      <w:r w:rsidRPr="0024685B">
        <w:rPr>
          <w:rFonts w:ascii="Arial" w:hAnsi="Arial" w:cs="Arial"/>
          <w:color w:val="000000"/>
          <w:sz w:val="16"/>
          <w:szCs w:val="16"/>
        </w:rPr>
        <w:t>documentos públicos, si en éstos últimos se contienen declaraciones de verdad o manifestaciones de hechos de particulares, y</w:t>
      </w:r>
      <w:r>
        <w:rPr>
          <w:rFonts w:ascii="Arial" w:hAnsi="Arial" w:cs="Arial"/>
          <w:color w:val="000000"/>
          <w:sz w:val="16"/>
          <w:szCs w:val="16"/>
        </w:rPr>
        <w:t xml:space="preserve"> …</w:t>
      </w:r>
    </w:p>
    <w:p w:rsidR="00D85F8B" w:rsidRDefault="00D85F8B">
      <w:pPr>
        <w:pStyle w:val="Textonotapie"/>
      </w:pPr>
    </w:p>
  </w:footnote>
  <w:footnote w:id="2">
    <w:p w:rsidR="00D85F8B" w:rsidRDefault="00D85F8B" w:rsidP="00C849D9">
      <w:pPr>
        <w:pStyle w:val="Textonotapie"/>
      </w:pPr>
      <w:r>
        <w:rPr>
          <w:rStyle w:val="Refdenotaalpie"/>
        </w:rPr>
        <w:footnoteRef/>
      </w:r>
      <w:r>
        <w:t xml:space="preserve"> </w:t>
      </w:r>
      <w:r w:rsidRPr="00EA2846">
        <w:rPr>
          <w:rFonts w:ascii="Arial" w:hAnsi="Arial" w:cs="Arial"/>
          <w:sz w:val="16"/>
        </w:rPr>
        <w:t>Constitución Política de los Estados Unidos Mexicanos, publicada en el Diario Oficial de la Federación el 5 de febrero de 1917.</w:t>
      </w:r>
      <w:r>
        <w:rPr>
          <w:rFonts w:ascii="Arial" w:hAnsi="Arial" w:cs="Arial"/>
          <w:sz w:val="16"/>
        </w:rPr>
        <w:t xml:space="preserve"> Artículo 16.</w:t>
      </w:r>
    </w:p>
  </w:footnote>
  <w:footnote w:id="3">
    <w:p w:rsidR="00D85F8B" w:rsidRDefault="00D85F8B" w:rsidP="0024685B">
      <w:pPr>
        <w:pStyle w:val="Textonotapie"/>
        <w:jc w:val="both"/>
      </w:pPr>
      <w:r>
        <w:rPr>
          <w:rStyle w:val="Refdenotaalpie"/>
        </w:rPr>
        <w:footnoteRef/>
      </w:r>
      <w:r>
        <w:t xml:space="preserve"> </w:t>
      </w:r>
      <w:r w:rsidRPr="00396825">
        <w:rPr>
          <w:rStyle w:val="Refdenotaalpie"/>
          <w:rFonts w:ascii="Arial" w:hAnsi="Arial" w:cs="Arial"/>
          <w:sz w:val="16"/>
          <w:szCs w:val="16"/>
        </w:rPr>
        <w:footnoteRef/>
      </w:r>
      <w:r w:rsidRPr="00396825">
        <w:rPr>
          <w:rFonts w:ascii="Arial" w:hAnsi="Arial" w:cs="Arial"/>
          <w:sz w:val="16"/>
          <w:szCs w:val="16"/>
        </w:rPr>
        <w:t xml:space="preserve"> SENTENCIAS DEL TRIBUNAL FEDERAL DE JUSTICIA FISCAL Y ADMINISTRATIVA. LA ORDEN DE RESTITUIR AL ACTOR EN SUS DERECHOS ES UN EFECTO PROPIO DE LAS QUE D</w:t>
      </w:r>
      <w:r w:rsidR="007729C7">
        <w:rPr>
          <w:rFonts w:ascii="Arial" w:hAnsi="Arial" w:cs="Arial"/>
          <w:sz w:val="16"/>
          <w:szCs w:val="16"/>
        </w:rPr>
        <w:t>E</w:t>
      </w:r>
      <w:r w:rsidRPr="00396825">
        <w:rPr>
          <w:rFonts w:ascii="Arial" w:hAnsi="Arial" w:cs="Arial"/>
          <w:sz w:val="16"/>
          <w:szCs w:val="16"/>
        </w:rPr>
        <w:t xml:space="preserve">CLARAN LA NULIDAD QUE, POR TANTO, NO IMPLICA  LA INTRODUCCIÓN DE UN NUEVO ELEMENTO EN LA LITIS NI SUPLENCIA DE LA QUEJA DEFICIENTE. La orden para restituir al actor en el goce de los derechos de que fue </w:t>
      </w:r>
      <w:r w:rsidR="007729C7">
        <w:rPr>
          <w:rFonts w:ascii="Arial" w:hAnsi="Arial" w:cs="Arial"/>
          <w:sz w:val="16"/>
          <w:szCs w:val="16"/>
        </w:rPr>
        <w:t xml:space="preserve">privado mediante la resolución </w:t>
      </w:r>
      <w:r w:rsidRPr="00396825">
        <w:rPr>
          <w:rFonts w:ascii="Arial" w:hAnsi="Arial" w:cs="Arial"/>
          <w:sz w:val="16"/>
          <w:szCs w:val="16"/>
        </w:rPr>
        <w:t>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rsidR="00D85F8B" w:rsidRDefault="00E41A8D">
        <w:pPr>
          <w:pStyle w:val="Encabezado"/>
          <w:jc w:val="center"/>
        </w:pPr>
        <w:r w:rsidRPr="00E41A8D">
          <w:rPr>
            <w:rFonts w:ascii="Arial" w:eastAsia="Calibri" w:hAnsi="Arial" w:cs="Arial"/>
            <w:b/>
            <w:noProof/>
            <w:lang w:eastAsia="es-MX"/>
          </w:rPr>
          <mc:AlternateContent>
            <mc:Choice Requires="wps">
              <w:drawing>
                <wp:anchor distT="0" distB="0" distL="114300" distR="114300" simplePos="0" relativeHeight="251659264" behindDoc="0" locked="0" layoutInCell="1" allowOverlap="1" wp14:anchorId="0C08C5E4" wp14:editId="479C7C91">
                  <wp:simplePos x="0" y="0"/>
                  <wp:positionH relativeFrom="page">
                    <wp:posOffset>133350</wp:posOffset>
                  </wp:positionH>
                  <wp:positionV relativeFrom="paragraph">
                    <wp:posOffset>654685</wp:posOffset>
                  </wp:positionV>
                  <wp:extent cx="952500"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9588500"/>
                          </a:xfrm>
                          <a:prstGeom prst="rect">
                            <a:avLst/>
                          </a:prstGeom>
                          <a:noFill/>
                          <a:ln w="9525">
                            <a:noFill/>
                            <a:miter lim="800000"/>
                            <a:headEnd/>
                            <a:tailEnd/>
                          </a:ln>
                        </wps:spPr>
                        <wps:txbx>
                          <w:txbxContent>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r>
                                <w:t xml:space="preserve">                         </w:t>
                              </w:r>
                              <w:r>
                                <w:tab/>
                              </w:r>
                            </w:p>
                            <w:p w:rsidR="00E41A8D" w:rsidRPr="00DC08BA" w:rsidRDefault="00E41A8D" w:rsidP="00E41A8D">
                              <w:pPr>
                                <w:rPr>
                                  <w:b/>
                                </w:rPr>
                              </w:pPr>
                              <w:r>
                                <w:t xml:space="preserve"> </w:t>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Pr="00C04BE0" w:rsidRDefault="00E41A8D" w:rsidP="00E41A8D">
                              <w:pPr>
                                <w:rPr>
                                  <w:b/>
                                  <w:color w:val="0070C0"/>
                                  <w:sz w:val="18"/>
                                  <w:szCs w:val="18"/>
                                </w:rPr>
                              </w:pPr>
                              <w:r w:rsidRPr="00C04BE0">
                                <w:rPr>
                                  <w:b/>
                                  <w:color w:val="0070C0"/>
                                  <w:sz w:val="18"/>
                                  <w:szCs w:val="18"/>
                                </w:rPr>
                                <w:t>DATOS PERSONALES PROTEGIDOS POR EL AR</w:t>
                              </w:r>
                              <w:r w:rsidR="00D85B6F" w:rsidRPr="00C04BE0">
                                <w:rPr>
                                  <w:b/>
                                  <w:color w:val="0070C0"/>
                                  <w:sz w:val="18"/>
                                  <w:szCs w:val="18"/>
                                </w:rPr>
                                <w:t>T</w:t>
                              </w:r>
                              <w:r w:rsidRPr="00C04BE0">
                                <w:rPr>
                                  <w:b/>
                                  <w:color w:val="0070C0"/>
                                  <w:sz w:val="18"/>
                                  <w:szCs w:val="18"/>
                                </w:rPr>
                                <w:t>ICULO 116 DE LA LGTAIP Y EL ART</w:t>
                              </w:r>
                              <w:r w:rsidR="00D85B6F" w:rsidRPr="00C04BE0">
                                <w:rPr>
                                  <w:b/>
                                  <w:color w:val="0070C0"/>
                                  <w:sz w:val="18"/>
                                  <w:szCs w:val="18"/>
                                </w:rPr>
                                <w:t>ICULO</w:t>
                              </w:r>
                              <w:r w:rsidRPr="00C04BE0">
                                <w:rPr>
                                  <w:b/>
                                  <w:color w:val="0070C0"/>
                                  <w:sz w:val="18"/>
                                  <w:szCs w:val="18"/>
                                </w:rPr>
                                <w:t xml:space="preserve"> 56 DE LA LTAIPEO</w:t>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r>
                                <w:rPr>
                                  <w:noProof/>
                                  <w:lang w:eastAsia="es-MX"/>
                                </w:rPr>
                                <w:drawing>
                                  <wp:inline distT="0" distB="0" distL="0" distR="0" wp14:anchorId="002078D8" wp14:editId="78C8B76E">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Pr>
                                <w:jc w:val="center"/>
                              </w:pPr>
                            </w:p>
                            <w:p w:rsidR="00E41A8D" w:rsidRDefault="00E41A8D" w:rsidP="00E41A8D">
                              <w:pPr>
                                <w:jc w:val="center"/>
                                <w:rPr>
                                  <w:rFonts w:ascii="Arial" w:hAnsi="Arial" w:cs="Arial"/>
                                  <w:b/>
                                  <w:i/>
                                  <w:sz w:val="16"/>
                                  <w:szCs w:val="16"/>
                                </w:rPr>
                              </w:pPr>
                              <w:r>
                                <w:rPr>
                                  <w:rFonts w:ascii="Arial" w:hAnsi="Arial" w:cs="Arial"/>
                                  <w:b/>
                                  <w:i/>
                                  <w:sz w:val="16"/>
                                  <w:szCs w:val="16"/>
                                </w:rPr>
                                <w:t>MÁRTIRES DE TACUBAYA</w:t>
                              </w:r>
                            </w:p>
                            <w:p w:rsidR="00E41A8D" w:rsidRDefault="00E41A8D" w:rsidP="00E41A8D">
                              <w:pPr>
                                <w:jc w:val="center"/>
                                <w:rPr>
                                  <w:rFonts w:ascii="Arial" w:hAnsi="Arial" w:cs="Arial"/>
                                  <w:b/>
                                  <w:i/>
                                  <w:sz w:val="16"/>
                                  <w:szCs w:val="16"/>
                                </w:rPr>
                              </w:pPr>
                              <w:r>
                                <w:rPr>
                                  <w:rFonts w:ascii="Arial" w:hAnsi="Arial" w:cs="Arial"/>
                                  <w:b/>
                                  <w:i/>
                                  <w:sz w:val="16"/>
                                  <w:szCs w:val="16"/>
                                </w:rPr>
                                <w:t xml:space="preserve"> #400 TERCER NIVEL,</w:t>
                              </w:r>
                            </w:p>
                            <w:p w:rsidR="00E41A8D" w:rsidRDefault="00E41A8D" w:rsidP="00E41A8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E41A8D" w:rsidRDefault="00E41A8D" w:rsidP="00E41A8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E41A8D" w:rsidRDefault="00E41A8D" w:rsidP="00E41A8D">
                              <w:pPr>
                                <w:jc w:val="center"/>
                                <w:rPr>
                                  <w:rFonts w:ascii="Arial" w:hAnsi="Arial" w:cs="Arial"/>
                                  <w:b/>
                                  <w:i/>
                                  <w:sz w:val="16"/>
                                  <w:szCs w:val="16"/>
                                </w:rPr>
                              </w:pPr>
                            </w:p>
                            <w:p w:rsidR="00E41A8D" w:rsidRPr="00646016" w:rsidRDefault="00E41A8D" w:rsidP="00E41A8D">
                              <w:pPr>
                                <w:jc w:val="center"/>
                                <w:rPr>
                                  <w:rFonts w:ascii="Arial" w:hAnsi="Arial" w:cs="Arial"/>
                                  <w:b/>
                                  <w:i/>
                                  <w:sz w:val="16"/>
                                  <w:szCs w:val="16"/>
                                </w:rPr>
                              </w:pPr>
                              <w:r>
                                <w:rPr>
                                  <w:rFonts w:ascii="Arial" w:hAnsi="Arial" w:cs="Arial"/>
                                  <w:b/>
                                  <w:i/>
                                  <w:sz w:val="16"/>
                                  <w:szCs w:val="16"/>
                                </w:rPr>
                                <w:t>C.P.71244</w:t>
                              </w:r>
                            </w:p>
                            <w:p w:rsidR="00E41A8D" w:rsidRPr="00FA3FE0" w:rsidRDefault="00E41A8D" w:rsidP="00E41A8D">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10.5pt;margin-top:51.55pt;width: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" filled="f" stroked="f">
                  <v:textbox>
                    <w:txbxContent>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r>
                          <w:t xml:space="preserve">                         </w:t>
                        </w:r>
                        <w:r>
                          <w:tab/>
                        </w:r>
                      </w:p>
                      <w:p w:rsidR="00E41A8D" w:rsidRPr="00DC08BA" w:rsidRDefault="00E41A8D" w:rsidP="00E41A8D">
                        <w:pPr>
                          <w:rPr>
                            <w:b/>
                          </w:rPr>
                        </w:pPr>
                        <w:r>
                          <w:t xml:space="preserve"> </w:t>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Pr="00C04BE0" w:rsidRDefault="00E41A8D" w:rsidP="00E41A8D">
                        <w:pPr>
                          <w:rPr>
                            <w:b/>
                            <w:color w:val="0070C0"/>
                            <w:sz w:val="18"/>
                            <w:szCs w:val="18"/>
                          </w:rPr>
                        </w:pPr>
                        <w:r w:rsidRPr="00C04BE0">
                          <w:rPr>
                            <w:b/>
                            <w:color w:val="0070C0"/>
                            <w:sz w:val="18"/>
                            <w:szCs w:val="18"/>
                          </w:rPr>
                          <w:t>DATOS PERSONALES PROTEGIDOS POR EL AR</w:t>
                        </w:r>
                        <w:r w:rsidR="00D85B6F" w:rsidRPr="00C04BE0">
                          <w:rPr>
                            <w:b/>
                            <w:color w:val="0070C0"/>
                            <w:sz w:val="18"/>
                            <w:szCs w:val="18"/>
                          </w:rPr>
                          <w:t>T</w:t>
                        </w:r>
                        <w:r w:rsidRPr="00C04BE0">
                          <w:rPr>
                            <w:b/>
                            <w:color w:val="0070C0"/>
                            <w:sz w:val="18"/>
                            <w:szCs w:val="18"/>
                          </w:rPr>
                          <w:t>ICULO 116 DE LA LGTAIP Y EL ART</w:t>
                        </w:r>
                        <w:r w:rsidR="00D85B6F" w:rsidRPr="00C04BE0">
                          <w:rPr>
                            <w:b/>
                            <w:color w:val="0070C0"/>
                            <w:sz w:val="18"/>
                            <w:szCs w:val="18"/>
                          </w:rPr>
                          <w:t>ICULO</w:t>
                        </w:r>
                        <w:r w:rsidRPr="00C04BE0">
                          <w:rPr>
                            <w:b/>
                            <w:color w:val="0070C0"/>
                            <w:sz w:val="18"/>
                            <w:szCs w:val="18"/>
                          </w:rPr>
                          <w:t xml:space="preserve"> 56 DE LA LTAIPEO</w:t>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r>
                          <w:rPr>
                            <w:noProof/>
                            <w:lang w:eastAsia="es-MX"/>
                          </w:rPr>
                          <w:drawing>
                            <wp:inline distT="0" distB="0" distL="0" distR="0" wp14:anchorId="002078D8" wp14:editId="78C8B76E">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 w:rsidR="00E41A8D" w:rsidRDefault="00E41A8D" w:rsidP="00E41A8D">
                        <w:pPr>
                          <w:jc w:val="center"/>
                        </w:pPr>
                      </w:p>
                      <w:p w:rsidR="00E41A8D" w:rsidRDefault="00E41A8D" w:rsidP="00E41A8D">
                        <w:pPr>
                          <w:jc w:val="center"/>
                          <w:rPr>
                            <w:rFonts w:ascii="Arial" w:hAnsi="Arial" w:cs="Arial"/>
                            <w:b/>
                            <w:i/>
                            <w:sz w:val="16"/>
                            <w:szCs w:val="16"/>
                          </w:rPr>
                        </w:pPr>
                        <w:r>
                          <w:rPr>
                            <w:rFonts w:ascii="Arial" w:hAnsi="Arial" w:cs="Arial"/>
                            <w:b/>
                            <w:i/>
                            <w:sz w:val="16"/>
                            <w:szCs w:val="16"/>
                          </w:rPr>
                          <w:t>MÁRTIRES DE TACUBAYA</w:t>
                        </w:r>
                      </w:p>
                      <w:p w:rsidR="00E41A8D" w:rsidRDefault="00E41A8D" w:rsidP="00E41A8D">
                        <w:pPr>
                          <w:jc w:val="center"/>
                          <w:rPr>
                            <w:rFonts w:ascii="Arial" w:hAnsi="Arial" w:cs="Arial"/>
                            <w:b/>
                            <w:i/>
                            <w:sz w:val="16"/>
                            <w:szCs w:val="16"/>
                          </w:rPr>
                        </w:pPr>
                        <w:r>
                          <w:rPr>
                            <w:rFonts w:ascii="Arial" w:hAnsi="Arial" w:cs="Arial"/>
                            <w:b/>
                            <w:i/>
                            <w:sz w:val="16"/>
                            <w:szCs w:val="16"/>
                          </w:rPr>
                          <w:t xml:space="preserve"> #400 TERCER NIVEL,</w:t>
                        </w:r>
                      </w:p>
                      <w:p w:rsidR="00E41A8D" w:rsidRDefault="00E41A8D" w:rsidP="00E41A8D">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E41A8D" w:rsidRDefault="00E41A8D" w:rsidP="00E41A8D">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E41A8D" w:rsidRDefault="00E41A8D" w:rsidP="00E41A8D">
                        <w:pPr>
                          <w:jc w:val="center"/>
                          <w:rPr>
                            <w:rFonts w:ascii="Arial" w:hAnsi="Arial" w:cs="Arial"/>
                            <w:b/>
                            <w:i/>
                            <w:sz w:val="16"/>
                            <w:szCs w:val="16"/>
                          </w:rPr>
                        </w:pPr>
                      </w:p>
                      <w:p w:rsidR="00E41A8D" w:rsidRPr="00646016" w:rsidRDefault="00E41A8D" w:rsidP="00E41A8D">
                        <w:pPr>
                          <w:jc w:val="center"/>
                          <w:rPr>
                            <w:rFonts w:ascii="Arial" w:hAnsi="Arial" w:cs="Arial"/>
                            <w:b/>
                            <w:i/>
                            <w:sz w:val="16"/>
                            <w:szCs w:val="16"/>
                          </w:rPr>
                        </w:pPr>
                        <w:r>
                          <w:rPr>
                            <w:rFonts w:ascii="Arial" w:hAnsi="Arial" w:cs="Arial"/>
                            <w:b/>
                            <w:i/>
                            <w:sz w:val="16"/>
                            <w:szCs w:val="16"/>
                          </w:rPr>
                          <w:t>C.P.71244</w:t>
                        </w:r>
                      </w:p>
                      <w:p w:rsidR="00E41A8D" w:rsidRPr="00FA3FE0" w:rsidRDefault="00E41A8D" w:rsidP="00E41A8D">
                        <w:pPr>
                          <w:jc w:val="center"/>
                          <w:rPr>
                            <w:rFonts w:ascii="Arial" w:hAnsi="Arial" w:cs="Arial"/>
                            <w:b/>
                            <w:i/>
                            <w:sz w:val="18"/>
                            <w:szCs w:val="18"/>
                          </w:rPr>
                        </w:pPr>
                      </w:p>
                    </w:txbxContent>
                  </v:textbox>
                  <w10:wrap anchorx="page"/>
                </v:shape>
              </w:pict>
            </mc:Fallback>
          </mc:AlternateContent>
        </w:r>
        <w:r w:rsidR="00D85F8B">
          <w:fldChar w:fldCharType="begin"/>
        </w:r>
        <w:r w:rsidR="00D85F8B">
          <w:instrText>PAGE   \* MERGEFORMAT</w:instrText>
        </w:r>
        <w:r w:rsidR="00D85F8B">
          <w:fldChar w:fldCharType="separate"/>
        </w:r>
        <w:r w:rsidR="003248BF" w:rsidRPr="003248BF">
          <w:rPr>
            <w:noProof/>
            <w:lang w:val="es-ES"/>
          </w:rPr>
          <w:t>1</w:t>
        </w:r>
        <w:r w:rsidR="00D85F8B">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26E8"/>
    <w:rsid w:val="00004CDD"/>
    <w:rsid w:val="00005CE2"/>
    <w:rsid w:val="00006B82"/>
    <w:rsid w:val="00007DD5"/>
    <w:rsid w:val="00011125"/>
    <w:rsid w:val="00015045"/>
    <w:rsid w:val="00015063"/>
    <w:rsid w:val="000262FA"/>
    <w:rsid w:val="00026984"/>
    <w:rsid w:val="00030698"/>
    <w:rsid w:val="000339B0"/>
    <w:rsid w:val="00044972"/>
    <w:rsid w:val="000468E3"/>
    <w:rsid w:val="00052683"/>
    <w:rsid w:val="00052DBE"/>
    <w:rsid w:val="0005750A"/>
    <w:rsid w:val="00061C4E"/>
    <w:rsid w:val="00061DAD"/>
    <w:rsid w:val="00062984"/>
    <w:rsid w:val="00063092"/>
    <w:rsid w:val="00064AF0"/>
    <w:rsid w:val="00064B5D"/>
    <w:rsid w:val="00086E81"/>
    <w:rsid w:val="00087676"/>
    <w:rsid w:val="0009770C"/>
    <w:rsid w:val="000B4BE2"/>
    <w:rsid w:val="000B682A"/>
    <w:rsid w:val="000C46FE"/>
    <w:rsid w:val="000D3559"/>
    <w:rsid w:val="000D5F62"/>
    <w:rsid w:val="000D6059"/>
    <w:rsid w:val="000D7796"/>
    <w:rsid w:val="000D7D92"/>
    <w:rsid w:val="000E2640"/>
    <w:rsid w:val="000E35F6"/>
    <w:rsid w:val="000E494B"/>
    <w:rsid w:val="000E66B5"/>
    <w:rsid w:val="000F39AB"/>
    <w:rsid w:val="00103B4B"/>
    <w:rsid w:val="00107D46"/>
    <w:rsid w:val="00110EA2"/>
    <w:rsid w:val="001117DE"/>
    <w:rsid w:val="00111C19"/>
    <w:rsid w:val="00114142"/>
    <w:rsid w:val="00115055"/>
    <w:rsid w:val="001150D6"/>
    <w:rsid w:val="00122987"/>
    <w:rsid w:val="00124387"/>
    <w:rsid w:val="00126983"/>
    <w:rsid w:val="001335AA"/>
    <w:rsid w:val="001343EF"/>
    <w:rsid w:val="00134422"/>
    <w:rsid w:val="001377BF"/>
    <w:rsid w:val="001428C4"/>
    <w:rsid w:val="00143BCC"/>
    <w:rsid w:val="00143CFF"/>
    <w:rsid w:val="00144516"/>
    <w:rsid w:val="00145EE9"/>
    <w:rsid w:val="00147B61"/>
    <w:rsid w:val="00151521"/>
    <w:rsid w:val="0015733A"/>
    <w:rsid w:val="001578E7"/>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A1354"/>
    <w:rsid w:val="001A1A96"/>
    <w:rsid w:val="001A3799"/>
    <w:rsid w:val="001A4B85"/>
    <w:rsid w:val="001B3D76"/>
    <w:rsid w:val="001B4354"/>
    <w:rsid w:val="001B45AD"/>
    <w:rsid w:val="001C3149"/>
    <w:rsid w:val="001C40C5"/>
    <w:rsid w:val="001D4AF2"/>
    <w:rsid w:val="001D5737"/>
    <w:rsid w:val="001D5E82"/>
    <w:rsid w:val="001E074A"/>
    <w:rsid w:val="001E227F"/>
    <w:rsid w:val="001E2FDD"/>
    <w:rsid w:val="001F0243"/>
    <w:rsid w:val="001F2549"/>
    <w:rsid w:val="001F280E"/>
    <w:rsid w:val="001F3732"/>
    <w:rsid w:val="00204D7B"/>
    <w:rsid w:val="00210EDA"/>
    <w:rsid w:val="00212E2A"/>
    <w:rsid w:val="002354D4"/>
    <w:rsid w:val="00244526"/>
    <w:rsid w:val="0024685B"/>
    <w:rsid w:val="00252CFC"/>
    <w:rsid w:val="002631E2"/>
    <w:rsid w:val="0026513F"/>
    <w:rsid w:val="00265CF4"/>
    <w:rsid w:val="00271368"/>
    <w:rsid w:val="002758B3"/>
    <w:rsid w:val="002807A7"/>
    <w:rsid w:val="00282869"/>
    <w:rsid w:val="00284930"/>
    <w:rsid w:val="00287B46"/>
    <w:rsid w:val="0029107A"/>
    <w:rsid w:val="00293967"/>
    <w:rsid w:val="0029745F"/>
    <w:rsid w:val="00297BC2"/>
    <w:rsid w:val="002A0621"/>
    <w:rsid w:val="002A2081"/>
    <w:rsid w:val="002B1642"/>
    <w:rsid w:val="002B207B"/>
    <w:rsid w:val="002B23E9"/>
    <w:rsid w:val="002B346B"/>
    <w:rsid w:val="002D6EEC"/>
    <w:rsid w:val="002D7E3C"/>
    <w:rsid w:val="003001A8"/>
    <w:rsid w:val="003007D2"/>
    <w:rsid w:val="003027B0"/>
    <w:rsid w:val="00305A9F"/>
    <w:rsid w:val="0031158C"/>
    <w:rsid w:val="00314955"/>
    <w:rsid w:val="00317364"/>
    <w:rsid w:val="00317744"/>
    <w:rsid w:val="00317DB5"/>
    <w:rsid w:val="003213C7"/>
    <w:rsid w:val="003248BF"/>
    <w:rsid w:val="0032743F"/>
    <w:rsid w:val="00337AEA"/>
    <w:rsid w:val="00344954"/>
    <w:rsid w:val="00346BA2"/>
    <w:rsid w:val="003522AA"/>
    <w:rsid w:val="003534BB"/>
    <w:rsid w:val="00353F9D"/>
    <w:rsid w:val="00357D68"/>
    <w:rsid w:val="00362F0A"/>
    <w:rsid w:val="00367A2E"/>
    <w:rsid w:val="003717D0"/>
    <w:rsid w:val="0037316E"/>
    <w:rsid w:val="0037373C"/>
    <w:rsid w:val="00376D36"/>
    <w:rsid w:val="00376E81"/>
    <w:rsid w:val="00380DC8"/>
    <w:rsid w:val="0038421D"/>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E2295"/>
    <w:rsid w:val="003E2E5A"/>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37DCE"/>
    <w:rsid w:val="0044384A"/>
    <w:rsid w:val="004535DC"/>
    <w:rsid w:val="004540FE"/>
    <w:rsid w:val="0046071F"/>
    <w:rsid w:val="004626BD"/>
    <w:rsid w:val="00476ACE"/>
    <w:rsid w:val="004779E3"/>
    <w:rsid w:val="00487CE3"/>
    <w:rsid w:val="00490C78"/>
    <w:rsid w:val="004912AC"/>
    <w:rsid w:val="004920E0"/>
    <w:rsid w:val="00496546"/>
    <w:rsid w:val="00496E67"/>
    <w:rsid w:val="004A12B0"/>
    <w:rsid w:val="004A4CCD"/>
    <w:rsid w:val="004B0691"/>
    <w:rsid w:val="004C27F3"/>
    <w:rsid w:val="004C300D"/>
    <w:rsid w:val="004C32FE"/>
    <w:rsid w:val="004C3810"/>
    <w:rsid w:val="004C41FD"/>
    <w:rsid w:val="004D0C04"/>
    <w:rsid w:val="004D0C69"/>
    <w:rsid w:val="004E0C4F"/>
    <w:rsid w:val="004E20A9"/>
    <w:rsid w:val="004F2B25"/>
    <w:rsid w:val="004F40EA"/>
    <w:rsid w:val="004F7A70"/>
    <w:rsid w:val="005042C6"/>
    <w:rsid w:val="005044D6"/>
    <w:rsid w:val="005114C8"/>
    <w:rsid w:val="0051485D"/>
    <w:rsid w:val="005157C0"/>
    <w:rsid w:val="005239A6"/>
    <w:rsid w:val="00530A0F"/>
    <w:rsid w:val="00532F43"/>
    <w:rsid w:val="00534B32"/>
    <w:rsid w:val="00540A24"/>
    <w:rsid w:val="00541364"/>
    <w:rsid w:val="005436F1"/>
    <w:rsid w:val="005626AB"/>
    <w:rsid w:val="0056580A"/>
    <w:rsid w:val="00566B86"/>
    <w:rsid w:val="005706F7"/>
    <w:rsid w:val="00570B41"/>
    <w:rsid w:val="00575196"/>
    <w:rsid w:val="00576FFB"/>
    <w:rsid w:val="0057705B"/>
    <w:rsid w:val="00580E82"/>
    <w:rsid w:val="005820CB"/>
    <w:rsid w:val="005878A9"/>
    <w:rsid w:val="00592A8F"/>
    <w:rsid w:val="0059609A"/>
    <w:rsid w:val="005968A6"/>
    <w:rsid w:val="005A0F96"/>
    <w:rsid w:val="005A2A03"/>
    <w:rsid w:val="005A3FEF"/>
    <w:rsid w:val="005B451D"/>
    <w:rsid w:val="005B59E4"/>
    <w:rsid w:val="005B66C9"/>
    <w:rsid w:val="005B6CD0"/>
    <w:rsid w:val="005B7FD5"/>
    <w:rsid w:val="005D092A"/>
    <w:rsid w:val="005D0CAA"/>
    <w:rsid w:val="005D1F28"/>
    <w:rsid w:val="005E1ABF"/>
    <w:rsid w:val="005E39E6"/>
    <w:rsid w:val="005E67BB"/>
    <w:rsid w:val="005F1B07"/>
    <w:rsid w:val="005F35EB"/>
    <w:rsid w:val="005F3A71"/>
    <w:rsid w:val="005F44D5"/>
    <w:rsid w:val="005F58E9"/>
    <w:rsid w:val="00605B14"/>
    <w:rsid w:val="0061447A"/>
    <w:rsid w:val="00615DC1"/>
    <w:rsid w:val="00625DB5"/>
    <w:rsid w:val="0062715D"/>
    <w:rsid w:val="00635189"/>
    <w:rsid w:val="00637921"/>
    <w:rsid w:val="006404BE"/>
    <w:rsid w:val="0064359D"/>
    <w:rsid w:val="00643BD5"/>
    <w:rsid w:val="0064671D"/>
    <w:rsid w:val="00646C6B"/>
    <w:rsid w:val="00650482"/>
    <w:rsid w:val="00655CAA"/>
    <w:rsid w:val="00660CC9"/>
    <w:rsid w:val="006621FC"/>
    <w:rsid w:val="00663E37"/>
    <w:rsid w:val="00667376"/>
    <w:rsid w:val="00672869"/>
    <w:rsid w:val="00672B1D"/>
    <w:rsid w:val="006732DE"/>
    <w:rsid w:val="00674F2F"/>
    <w:rsid w:val="00675487"/>
    <w:rsid w:val="006765C5"/>
    <w:rsid w:val="006769AE"/>
    <w:rsid w:val="00677921"/>
    <w:rsid w:val="00681FDE"/>
    <w:rsid w:val="0068680B"/>
    <w:rsid w:val="00693BDD"/>
    <w:rsid w:val="00695D58"/>
    <w:rsid w:val="006974BE"/>
    <w:rsid w:val="006B0D84"/>
    <w:rsid w:val="006B1623"/>
    <w:rsid w:val="006B19FE"/>
    <w:rsid w:val="006B33D4"/>
    <w:rsid w:val="006B3920"/>
    <w:rsid w:val="006B3DFD"/>
    <w:rsid w:val="006B3F7F"/>
    <w:rsid w:val="006B49FD"/>
    <w:rsid w:val="006C5A90"/>
    <w:rsid w:val="006C7A08"/>
    <w:rsid w:val="006D011D"/>
    <w:rsid w:val="006D0CA1"/>
    <w:rsid w:val="006D1822"/>
    <w:rsid w:val="006D3EA0"/>
    <w:rsid w:val="006D4BDA"/>
    <w:rsid w:val="006D6579"/>
    <w:rsid w:val="006E48A7"/>
    <w:rsid w:val="006E614A"/>
    <w:rsid w:val="006F0E22"/>
    <w:rsid w:val="006F3B56"/>
    <w:rsid w:val="006F6728"/>
    <w:rsid w:val="00712856"/>
    <w:rsid w:val="00712A5E"/>
    <w:rsid w:val="007150B9"/>
    <w:rsid w:val="00721510"/>
    <w:rsid w:val="007226EC"/>
    <w:rsid w:val="007314F8"/>
    <w:rsid w:val="00733282"/>
    <w:rsid w:val="0073522C"/>
    <w:rsid w:val="007357E0"/>
    <w:rsid w:val="00744320"/>
    <w:rsid w:val="007456A2"/>
    <w:rsid w:val="00747B22"/>
    <w:rsid w:val="00752CB1"/>
    <w:rsid w:val="00753867"/>
    <w:rsid w:val="007568C3"/>
    <w:rsid w:val="007574B4"/>
    <w:rsid w:val="007626BF"/>
    <w:rsid w:val="00770AEC"/>
    <w:rsid w:val="00770D21"/>
    <w:rsid w:val="00771917"/>
    <w:rsid w:val="00771BBC"/>
    <w:rsid w:val="007729C7"/>
    <w:rsid w:val="00781184"/>
    <w:rsid w:val="00792C2D"/>
    <w:rsid w:val="00793696"/>
    <w:rsid w:val="00794644"/>
    <w:rsid w:val="00795E64"/>
    <w:rsid w:val="007977D6"/>
    <w:rsid w:val="007A4E7B"/>
    <w:rsid w:val="007B1499"/>
    <w:rsid w:val="007B6A86"/>
    <w:rsid w:val="007E0407"/>
    <w:rsid w:val="007E60C0"/>
    <w:rsid w:val="007E634C"/>
    <w:rsid w:val="007F60D9"/>
    <w:rsid w:val="007F6A13"/>
    <w:rsid w:val="00800B8B"/>
    <w:rsid w:val="0080479F"/>
    <w:rsid w:val="008065E4"/>
    <w:rsid w:val="00806BF3"/>
    <w:rsid w:val="0080789C"/>
    <w:rsid w:val="0081340C"/>
    <w:rsid w:val="00820EF9"/>
    <w:rsid w:val="00822DBE"/>
    <w:rsid w:val="0082681E"/>
    <w:rsid w:val="00830743"/>
    <w:rsid w:val="00830AAE"/>
    <w:rsid w:val="00832338"/>
    <w:rsid w:val="00833674"/>
    <w:rsid w:val="00834028"/>
    <w:rsid w:val="008351AC"/>
    <w:rsid w:val="008405CB"/>
    <w:rsid w:val="0084484B"/>
    <w:rsid w:val="00846528"/>
    <w:rsid w:val="00846DA7"/>
    <w:rsid w:val="00846FDB"/>
    <w:rsid w:val="00854BAC"/>
    <w:rsid w:val="0085575D"/>
    <w:rsid w:val="00856C95"/>
    <w:rsid w:val="0086130C"/>
    <w:rsid w:val="0086352E"/>
    <w:rsid w:val="008644E4"/>
    <w:rsid w:val="00874EAF"/>
    <w:rsid w:val="00875C53"/>
    <w:rsid w:val="008816D5"/>
    <w:rsid w:val="00890143"/>
    <w:rsid w:val="00891B0B"/>
    <w:rsid w:val="00892B5E"/>
    <w:rsid w:val="008947E1"/>
    <w:rsid w:val="00895648"/>
    <w:rsid w:val="00895C9B"/>
    <w:rsid w:val="008A2F53"/>
    <w:rsid w:val="008B599A"/>
    <w:rsid w:val="008C7B33"/>
    <w:rsid w:val="008D06A5"/>
    <w:rsid w:val="008D3609"/>
    <w:rsid w:val="008E2050"/>
    <w:rsid w:val="008E5651"/>
    <w:rsid w:val="008E7A5A"/>
    <w:rsid w:val="008F2B9D"/>
    <w:rsid w:val="009056A5"/>
    <w:rsid w:val="009101AC"/>
    <w:rsid w:val="00910CEF"/>
    <w:rsid w:val="00911768"/>
    <w:rsid w:val="00916123"/>
    <w:rsid w:val="00921A40"/>
    <w:rsid w:val="00923B42"/>
    <w:rsid w:val="009271E6"/>
    <w:rsid w:val="00930456"/>
    <w:rsid w:val="009311A6"/>
    <w:rsid w:val="009322B6"/>
    <w:rsid w:val="00932418"/>
    <w:rsid w:val="00934BA2"/>
    <w:rsid w:val="0093690E"/>
    <w:rsid w:val="00936FC6"/>
    <w:rsid w:val="0093719C"/>
    <w:rsid w:val="0094243C"/>
    <w:rsid w:val="00945D5D"/>
    <w:rsid w:val="00947CB1"/>
    <w:rsid w:val="00951B16"/>
    <w:rsid w:val="00952C5B"/>
    <w:rsid w:val="00954DAB"/>
    <w:rsid w:val="00961B3F"/>
    <w:rsid w:val="00962106"/>
    <w:rsid w:val="00966FEA"/>
    <w:rsid w:val="00967326"/>
    <w:rsid w:val="00970991"/>
    <w:rsid w:val="00974D4A"/>
    <w:rsid w:val="0097502D"/>
    <w:rsid w:val="00980F82"/>
    <w:rsid w:val="009810DA"/>
    <w:rsid w:val="00982B4A"/>
    <w:rsid w:val="00987D17"/>
    <w:rsid w:val="00990146"/>
    <w:rsid w:val="009943F3"/>
    <w:rsid w:val="009953D1"/>
    <w:rsid w:val="00995FB3"/>
    <w:rsid w:val="00996613"/>
    <w:rsid w:val="009A2C91"/>
    <w:rsid w:val="009A5C49"/>
    <w:rsid w:val="009A7FB7"/>
    <w:rsid w:val="009B0D0C"/>
    <w:rsid w:val="009B1B08"/>
    <w:rsid w:val="009B3E8D"/>
    <w:rsid w:val="009B540A"/>
    <w:rsid w:val="009C7245"/>
    <w:rsid w:val="009D13B9"/>
    <w:rsid w:val="009D2CE6"/>
    <w:rsid w:val="009D6A8E"/>
    <w:rsid w:val="009E08AC"/>
    <w:rsid w:val="009E0B3A"/>
    <w:rsid w:val="009E15C0"/>
    <w:rsid w:val="009E1C88"/>
    <w:rsid w:val="009E2A26"/>
    <w:rsid w:val="009E5D95"/>
    <w:rsid w:val="009E6194"/>
    <w:rsid w:val="009E7028"/>
    <w:rsid w:val="009E7721"/>
    <w:rsid w:val="009F610C"/>
    <w:rsid w:val="00A04626"/>
    <w:rsid w:val="00A05015"/>
    <w:rsid w:val="00A05185"/>
    <w:rsid w:val="00A0606C"/>
    <w:rsid w:val="00A2158E"/>
    <w:rsid w:val="00A2173D"/>
    <w:rsid w:val="00A2237A"/>
    <w:rsid w:val="00A3000F"/>
    <w:rsid w:val="00A35144"/>
    <w:rsid w:val="00A4002A"/>
    <w:rsid w:val="00A51154"/>
    <w:rsid w:val="00A53F92"/>
    <w:rsid w:val="00A54D55"/>
    <w:rsid w:val="00A5543A"/>
    <w:rsid w:val="00A570FD"/>
    <w:rsid w:val="00A66CC2"/>
    <w:rsid w:val="00A67029"/>
    <w:rsid w:val="00A70C1D"/>
    <w:rsid w:val="00A7328B"/>
    <w:rsid w:val="00A736BF"/>
    <w:rsid w:val="00A74746"/>
    <w:rsid w:val="00A75234"/>
    <w:rsid w:val="00A877C0"/>
    <w:rsid w:val="00A918A6"/>
    <w:rsid w:val="00A96688"/>
    <w:rsid w:val="00A97314"/>
    <w:rsid w:val="00AA4A50"/>
    <w:rsid w:val="00AB0ECD"/>
    <w:rsid w:val="00AB35AD"/>
    <w:rsid w:val="00AB6DC5"/>
    <w:rsid w:val="00AB7AC6"/>
    <w:rsid w:val="00AB7B66"/>
    <w:rsid w:val="00AD5222"/>
    <w:rsid w:val="00AD5BA2"/>
    <w:rsid w:val="00AE1385"/>
    <w:rsid w:val="00AE3427"/>
    <w:rsid w:val="00AE7CD3"/>
    <w:rsid w:val="00AF1B4A"/>
    <w:rsid w:val="00AF1EBA"/>
    <w:rsid w:val="00AF353F"/>
    <w:rsid w:val="00AF52D7"/>
    <w:rsid w:val="00B00B84"/>
    <w:rsid w:val="00B013FE"/>
    <w:rsid w:val="00B03260"/>
    <w:rsid w:val="00B052B3"/>
    <w:rsid w:val="00B0642B"/>
    <w:rsid w:val="00B0768C"/>
    <w:rsid w:val="00B2610B"/>
    <w:rsid w:val="00B2728F"/>
    <w:rsid w:val="00B3002D"/>
    <w:rsid w:val="00B4205B"/>
    <w:rsid w:val="00B464F4"/>
    <w:rsid w:val="00B52E13"/>
    <w:rsid w:val="00B531C1"/>
    <w:rsid w:val="00B53609"/>
    <w:rsid w:val="00B54594"/>
    <w:rsid w:val="00B6257F"/>
    <w:rsid w:val="00B65770"/>
    <w:rsid w:val="00B65E90"/>
    <w:rsid w:val="00B7469B"/>
    <w:rsid w:val="00B758C6"/>
    <w:rsid w:val="00B76B25"/>
    <w:rsid w:val="00B76E73"/>
    <w:rsid w:val="00B802AB"/>
    <w:rsid w:val="00B85CD6"/>
    <w:rsid w:val="00B86D8F"/>
    <w:rsid w:val="00B8705D"/>
    <w:rsid w:val="00B87DA9"/>
    <w:rsid w:val="00B90021"/>
    <w:rsid w:val="00B91928"/>
    <w:rsid w:val="00B928C5"/>
    <w:rsid w:val="00B947A5"/>
    <w:rsid w:val="00B97883"/>
    <w:rsid w:val="00BA2437"/>
    <w:rsid w:val="00BB0B4E"/>
    <w:rsid w:val="00BB3002"/>
    <w:rsid w:val="00BC2FAE"/>
    <w:rsid w:val="00BC4636"/>
    <w:rsid w:val="00BC56A4"/>
    <w:rsid w:val="00BD38D0"/>
    <w:rsid w:val="00BE2AAB"/>
    <w:rsid w:val="00BE4944"/>
    <w:rsid w:val="00BF0C31"/>
    <w:rsid w:val="00BF19A6"/>
    <w:rsid w:val="00BF33BB"/>
    <w:rsid w:val="00BF4578"/>
    <w:rsid w:val="00BF49A4"/>
    <w:rsid w:val="00BF6570"/>
    <w:rsid w:val="00C00F14"/>
    <w:rsid w:val="00C02BE4"/>
    <w:rsid w:val="00C04BE0"/>
    <w:rsid w:val="00C05CC0"/>
    <w:rsid w:val="00C10CAB"/>
    <w:rsid w:val="00C13591"/>
    <w:rsid w:val="00C21723"/>
    <w:rsid w:val="00C31F56"/>
    <w:rsid w:val="00C367F8"/>
    <w:rsid w:val="00C369F3"/>
    <w:rsid w:val="00C415B7"/>
    <w:rsid w:val="00C519C2"/>
    <w:rsid w:val="00C61217"/>
    <w:rsid w:val="00C621C5"/>
    <w:rsid w:val="00C717DD"/>
    <w:rsid w:val="00C73E2A"/>
    <w:rsid w:val="00C75AEB"/>
    <w:rsid w:val="00C7686D"/>
    <w:rsid w:val="00C849D9"/>
    <w:rsid w:val="00C90148"/>
    <w:rsid w:val="00C9046E"/>
    <w:rsid w:val="00C94361"/>
    <w:rsid w:val="00CA30E0"/>
    <w:rsid w:val="00CB0343"/>
    <w:rsid w:val="00CC3E12"/>
    <w:rsid w:val="00CC5CE1"/>
    <w:rsid w:val="00CD0522"/>
    <w:rsid w:val="00CD2411"/>
    <w:rsid w:val="00CD3488"/>
    <w:rsid w:val="00CD7C7B"/>
    <w:rsid w:val="00CE7229"/>
    <w:rsid w:val="00CF0815"/>
    <w:rsid w:val="00CF2088"/>
    <w:rsid w:val="00CF3BD3"/>
    <w:rsid w:val="00CF4E62"/>
    <w:rsid w:val="00CF6653"/>
    <w:rsid w:val="00D04D0E"/>
    <w:rsid w:val="00D07735"/>
    <w:rsid w:val="00D14398"/>
    <w:rsid w:val="00D15AF8"/>
    <w:rsid w:val="00D15CC4"/>
    <w:rsid w:val="00D22754"/>
    <w:rsid w:val="00D26138"/>
    <w:rsid w:val="00D2662A"/>
    <w:rsid w:val="00D41FED"/>
    <w:rsid w:val="00D5201E"/>
    <w:rsid w:val="00D55D2F"/>
    <w:rsid w:val="00D62324"/>
    <w:rsid w:val="00D62E4D"/>
    <w:rsid w:val="00D70B29"/>
    <w:rsid w:val="00D80C2D"/>
    <w:rsid w:val="00D81FFC"/>
    <w:rsid w:val="00D8324C"/>
    <w:rsid w:val="00D85B6F"/>
    <w:rsid w:val="00D85F8B"/>
    <w:rsid w:val="00D91005"/>
    <w:rsid w:val="00D95717"/>
    <w:rsid w:val="00D9723A"/>
    <w:rsid w:val="00DA65E1"/>
    <w:rsid w:val="00DA7169"/>
    <w:rsid w:val="00DB12F9"/>
    <w:rsid w:val="00DC0F16"/>
    <w:rsid w:val="00DC4842"/>
    <w:rsid w:val="00DC6895"/>
    <w:rsid w:val="00DC6BC3"/>
    <w:rsid w:val="00DD3A1E"/>
    <w:rsid w:val="00DE1BFB"/>
    <w:rsid w:val="00DE3369"/>
    <w:rsid w:val="00DE455E"/>
    <w:rsid w:val="00DE70D5"/>
    <w:rsid w:val="00DE7E9E"/>
    <w:rsid w:val="00DF4741"/>
    <w:rsid w:val="00DF5ED4"/>
    <w:rsid w:val="00E029C3"/>
    <w:rsid w:val="00E03293"/>
    <w:rsid w:val="00E07662"/>
    <w:rsid w:val="00E07ADE"/>
    <w:rsid w:val="00E169C4"/>
    <w:rsid w:val="00E261B9"/>
    <w:rsid w:val="00E2784A"/>
    <w:rsid w:val="00E32451"/>
    <w:rsid w:val="00E334AA"/>
    <w:rsid w:val="00E41A8D"/>
    <w:rsid w:val="00E459A5"/>
    <w:rsid w:val="00E473F2"/>
    <w:rsid w:val="00E50CBC"/>
    <w:rsid w:val="00E527EA"/>
    <w:rsid w:val="00E64155"/>
    <w:rsid w:val="00E67416"/>
    <w:rsid w:val="00E7079F"/>
    <w:rsid w:val="00E709B8"/>
    <w:rsid w:val="00E81F98"/>
    <w:rsid w:val="00E83904"/>
    <w:rsid w:val="00E83FA1"/>
    <w:rsid w:val="00E85602"/>
    <w:rsid w:val="00E9087A"/>
    <w:rsid w:val="00E958C5"/>
    <w:rsid w:val="00E975A6"/>
    <w:rsid w:val="00EA2282"/>
    <w:rsid w:val="00EA2E26"/>
    <w:rsid w:val="00EA4C16"/>
    <w:rsid w:val="00EA5A83"/>
    <w:rsid w:val="00EB1C81"/>
    <w:rsid w:val="00EB4030"/>
    <w:rsid w:val="00EB5015"/>
    <w:rsid w:val="00EB6534"/>
    <w:rsid w:val="00EB6E86"/>
    <w:rsid w:val="00EC0F3B"/>
    <w:rsid w:val="00EC67CE"/>
    <w:rsid w:val="00EC6A19"/>
    <w:rsid w:val="00EE2BC4"/>
    <w:rsid w:val="00EE762F"/>
    <w:rsid w:val="00EF3EA4"/>
    <w:rsid w:val="00EF4906"/>
    <w:rsid w:val="00EF7B77"/>
    <w:rsid w:val="00F05546"/>
    <w:rsid w:val="00F10ECC"/>
    <w:rsid w:val="00F11C2F"/>
    <w:rsid w:val="00F14DF9"/>
    <w:rsid w:val="00F34125"/>
    <w:rsid w:val="00F40EBC"/>
    <w:rsid w:val="00F42C86"/>
    <w:rsid w:val="00F61FD5"/>
    <w:rsid w:val="00F73C4D"/>
    <w:rsid w:val="00F84766"/>
    <w:rsid w:val="00F84CCD"/>
    <w:rsid w:val="00F879AE"/>
    <w:rsid w:val="00F95524"/>
    <w:rsid w:val="00F95CE7"/>
    <w:rsid w:val="00FA4602"/>
    <w:rsid w:val="00FA482F"/>
    <w:rsid w:val="00FA61CB"/>
    <w:rsid w:val="00FA6AEE"/>
    <w:rsid w:val="00FA7286"/>
    <w:rsid w:val="00FA7B1C"/>
    <w:rsid w:val="00FB19C5"/>
    <w:rsid w:val="00FB47EE"/>
    <w:rsid w:val="00FC00A0"/>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E41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iedepgina">
    <w:name w:val="footer"/>
    <w:basedOn w:val="Normal"/>
    <w:link w:val="PiedepginaCar"/>
    <w:uiPriority w:val="99"/>
    <w:unhideWhenUsed/>
    <w:rsid w:val="00E41A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3E415-CDE7-420B-B55A-BB31D9D4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2662</Words>
  <Characters>14647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12</cp:revision>
  <cp:lastPrinted>2018-12-02T22:34:00Z</cp:lastPrinted>
  <dcterms:created xsi:type="dcterms:W3CDTF">2018-11-30T18:59:00Z</dcterms:created>
  <dcterms:modified xsi:type="dcterms:W3CDTF">2018-12-02T22:34:00Z</dcterms:modified>
</cp:coreProperties>
</file>