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87A" w:rsidRDefault="00E9487A" w:rsidP="00E9487A">
      <w:pPr>
        <w:ind w:left="2124"/>
        <w:jc w:val="both"/>
        <w:rPr>
          <w:rFonts w:ascii="Arial" w:hAnsi="Arial" w:cs="Arial"/>
          <w:b/>
          <w:sz w:val="26"/>
          <w:szCs w:val="26"/>
        </w:rPr>
      </w:pPr>
      <w:r>
        <w:rPr>
          <w:rFonts w:ascii="Arial" w:hAnsi="Arial" w:cs="Arial"/>
          <w:b/>
          <w:sz w:val="26"/>
          <w:szCs w:val="26"/>
        </w:rPr>
        <w:t>SALA SUPERIOR DEL TRIBUNAL DE JUSTICIA ADMINISTRATIVA DEL ESTADO DE OAXACA</w:t>
      </w:r>
    </w:p>
    <w:p w:rsidR="001F4169" w:rsidRDefault="001F4169" w:rsidP="00E9487A">
      <w:pPr>
        <w:ind w:left="2124"/>
        <w:jc w:val="both"/>
        <w:rPr>
          <w:rFonts w:ascii="Arial" w:hAnsi="Arial" w:cs="Arial"/>
          <w:b/>
          <w:sz w:val="26"/>
          <w:szCs w:val="26"/>
        </w:rPr>
      </w:pPr>
    </w:p>
    <w:p w:rsidR="00E9487A" w:rsidRDefault="00E9487A" w:rsidP="00E9487A">
      <w:pPr>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0438/2018</w:t>
      </w:r>
    </w:p>
    <w:p w:rsidR="001F4169" w:rsidRDefault="001F4169" w:rsidP="00E9487A">
      <w:pPr>
        <w:ind w:left="2124"/>
        <w:jc w:val="both"/>
        <w:rPr>
          <w:rFonts w:ascii="Arial" w:hAnsi="Arial" w:cs="Arial"/>
          <w:b/>
          <w:sz w:val="26"/>
          <w:szCs w:val="26"/>
        </w:rPr>
      </w:pPr>
    </w:p>
    <w:p w:rsidR="00E9487A" w:rsidRDefault="00E9487A" w:rsidP="00E9487A">
      <w:pPr>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0488/2016 SEXTA SALA UNITARIA DE PRIMERA INSTANCIA</w:t>
      </w:r>
    </w:p>
    <w:p w:rsidR="001F4169" w:rsidRDefault="001F4169" w:rsidP="00E9487A">
      <w:pPr>
        <w:ind w:left="2124"/>
        <w:jc w:val="both"/>
        <w:rPr>
          <w:rFonts w:ascii="Arial" w:hAnsi="Arial" w:cs="Arial"/>
          <w:b/>
          <w:sz w:val="26"/>
          <w:szCs w:val="26"/>
        </w:rPr>
      </w:pPr>
    </w:p>
    <w:p w:rsidR="00E9487A" w:rsidRDefault="00E9487A" w:rsidP="00E9487A">
      <w:pPr>
        <w:ind w:left="2124"/>
        <w:jc w:val="both"/>
        <w:rPr>
          <w:rFonts w:ascii="Arial" w:hAnsi="Arial" w:cs="Arial"/>
          <w:b/>
          <w:sz w:val="26"/>
          <w:szCs w:val="26"/>
        </w:rPr>
      </w:pPr>
      <w:r>
        <w:rPr>
          <w:rFonts w:ascii="Arial" w:hAnsi="Arial" w:cs="Arial"/>
          <w:b/>
          <w:sz w:val="26"/>
          <w:szCs w:val="26"/>
        </w:rPr>
        <w:t>PONENTE: MAGISTRADO ENRIQUE PACHECO MARTÍNEZ.</w:t>
      </w:r>
    </w:p>
    <w:p w:rsidR="00E9487A" w:rsidRDefault="001F4169" w:rsidP="00E9487A">
      <w:pPr>
        <w:spacing w:before="240" w:line="360" w:lineRule="auto"/>
        <w:jc w:val="both"/>
        <w:rPr>
          <w:rFonts w:ascii="Arial" w:hAnsi="Arial" w:cs="Arial"/>
          <w:b/>
          <w:sz w:val="26"/>
          <w:szCs w:val="26"/>
        </w:rPr>
      </w:pPr>
      <w:r>
        <w:rPr>
          <w:rFonts w:ascii="Arial" w:hAnsi="Arial" w:cs="Arial"/>
          <w:b/>
          <w:sz w:val="26"/>
          <w:szCs w:val="26"/>
        </w:rPr>
        <w:t xml:space="preserve">OAXACA DE JUÁREZ, OAXACA, </w:t>
      </w:r>
      <w:r w:rsidR="00E9487A">
        <w:rPr>
          <w:rFonts w:ascii="Arial" w:hAnsi="Arial" w:cs="Arial"/>
          <w:b/>
          <w:sz w:val="26"/>
          <w:szCs w:val="26"/>
        </w:rPr>
        <w:t>CUATRO DE ABRIL DE DOS MIL DIECINUEVE.</w:t>
      </w:r>
    </w:p>
    <w:p w:rsidR="00E9487A" w:rsidRDefault="00E9487A" w:rsidP="00E9487A">
      <w:pPr>
        <w:spacing w:line="360" w:lineRule="auto"/>
        <w:ind w:firstLine="708"/>
        <w:jc w:val="both"/>
        <w:rPr>
          <w:rFonts w:ascii="Arial" w:eastAsia="Calibri" w:hAnsi="Arial" w:cs="Arial"/>
          <w:sz w:val="26"/>
          <w:szCs w:val="26"/>
        </w:rPr>
      </w:pPr>
      <w:r>
        <w:rPr>
          <w:rFonts w:ascii="Arial" w:hAnsi="Arial" w:cs="Arial"/>
          <w:sz w:val="26"/>
          <w:szCs w:val="26"/>
        </w:rPr>
        <w:t xml:space="preserve">Por recibido el Cuaderno de Revisión </w:t>
      </w:r>
      <w:r>
        <w:rPr>
          <w:rFonts w:ascii="Arial" w:hAnsi="Arial" w:cs="Arial"/>
          <w:b/>
          <w:sz w:val="26"/>
          <w:szCs w:val="26"/>
        </w:rPr>
        <w:t>0438/2018</w:t>
      </w:r>
      <w:r>
        <w:rPr>
          <w:rFonts w:ascii="Arial" w:hAnsi="Arial" w:cs="Arial"/>
          <w:sz w:val="26"/>
          <w:szCs w:val="26"/>
        </w:rPr>
        <w:t xml:space="preserve">, que remite la Secretaría General de Acuerdos, con motivo del recurso de revisión interpuesto por la </w:t>
      </w:r>
      <w:r w:rsidRPr="006433B3">
        <w:rPr>
          <w:rFonts w:ascii="Arial" w:hAnsi="Arial" w:cs="Arial"/>
          <w:b/>
          <w:sz w:val="26"/>
          <w:szCs w:val="26"/>
        </w:rPr>
        <w:t>TESORERA MUNICIPAL DEL AYUNTAMIENTO DE SANTA LUCÍA</w:t>
      </w:r>
      <w:r>
        <w:rPr>
          <w:rFonts w:ascii="Arial" w:hAnsi="Arial" w:cs="Arial"/>
          <w:sz w:val="26"/>
          <w:szCs w:val="26"/>
        </w:rPr>
        <w:t xml:space="preserve"> </w:t>
      </w:r>
      <w:r w:rsidRPr="009C23AE">
        <w:rPr>
          <w:rFonts w:ascii="Arial" w:hAnsi="Arial" w:cs="Arial"/>
          <w:b/>
          <w:sz w:val="26"/>
          <w:szCs w:val="26"/>
        </w:rPr>
        <w:t>DEL CAMINO, OAXACA</w:t>
      </w:r>
      <w:r w:rsidRPr="00CA3845">
        <w:rPr>
          <w:rFonts w:ascii="Arial" w:hAnsi="Arial" w:cs="Arial"/>
          <w:sz w:val="26"/>
          <w:szCs w:val="26"/>
        </w:rPr>
        <w:t>,</w:t>
      </w:r>
      <w:r>
        <w:rPr>
          <w:rFonts w:ascii="Arial" w:hAnsi="Arial" w:cs="Arial"/>
          <w:b/>
          <w:sz w:val="26"/>
          <w:szCs w:val="26"/>
        </w:rPr>
        <w:t xml:space="preserve"> </w:t>
      </w:r>
      <w:r>
        <w:rPr>
          <w:rFonts w:ascii="Arial" w:eastAsia="Calibri" w:hAnsi="Arial" w:cs="Arial"/>
          <w:sz w:val="26"/>
          <w:szCs w:val="26"/>
        </w:rPr>
        <w:t xml:space="preserve">en contra de la parte relativa del acuerdo de 25 veinticinco de septiembre de 2018 dos mil dieciocho, </w:t>
      </w:r>
      <w:r>
        <w:rPr>
          <w:rFonts w:ascii="Arial" w:hAnsi="Arial" w:cs="Arial"/>
          <w:sz w:val="26"/>
          <w:szCs w:val="26"/>
        </w:rPr>
        <w:t xml:space="preserve">dictada en el expediente </w:t>
      </w:r>
      <w:r>
        <w:rPr>
          <w:rFonts w:ascii="Arial" w:hAnsi="Arial" w:cs="Arial"/>
          <w:b/>
          <w:sz w:val="26"/>
          <w:szCs w:val="26"/>
        </w:rPr>
        <w:t>0488/2016,</w:t>
      </w:r>
      <w:r>
        <w:rPr>
          <w:rFonts w:ascii="Arial" w:hAnsi="Arial" w:cs="Arial"/>
          <w:sz w:val="26"/>
          <w:szCs w:val="26"/>
        </w:rPr>
        <w:t xml:space="preserve"> de la Sexta Sala Unitaria de Primera Instancia</w:t>
      </w:r>
      <w:r>
        <w:rPr>
          <w:rFonts w:ascii="Arial" w:eastAsia="Calibri" w:hAnsi="Arial" w:cs="Arial"/>
          <w:sz w:val="26"/>
          <w:szCs w:val="26"/>
        </w:rPr>
        <w:t xml:space="preserve">, </w:t>
      </w:r>
      <w:r>
        <w:rPr>
          <w:rFonts w:ascii="Arial" w:hAnsi="Arial" w:cs="Arial"/>
          <w:sz w:val="26"/>
          <w:szCs w:val="26"/>
        </w:rPr>
        <w:t xml:space="preserve">relativo al juicio de nulidad promovido por </w:t>
      </w:r>
      <w:r w:rsidR="00A00F0F">
        <w:rPr>
          <w:rFonts w:ascii="Arial" w:hAnsi="Arial" w:cs="Arial"/>
          <w:b/>
          <w:sz w:val="26"/>
          <w:szCs w:val="26"/>
        </w:rPr>
        <w:t>**********</w:t>
      </w:r>
      <w:r>
        <w:rPr>
          <w:rFonts w:ascii="Arial" w:eastAsia="Calibri" w:hAnsi="Arial" w:cs="Arial"/>
          <w:b/>
          <w:sz w:val="26"/>
          <w:szCs w:val="26"/>
        </w:rPr>
        <w:t xml:space="preserve">, </w:t>
      </w:r>
      <w:r>
        <w:rPr>
          <w:rFonts w:ascii="Arial" w:eastAsia="Calibri" w:hAnsi="Arial" w:cs="Arial"/>
          <w:sz w:val="26"/>
          <w:szCs w:val="26"/>
        </w:rPr>
        <w:t xml:space="preserve">en contra de la </w:t>
      </w:r>
      <w:r w:rsidRPr="00B8300A">
        <w:rPr>
          <w:rFonts w:ascii="Arial" w:eastAsia="Calibri" w:hAnsi="Arial" w:cs="Arial"/>
          <w:b/>
          <w:sz w:val="26"/>
          <w:szCs w:val="26"/>
        </w:rPr>
        <w:t>RECURRENTE</w:t>
      </w:r>
      <w:r w:rsidRPr="00CA3845">
        <w:rPr>
          <w:rFonts w:ascii="Arial" w:eastAsia="Calibri" w:hAnsi="Arial" w:cs="Arial"/>
          <w:sz w:val="26"/>
          <w:szCs w:val="26"/>
        </w:rPr>
        <w:t xml:space="preserve">, </w:t>
      </w:r>
      <w:r>
        <w:rPr>
          <w:rFonts w:ascii="Arial" w:eastAsia="Calibri" w:hAnsi="Arial" w:cs="Arial"/>
          <w:sz w:val="26"/>
          <w:szCs w:val="26"/>
        </w:rPr>
        <w:t>por lo que con fundamento en los artículos 207 y 208, de la Ley de Justicia Administrativa para el Estado de Oaxaca, aplicable por ser la que estaba vigente al inicio del juicio natural, se admite. En consecuencia, se procede a dictar resolución en los siguientes términos:</w:t>
      </w:r>
    </w:p>
    <w:p w:rsidR="00E9487A" w:rsidRDefault="00E9487A" w:rsidP="00E9487A">
      <w:pPr>
        <w:spacing w:line="360" w:lineRule="auto"/>
        <w:ind w:firstLine="708"/>
        <w:jc w:val="center"/>
        <w:rPr>
          <w:rFonts w:ascii="Arial" w:hAnsi="Arial" w:cs="Arial"/>
          <w:b/>
          <w:bCs/>
          <w:sz w:val="26"/>
          <w:szCs w:val="26"/>
        </w:rPr>
      </w:pPr>
      <w:r>
        <w:rPr>
          <w:rFonts w:ascii="Arial" w:hAnsi="Arial" w:cs="Arial"/>
          <w:b/>
          <w:bCs/>
          <w:sz w:val="26"/>
          <w:szCs w:val="26"/>
        </w:rPr>
        <w:t>R E S U L T A N D O</w:t>
      </w:r>
    </w:p>
    <w:p w:rsidR="00E9487A" w:rsidRDefault="00E9487A" w:rsidP="00E9487A">
      <w:pPr>
        <w:spacing w:line="360" w:lineRule="auto"/>
        <w:ind w:firstLine="709"/>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la parte relativa del acuerdo de 25 veinticinco de septiembre de 2018 dos mil dieciocho, dictado por la Sexta Sala Unitaria de Primera Instancia la </w:t>
      </w:r>
      <w:r w:rsidRPr="006433B3">
        <w:rPr>
          <w:rFonts w:ascii="Arial" w:hAnsi="Arial" w:cs="Arial"/>
          <w:b/>
          <w:sz w:val="26"/>
          <w:szCs w:val="26"/>
        </w:rPr>
        <w:t>TESORERA MUNICIPAL DEL AYUNTAMIENTO DE SANTA LUCÍA</w:t>
      </w:r>
      <w:r>
        <w:rPr>
          <w:rFonts w:ascii="Arial" w:hAnsi="Arial" w:cs="Arial"/>
          <w:sz w:val="26"/>
          <w:szCs w:val="26"/>
        </w:rPr>
        <w:t xml:space="preserve"> </w:t>
      </w:r>
      <w:r w:rsidRPr="009C23AE">
        <w:rPr>
          <w:rFonts w:ascii="Arial" w:hAnsi="Arial" w:cs="Arial"/>
          <w:b/>
          <w:sz w:val="26"/>
          <w:szCs w:val="26"/>
        </w:rPr>
        <w:t>DEL CAMINO, OAXACA</w:t>
      </w:r>
      <w:r w:rsidRPr="00CA3845">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interpuso en su contra recurso de revisión. </w:t>
      </w:r>
    </w:p>
    <w:p w:rsidR="00E9487A" w:rsidRDefault="00E9487A" w:rsidP="00E9487A">
      <w:pPr>
        <w:spacing w:line="360" w:lineRule="auto"/>
        <w:jc w:val="both"/>
        <w:rPr>
          <w:rFonts w:ascii="Arial" w:eastAsia="Calibri" w:hAnsi="Arial" w:cs="Arial"/>
          <w:sz w:val="26"/>
          <w:szCs w:val="26"/>
        </w:rPr>
      </w:pPr>
      <w:r>
        <w:rPr>
          <w:rFonts w:ascii="Arial" w:hAnsi="Arial" w:cs="Arial"/>
          <w:b/>
          <w:bCs/>
          <w:sz w:val="26"/>
          <w:szCs w:val="26"/>
        </w:rPr>
        <w:tab/>
      </w:r>
      <w:r>
        <w:rPr>
          <w:rFonts w:ascii="Arial" w:eastAsia="Calibri" w:hAnsi="Arial" w:cs="Arial"/>
          <w:b/>
          <w:bCs/>
          <w:sz w:val="26"/>
          <w:szCs w:val="26"/>
        </w:rPr>
        <w:t xml:space="preserve">SEGUNDO.- </w:t>
      </w:r>
      <w:r>
        <w:rPr>
          <w:rFonts w:ascii="Arial" w:eastAsia="Calibri" w:hAnsi="Arial" w:cs="Arial"/>
          <w:sz w:val="26"/>
          <w:szCs w:val="26"/>
        </w:rPr>
        <w:t>La parte conducente del acuerdo recurrido es el siguiente:</w:t>
      </w:r>
    </w:p>
    <w:p w:rsidR="00E9487A" w:rsidRDefault="00E9487A" w:rsidP="00E9487A">
      <w:pPr>
        <w:pStyle w:val="Textoindependiente21"/>
        <w:tabs>
          <w:tab w:val="left" w:pos="7938"/>
        </w:tabs>
        <w:spacing w:before="240" w:line="360" w:lineRule="auto"/>
        <w:ind w:left="1134" w:right="616" w:firstLine="0"/>
        <w:rPr>
          <w:rFonts w:ascii="Arial" w:hAnsi="Arial" w:cs="Arial"/>
          <w:b/>
          <w:bCs/>
          <w:iCs/>
          <w:szCs w:val="24"/>
        </w:rPr>
      </w:pPr>
      <w:r w:rsidRPr="00F158CB">
        <w:rPr>
          <w:rFonts w:ascii="Arial" w:hAnsi="Arial" w:cs="Arial"/>
          <w:bCs/>
          <w:iCs/>
          <w:szCs w:val="24"/>
        </w:rPr>
        <w:t>“</w:t>
      </w:r>
      <w:r w:rsidRPr="00F158CB">
        <w:rPr>
          <w:rFonts w:ascii="Arial" w:hAnsi="Arial" w:cs="Arial"/>
          <w:bCs/>
          <w:i/>
          <w:iCs/>
          <w:szCs w:val="24"/>
        </w:rPr>
        <w:t>Es</w:t>
      </w:r>
      <w:r>
        <w:rPr>
          <w:rFonts w:ascii="Arial" w:hAnsi="Arial" w:cs="Arial"/>
          <w:bCs/>
          <w:i/>
          <w:iCs/>
          <w:szCs w:val="24"/>
        </w:rPr>
        <w:t xml:space="preserve"> entonces que se procede a (sic) acordar la promoción presentada por la parte actora y que fue reservada mediante proveído de fecha 18 dieciocho de enero del 2018 dos mil dieciocho en los siguiente (sic) términos: con fecha 15 quince de diciembre de 2017 dos mil diecisiete se recibió en este Tribunal escrito de </w:t>
      </w:r>
      <w:r w:rsidR="00A00F0F">
        <w:rPr>
          <w:rFonts w:ascii="Arial" w:hAnsi="Arial" w:cs="Arial"/>
          <w:bCs/>
          <w:i/>
          <w:iCs/>
          <w:szCs w:val="24"/>
        </w:rPr>
        <w:t>**********</w:t>
      </w:r>
      <w:r>
        <w:rPr>
          <w:rFonts w:ascii="Arial" w:hAnsi="Arial" w:cs="Arial"/>
          <w:bCs/>
          <w:i/>
          <w:iCs/>
          <w:szCs w:val="24"/>
        </w:rPr>
        <w:t xml:space="preserve">(parte actora en el presente juicio), en atención al proveído de fecha 29 veintinueve de noviembre del mismo año mediante el cual amplía su </w:t>
      </w:r>
      <w:r>
        <w:rPr>
          <w:rFonts w:ascii="Arial" w:hAnsi="Arial" w:cs="Arial"/>
          <w:bCs/>
          <w:i/>
          <w:iCs/>
          <w:szCs w:val="24"/>
        </w:rPr>
        <w:lastRenderedPageBreak/>
        <w:t xml:space="preserve">demanda; vista la certificación de término realizada por el Secretario de Acuerdos de esta Sala y, constatándose que fue legalmente notificado el actor el 7 siete de diciembre del 2017 dos mil diecisiete y a la fecha en que presentó el escrito de cuenta 15 quince de diciembre del mismo año, se acredita que presentó su escrito dentro del plazo concedido, por tanto, </w:t>
      </w:r>
      <w:r>
        <w:rPr>
          <w:rFonts w:ascii="Arial" w:hAnsi="Arial" w:cs="Arial"/>
          <w:b/>
          <w:bCs/>
          <w:i/>
          <w:iCs/>
          <w:szCs w:val="24"/>
        </w:rPr>
        <w:t xml:space="preserve">se tiene a </w:t>
      </w:r>
      <w:r w:rsidR="00A00F0F">
        <w:rPr>
          <w:rFonts w:ascii="Arial" w:hAnsi="Arial" w:cs="Arial"/>
          <w:b/>
          <w:bCs/>
          <w:i/>
          <w:iCs/>
          <w:szCs w:val="24"/>
        </w:rPr>
        <w:t>**********</w:t>
      </w:r>
      <w:r>
        <w:rPr>
          <w:rFonts w:ascii="Arial" w:hAnsi="Arial" w:cs="Arial"/>
          <w:b/>
          <w:bCs/>
          <w:i/>
          <w:iCs/>
          <w:szCs w:val="24"/>
        </w:rPr>
        <w:t xml:space="preserve">ampliando su demanda, </w:t>
      </w:r>
      <w:r>
        <w:rPr>
          <w:rFonts w:ascii="Arial" w:hAnsi="Arial" w:cs="Arial"/>
          <w:bCs/>
          <w:i/>
          <w:iCs/>
          <w:szCs w:val="24"/>
        </w:rPr>
        <w:t>exponiendo sus argumentos, los que esta Sala analizará al momento de dictar la sentencia en el presente juicio; se advierte que manifiesta ofrecer las documentales ofrecidas y exhibidas por la autoridad demandada, que correrán agregadas en autos, por lo que es innecesario aportarlas nuevamente.</w:t>
      </w:r>
      <w:r w:rsidR="001F4169">
        <w:rPr>
          <w:rFonts w:ascii="Arial" w:hAnsi="Arial" w:cs="Arial"/>
          <w:bCs/>
          <w:i/>
          <w:iCs/>
          <w:szCs w:val="24"/>
        </w:rPr>
        <w:t xml:space="preserve">- - </w:t>
      </w:r>
      <w:r>
        <w:rPr>
          <w:rFonts w:ascii="Arial" w:hAnsi="Arial" w:cs="Arial"/>
          <w:bCs/>
          <w:i/>
          <w:iCs/>
          <w:szCs w:val="24"/>
        </w:rPr>
        <w:t xml:space="preserve"> </w:t>
      </w:r>
      <w:r w:rsidR="001F4169">
        <w:rPr>
          <w:rFonts w:ascii="Arial" w:hAnsi="Arial" w:cs="Arial"/>
          <w:bCs/>
          <w:i/>
          <w:iCs/>
          <w:szCs w:val="24"/>
        </w:rPr>
        <w:t>-</w:t>
      </w:r>
      <w:r w:rsidRPr="00AE3C7A">
        <w:rPr>
          <w:rFonts w:ascii="Arial" w:hAnsi="Arial" w:cs="Arial"/>
          <w:bCs/>
          <w:iCs/>
          <w:szCs w:val="24"/>
        </w:rPr>
        <w:t>”</w:t>
      </w:r>
    </w:p>
    <w:p w:rsidR="00E9487A" w:rsidRDefault="00E9487A" w:rsidP="00E9487A">
      <w:pPr>
        <w:widowControl w:val="0"/>
        <w:tabs>
          <w:tab w:val="left" w:pos="2835"/>
          <w:tab w:val="left" w:pos="7938"/>
        </w:tabs>
        <w:spacing w:before="240" w:line="360" w:lineRule="auto"/>
        <w:ind w:right="17"/>
        <w:jc w:val="center"/>
        <w:rPr>
          <w:rFonts w:ascii="Arial" w:hAnsi="Arial" w:cs="Arial"/>
          <w:bCs/>
          <w:iCs/>
          <w:lang w:eastAsia="es-ES"/>
        </w:rPr>
      </w:pPr>
      <w:r>
        <w:rPr>
          <w:rFonts w:ascii="Arial" w:hAnsi="Arial" w:cs="Arial"/>
          <w:b/>
          <w:bCs/>
          <w:sz w:val="26"/>
          <w:szCs w:val="26"/>
          <w:lang w:eastAsia="es-ES"/>
        </w:rPr>
        <w:t>C O N S I D E R A N D O</w:t>
      </w:r>
    </w:p>
    <w:p w:rsidR="00E9487A" w:rsidRPr="00CB6405" w:rsidRDefault="00E9487A" w:rsidP="00E9487A">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 xml:space="preserve">Esta Sala Superior es competente para conocer del presente asunto, de conformidad con lo dispuesto por los artículos 114 Quáter de la Constitución Política del Estado Libre y Soberano de Oaxaca; así como los diversos 86, 88, 92, 93, fracción I, 94, 201, 206 y 208, de la Ley de Justicia Administrativa para el Estado de Oaxaca, aplicable por la ser la que estaba vigente al inicio de juicio principal,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la parte relativa del acuerdo de 25 veinticinco de septiembre de 2018 dos mil dieciocho, dictada </w:t>
      </w:r>
      <w:r w:rsidRPr="00CB6405">
        <w:rPr>
          <w:rFonts w:ascii="Arial" w:hAnsi="Arial" w:cs="Arial"/>
          <w:bCs/>
          <w:iCs/>
          <w:sz w:val="26"/>
          <w:szCs w:val="26"/>
        </w:rPr>
        <w:t xml:space="preserve">por la </w:t>
      </w:r>
      <w:r>
        <w:rPr>
          <w:rFonts w:ascii="Arial" w:hAnsi="Arial" w:cs="Arial"/>
          <w:bCs/>
          <w:iCs/>
          <w:sz w:val="26"/>
          <w:szCs w:val="26"/>
        </w:rPr>
        <w:t xml:space="preserve">Sexta </w:t>
      </w:r>
      <w:r w:rsidRPr="00CB6405">
        <w:rPr>
          <w:rFonts w:ascii="Arial" w:hAnsi="Arial" w:cs="Arial"/>
          <w:bCs/>
          <w:iCs/>
          <w:sz w:val="26"/>
          <w:szCs w:val="26"/>
        </w:rPr>
        <w:t xml:space="preserve">Sala Unitaria de Primera Instancia de este Tribunal, en el expediente </w:t>
      </w:r>
      <w:r>
        <w:rPr>
          <w:rFonts w:ascii="Arial" w:hAnsi="Arial" w:cs="Arial"/>
          <w:b/>
          <w:bCs/>
          <w:iCs/>
          <w:sz w:val="26"/>
          <w:szCs w:val="26"/>
        </w:rPr>
        <w:t>0488/2016</w:t>
      </w:r>
      <w:r w:rsidRPr="00CB6405">
        <w:rPr>
          <w:rFonts w:ascii="Arial" w:hAnsi="Arial" w:cs="Arial"/>
          <w:sz w:val="26"/>
          <w:szCs w:val="26"/>
        </w:rPr>
        <w:t>.</w:t>
      </w:r>
    </w:p>
    <w:p w:rsidR="00E9487A" w:rsidRPr="00CB6405" w:rsidRDefault="00E9487A" w:rsidP="00E9487A">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Pr>
          <w:rFonts w:ascii="Arial" w:hAnsi="Arial" w:cs="Arial"/>
          <w:sz w:val="26"/>
          <w:szCs w:val="26"/>
        </w:rPr>
        <w:t xml:space="preserve"> </w:t>
      </w:r>
      <w:r w:rsidRPr="00CB6405">
        <w:rPr>
          <w:rFonts w:ascii="Arial" w:hAnsi="Arial" w:cs="Arial"/>
          <w:sz w:val="26"/>
          <w:szCs w:val="26"/>
        </w:rPr>
        <w:t>l</w:t>
      </w:r>
      <w:r>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 </w:t>
      </w:r>
    </w:p>
    <w:p w:rsidR="00E9487A" w:rsidRDefault="00E9487A" w:rsidP="00E9487A">
      <w:pPr>
        <w:spacing w:line="360" w:lineRule="auto"/>
        <w:ind w:firstLine="709"/>
        <w:jc w:val="both"/>
        <w:rPr>
          <w:rFonts w:ascii="Arial" w:eastAsia="Calibri" w:hAnsi="Arial" w:cs="Arial"/>
          <w:bCs/>
          <w:sz w:val="26"/>
          <w:szCs w:val="26"/>
        </w:rPr>
      </w:pPr>
      <w:r>
        <w:rPr>
          <w:rFonts w:ascii="Arial" w:eastAsia="Calibri" w:hAnsi="Arial" w:cs="Arial"/>
          <w:b/>
          <w:bCs/>
          <w:sz w:val="26"/>
          <w:szCs w:val="26"/>
        </w:rPr>
        <w:t>TERCERO</w:t>
      </w:r>
      <w:r>
        <w:rPr>
          <w:rFonts w:ascii="Arial" w:eastAsia="Calibri" w:hAnsi="Arial" w:cs="Arial"/>
          <w:bCs/>
          <w:sz w:val="26"/>
          <w:szCs w:val="26"/>
        </w:rPr>
        <w:t xml:space="preserve">. Alega que la determinación que recurre la deja en estado de indefensión, porque se actualiza la causal de improcedencia y sobreseimiento prevista en la fracción II del </w:t>
      </w:r>
      <w:r w:rsidRPr="001F4169">
        <w:rPr>
          <w:rFonts w:ascii="Arial" w:eastAsia="Calibri" w:hAnsi="Arial" w:cs="Arial"/>
          <w:bCs/>
          <w:sz w:val="26"/>
          <w:szCs w:val="26"/>
        </w:rPr>
        <w:t>artículo 161 de la Ley de Procedimiento y Justicia Administrativa para el Estado de Oaxaca,</w:t>
      </w:r>
      <w:r>
        <w:rPr>
          <w:rFonts w:ascii="Arial" w:eastAsia="Calibri" w:hAnsi="Arial" w:cs="Arial"/>
          <w:bCs/>
          <w:sz w:val="26"/>
          <w:szCs w:val="26"/>
        </w:rPr>
        <w:t xml:space="preserve"> porque de los hechos narrados por el actor y de las pruebas que ofreció, se puede apreciar claramente la fundamentación y motivación del acto impugnado, lo que hace evidente que no se afecta su interés jurídico y legítimo, siendo así procedente se sobresea el juicio </w:t>
      </w:r>
      <w:r>
        <w:rPr>
          <w:rFonts w:ascii="Arial" w:eastAsia="Calibri" w:hAnsi="Arial" w:cs="Arial"/>
          <w:bCs/>
          <w:sz w:val="26"/>
          <w:szCs w:val="26"/>
        </w:rPr>
        <w:lastRenderedPageBreak/>
        <w:t>conforme lo prevé la fracción II del artículo 162 de la citada ley de Procedimiento y Justicia Administrativa; que por ello no es posible conceder la ampliación de la demanda del actor; pues se cumplió a cabalidad lo establecido por el artículo 17 de la Ley en cita. Cita como apoyo el criterio de rubro: “</w:t>
      </w:r>
      <w:r w:rsidRPr="00010B3B">
        <w:rPr>
          <w:rFonts w:ascii="Arial" w:eastAsia="Calibri" w:hAnsi="Arial" w:cs="Arial"/>
          <w:bCs/>
          <w:i/>
        </w:rPr>
        <w:t>ACTO ADMINISTRATIVO FAVORABLE. SU EFICACIA NO DEPENDE NI ESTÁ CONDICIONADA A QUE LA AUTORIDAD QUE LO DICTÓ LO NOTIFIQUE AL PARTICULAR.</w:t>
      </w:r>
      <w:r>
        <w:rPr>
          <w:rFonts w:ascii="Arial" w:eastAsia="Calibri" w:hAnsi="Arial" w:cs="Arial"/>
          <w:bCs/>
          <w:sz w:val="26"/>
          <w:szCs w:val="26"/>
        </w:rPr>
        <w:t>”.</w:t>
      </w:r>
    </w:p>
    <w:p w:rsidR="00E9487A" w:rsidRDefault="00E9487A" w:rsidP="00E9487A">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Estas alegaciones son </w:t>
      </w:r>
      <w:r w:rsidRPr="00010B3B">
        <w:rPr>
          <w:rFonts w:ascii="Arial" w:eastAsia="Calibri" w:hAnsi="Arial" w:cs="Arial"/>
          <w:b/>
          <w:bCs/>
          <w:sz w:val="26"/>
          <w:szCs w:val="26"/>
        </w:rPr>
        <w:t>in</w:t>
      </w:r>
      <w:r>
        <w:rPr>
          <w:rFonts w:ascii="Arial" w:eastAsia="Calibri" w:hAnsi="Arial" w:cs="Arial"/>
          <w:b/>
          <w:bCs/>
          <w:sz w:val="26"/>
          <w:szCs w:val="26"/>
        </w:rPr>
        <w:t>operantes</w:t>
      </w:r>
      <w:r w:rsidRPr="00010B3B">
        <w:rPr>
          <w:rFonts w:ascii="Arial" w:eastAsia="Calibri" w:hAnsi="Arial" w:cs="Arial"/>
          <w:bCs/>
          <w:sz w:val="26"/>
          <w:szCs w:val="26"/>
        </w:rPr>
        <w:t xml:space="preserve">, </w:t>
      </w:r>
      <w:r>
        <w:rPr>
          <w:rFonts w:ascii="Arial" w:eastAsia="Calibri" w:hAnsi="Arial" w:cs="Arial"/>
          <w:bCs/>
          <w:sz w:val="26"/>
          <w:szCs w:val="26"/>
        </w:rPr>
        <w:t>al no combatir de manera alguna la consideración toral que se recurre, consistente en tener a la parte actora ampliando su demanda; pues las manifestaciones que realiza el recurrente, de manera esencial se concretan, a sostener la legalidad del acto impugnado en primera instancia, pues aduce que desde su punto de vista se actualiza la causal de improcedencia y sobreseimiento, que prevé la fracción II del artículo 161 de la Ley de Procedimiento y Justicia Administrativa para el Estado de Oaxaca, pues dice que el acto impugnado se encuentra fundado y motivado, y que por ello no se afecta el interés jurídico y legítimo del actor.</w:t>
      </w:r>
    </w:p>
    <w:p w:rsidR="00E9487A" w:rsidRPr="002B506D" w:rsidRDefault="00E9487A" w:rsidP="00E9487A">
      <w:pPr>
        <w:spacing w:line="360" w:lineRule="auto"/>
        <w:ind w:firstLine="709"/>
        <w:jc w:val="both"/>
        <w:rPr>
          <w:rFonts w:ascii="Arial" w:eastAsia="Times New Roman" w:hAnsi="Arial"/>
          <w:color w:val="000000" w:themeColor="text1"/>
          <w:sz w:val="26"/>
          <w:szCs w:val="26"/>
        </w:rPr>
      </w:pPr>
      <w:r w:rsidRPr="002B506D">
        <w:rPr>
          <w:rFonts w:ascii="Arial" w:hAnsi="Arial" w:cs="Arial"/>
          <w:bCs/>
          <w:color w:val="000000" w:themeColor="text1"/>
          <w:sz w:val="26"/>
          <w:szCs w:val="26"/>
        </w:rPr>
        <w:t xml:space="preserve">Sirve de apoyo a lo anterior la jurisprudencia </w:t>
      </w:r>
      <w:r w:rsidRPr="002B506D">
        <w:rPr>
          <w:rFonts w:ascii="Arial" w:eastAsia="Times New Roman" w:hAnsi="Arial"/>
          <w:color w:val="000000" w:themeColor="text1"/>
          <w:sz w:val="26"/>
          <w:szCs w:val="26"/>
        </w:rPr>
        <w:t>IV.3o. J/12 dictada por el Tercer Tribunal Colegiado del Cuarto Circuito, publicada en la Gaceta del Sema</w:t>
      </w:r>
      <w:r>
        <w:rPr>
          <w:rFonts w:ascii="Arial" w:eastAsia="Times New Roman" w:hAnsi="Arial"/>
          <w:color w:val="000000" w:themeColor="text1"/>
          <w:sz w:val="26"/>
          <w:szCs w:val="26"/>
        </w:rPr>
        <w:t xml:space="preserve">nario Judicial de la Federación, </w:t>
      </w:r>
      <w:r w:rsidRPr="002B506D">
        <w:rPr>
          <w:rFonts w:ascii="Arial" w:eastAsia="Times New Roman" w:hAnsi="Arial"/>
          <w:color w:val="000000" w:themeColor="text1"/>
          <w:sz w:val="26"/>
          <w:szCs w:val="26"/>
        </w:rPr>
        <w:t xml:space="preserve">en la </w:t>
      </w:r>
      <w:r>
        <w:rPr>
          <w:rFonts w:ascii="Arial" w:eastAsia="Times New Roman" w:hAnsi="Arial"/>
          <w:color w:val="000000" w:themeColor="text1"/>
          <w:sz w:val="26"/>
          <w:szCs w:val="26"/>
        </w:rPr>
        <w:t>O</w:t>
      </w:r>
      <w:r w:rsidRPr="002B506D">
        <w:rPr>
          <w:rFonts w:ascii="Arial" w:eastAsia="Times New Roman" w:hAnsi="Arial"/>
          <w:color w:val="000000" w:themeColor="text1"/>
          <w:sz w:val="26"/>
          <w:szCs w:val="26"/>
        </w:rPr>
        <w:t xml:space="preserve">ctava </w:t>
      </w:r>
      <w:r>
        <w:rPr>
          <w:rFonts w:ascii="Arial" w:eastAsia="Times New Roman" w:hAnsi="Arial"/>
          <w:color w:val="000000" w:themeColor="text1"/>
          <w:sz w:val="26"/>
          <w:szCs w:val="26"/>
        </w:rPr>
        <w:t>É</w:t>
      </w:r>
      <w:r w:rsidRPr="002B506D">
        <w:rPr>
          <w:rFonts w:ascii="Arial" w:eastAsia="Times New Roman" w:hAnsi="Arial"/>
          <w:color w:val="000000" w:themeColor="text1"/>
          <w:sz w:val="26"/>
          <w:szCs w:val="26"/>
        </w:rPr>
        <w:t>poca, Septiembre de 1992, consultable a página 57, cuyo rubro y texto son el siguiente:</w:t>
      </w:r>
    </w:p>
    <w:p w:rsidR="00E9487A" w:rsidRPr="004A2FA8" w:rsidRDefault="00E9487A" w:rsidP="00E9487A">
      <w:pPr>
        <w:spacing w:line="360" w:lineRule="auto"/>
        <w:ind w:left="1134" w:right="709"/>
        <w:jc w:val="both"/>
        <w:rPr>
          <w:rFonts w:ascii="Arial" w:hAnsi="Arial" w:cs="Arial"/>
          <w:bCs/>
          <w:i/>
          <w:color w:val="000000" w:themeColor="text1"/>
          <w:sz w:val="24"/>
          <w:szCs w:val="24"/>
        </w:rPr>
      </w:pPr>
      <w:r w:rsidRPr="00041C7F">
        <w:rPr>
          <w:rFonts w:ascii="Arial" w:eastAsia="Times New Roman" w:hAnsi="Arial"/>
          <w:i/>
          <w:color w:val="000000" w:themeColor="text1"/>
          <w:sz w:val="24"/>
          <w:szCs w:val="24"/>
        </w:rPr>
        <w:t>“</w:t>
      </w:r>
      <w:r w:rsidRPr="004A2FA8">
        <w:rPr>
          <w:rFonts w:ascii="Arial" w:eastAsia="Times New Roman" w:hAnsi="Arial"/>
          <w:b/>
          <w:i/>
          <w:color w:val="000000" w:themeColor="text1"/>
          <w:sz w:val="24"/>
          <w:szCs w:val="24"/>
        </w:rPr>
        <w:t xml:space="preserve">AGRAVIOS. DEBEN DE IMPUGNAR LA ILEGALIDAD DEL FALLO RECURRIDO. </w:t>
      </w:r>
      <w:r w:rsidRPr="004A2FA8">
        <w:rPr>
          <w:rFonts w:ascii="Arial" w:eastAsia="Times New Roman" w:hAnsi="Arial"/>
          <w:i/>
          <w:color w:val="000000" w:themeColor="text1"/>
          <w:sz w:val="24"/>
          <w:szCs w:val="24"/>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E9487A" w:rsidRDefault="00E9487A" w:rsidP="00E9487A">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Aunado a esto debe precisarse que la Ley de Procedimiento y Justicia Administrativa para el Estado de Oaxaca, que cita y que dice fue transgredido, no resulta aplicable al presente caso, porque </w:t>
      </w:r>
      <w:r>
        <w:rPr>
          <w:rFonts w:ascii="Arial" w:eastAsia="Calibri" w:hAnsi="Arial" w:cs="Arial"/>
          <w:bCs/>
          <w:sz w:val="26"/>
          <w:szCs w:val="26"/>
        </w:rPr>
        <w:lastRenderedPageBreak/>
        <w:t>conforme al artículo quinto transitorio</w:t>
      </w:r>
      <w:r>
        <w:rPr>
          <w:rStyle w:val="Refdenotaalpie"/>
          <w:rFonts w:ascii="Arial" w:eastAsia="Calibri" w:hAnsi="Arial" w:cs="Arial"/>
          <w:bCs/>
          <w:sz w:val="26"/>
          <w:szCs w:val="26"/>
        </w:rPr>
        <w:footnoteReference w:id="1"/>
      </w:r>
      <w:r>
        <w:rPr>
          <w:rFonts w:ascii="Arial" w:eastAsia="Calibri" w:hAnsi="Arial" w:cs="Arial"/>
          <w:bCs/>
          <w:sz w:val="26"/>
          <w:szCs w:val="26"/>
        </w:rPr>
        <w:t xml:space="preserve"> de dicha Ley, los procedimientos en trámite a la entrada en vigor de esa Ley serán tramitados y concluidos conforme a las disposiciones legales vigentes a su inicio, siendo en el caso la Ley de Justicia Administrativa para el Estado de Oaxaca, la aplicable.</w:t>
      </w:r>
    </w:p>
    <w:p w:rsidR="00E9487A" w:rsidRDefault="00E9487A" w:rsidP="00E9487A">
      <w:pPr>
        <w:spacing w:line="360" w:lineRule="auto"/>
        <w:ind w:firstLine="709"/>
        <w:jc w:val="both"/>
        <w:rPr>
          <w:rFonts w:ascii="Arial" w:eastAsia="Calibri" w:hAnsi="Arial" w:cs="Arial"/>
          <w:bCs/>
          <w:sz w:val="26"/>
          <w:szCs w:val="26"/>
        </w:rPr>
      </w:pPr>
      <w:r>
        <w:rPr>
          <w:rFonts w:ascii="Arial" w:eastAsia="Calibri" w:hAnsi="Arial" w:cs="Arial"/>
          <w:bCs/>
          <w:sz w:val="26"/>
          <w:szCs w:val="26"/>
        </w:rPr>
        <w:t>Por último, cabe puntualizar que si bien como aduce en sus alegaciones, las causales de improcedencia y sobreseimiento, son de orden público y de estudio preferente, las que se pueden estudiar aun de manera oficiosa, el hecho de no atender en esta instancia las alegaciones que hace al respecto, no le causa perjuicio alguno, porque como se dijo anteriormente, alega la actualización de dicha causal, basándose primordialmente en sostener la legalidad del acto impugnado, situación que será atendida al momento de emitirse la sentencia correspondiente.</w:t>
      </w:r>
    </w:p>
    <w:p w:rsidR="00E9487A" w:rsidRDefault="00E9487A" w:rsidP="00E9487A">
      <w:pPr>
        <w:spacing w:before="240" w:line="360" w:lineRule="auto"/>
        <w:ind w:firstLine="708"/>
        <w:jc w:val="both"/>
        <w:rPr>
          <w:rFonts w:ascii="Arial" w:hAnsi="Arial" w:cs="Arial"/>
          <w:sz w:val="26"/>
          <w:szCs w:val="26"/>
        </w:rPr>
      </w:pPr>
      <w:r>
        <w:rPr>
          <w:rFonts w:ascii="Arial" w:hAnsi="Arial" w:cs="Arial"/>
          <w:sz w:val="26"/>
          <w:szCs w:val="26"/>
        </w:rPr>
        <w:t>En mérito de lo anterior, con fundamento en los artículos 207 y 208 de la Ley de Justicia Administrativa para el Estado, aplicable por ser la que estaba vigente al inicio del juicio principal, se:</w:t>
      </w:r>
    </w:p>
    <w:p w:rsidR="00E9487A" w:rsidRDefault="00E9487A" w:rsidP="00E9487A">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E9487A" w:rsidRDefault="00E9487A" w:rsidP="00E9487A">
      <w:pPr>
        <w:spacing w:before="240" w:line="360" w:lineRule="auto"/>
        <w:ind w:firstLine="708"/>
        <w:jc w:val="both"/>
        <w:rPr>
          <w:rFonts w:ascii="Arial" w:hAnsi="Arial" w:cs="Arial"/>
          <w:sz w:val="26"/>
          <w:szCs w:val="26"/>
        </w:rPr>
      </w:pPr>
      <w:r>
        <w:rPr>
          <w:rFonts w:ascii="Arial" w:hAnsi="Arial" w:cs="Arial"/>
          <w:b/>
          <w:sz w:val="26"/>
          <w:szCs w:val="26"/>
        </w:rPr>
        <w:t>PRIMERO</w:t>
      </w:r>
      <w:r>
        <w:rPr>
          <w:rFonts w:ascii="Arial" w:hAnsi="Arial" w:cs="Arial"/>
          <w:sz w:val="26"/>
          <w:szCs w:val="26"/>
        </w:rPr>
        <w:t xml:space="preserve">. Se </w:t>
      </w:r>
      <w:r>
        <w:rPr>
          <w:rFonts w:ascii="Arial" w:hAnsi="Arial" w:cs="Arial"/>
          <w:b/>
          <w:sz w:val="26"/>
          <w:szCs w:val="26"/>
        </w:rPr>
        <w:t xml:space="preserve">CONFIRMA </w:t>
      </w:r>
      <w:r>
        <w:rPr>
          <w:rFonts w:ascii="Arial" w:hAnsi="Arial" w:cs="Arial"/>
          <w:sz w:val="26"/>
          <w:szCs w:val="26"/>
        </w:rPr>
        <w:t xml:space="preserve">la parte relativa del acuerdo recurrido, </w:t>
      </w:r>
      <w:r>
        <w:rPr>
          <w:rFonts w:ascii="Arial" w:hAnsi="Arial" w:cs="Arial"/>
          <w:sz w:val="26"/>
          <w:szCs w:val="26"/>
          <w:lang w:eastAsia="es-ES"/>
        </w:rPr>
        <w:t>por las razones expuestas en el considerando que antecede</w:t>
      </w:r>
      <w:r>
        <w:rPr>
          <w:rFonts w:ascii="Arial" w:hAnsi="Arial" w:cs="Arial"/>
          <w:sz w:val="26"/>
          <w:szCs w:val="26"/>
        </w:rPr>
        <w:t>.</w:t>
      </w:r>
    </w:p>
    <w:p w:rsidR="00E9487A" w:rsidRDefault="00E9487A" w:rsidP="00E9487A">
      <w:pPr>
        <w:spacing w:before="240" w:line="360" w:lineRule="auto"/>
        <w:ind w:firstLine="708"/>
        <w:jc w:val="both"/>
        <w:rPr>
          <w:rFonts w:ascii="Arial" w:hAnsi="Arial" w:cs="Arial"/>
          <w:sz w:val="26"/>
          <w:szCs w:val="26"/>
        </w:rPr>
      </w:pPr>
      <w:r>
        <w:rPr>
          <w:rFonts w:ascii="Arial" w:hAnsi="Arial" w:cs="Arial"/>
          <w:b/>
          <w:sz w:val="26"/>
          <w:szCs w:val="26"/>
        </w:rPr>
        <w:t>SEGUNDO</w:t>
      </w:r>
      <w:r>
        <w:rPr>
          <w:rFonts w:ascii="Arial" w:hAnsi="Arial" w:cs="Arial"/>
          <w:sz w:val="26"/>
          <w:szCs w:val="26"/>
        </w:rPr>
        <w:t>.</w:t>
      </w:r>
      <w:r>
        <w:rPr>
          <w:rFonts w:ascii="Arial" w:hAnsi="Arial" w:cs="Arial"/>
          <w:b/>
          <w:sz w:val="26"/>
          <w:szCs w:val="26"/>
        </w:rPr>
        <w:t xml:space="preserve">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Sexta Sala Unitaria de Primera Instancia, </w:t>
      </w:r>
      <w:r w:rsidRPr="00D81DA7">
        <w:rPr>
          <w:rFonts w:ascii="Arial" w:hAnsi="Arial" w:cs="Arial"/>
          <w:sz w:val="26"/>
          <w:szCs w:val="26"/>
        </w:rPr>
        <w:t>y en su oportunidad archívese el cuaderno de revisión como concluido.</w:t>
      </w:r>
    </w:p>
    <w:p w:rsidR="00E9487A" w:rsidRDefault="00E9487A" w:rsidP="00E9487A">
      <w:pPr>
        <w:pStyle w:val="Sinespaciado"/>
        <w:spacing w:before="240" w:after="240" w:line="360" w:lineRule="auto"/>
        <w:ind w:firstLine="708"/>
        <w:jc w:val="both"/>
        <w:rPr>
          <w:rFonts w:ascii="Arial" w:hAnsi="Arial" w:cs="Arial"/>
          <w:b/>
          <w:sz w:val="26"/>
          <w:szCs w:val="26"/>
        </w:rPr>
      </w:pPr>
      <w:r>
        <w:rPr>
          <w:rFonts w:ascii="Arial" w:hAnsi="Arial" w:cs="Arial"/>
          <w:b/>
          <w:sz w:val="26"/>
          <w:szCs w:val="26"/>
        </w:rPr>
        <w:t xml:space="preserve">TERCERO. </w:t>
      </w:r>
      <w:r>
        <w:rPr>
          <w:rFonts w:ascii="Arial" w:hAnsi="Arial" w:cs="Arial"/>
          <w:sz w:val="26"/>
          <w:szCs w:val="26"/>
        </w:rPr>
        <w:t xml:space="preserve">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w:t>
      </w:r>
      <w:r>
        <w:rPr>
          <w:rFonts w:ascii="Arial" w:hAnsi="Arial" w:cs="Arial"/>
          <w:sz w:val="26"/>
          <w:szCs w:val="26"/>
        </w:rPr>
        <w:lastRenderedPageBreak/>
        <w:t>Colonia Centro, Municipio de Oaxaca de Juárez, Oaxaca, Código Postal 68000.</w:t>
      </w:r>
    </w:p>
    <w:p w:rsidR="0094234B" w:rsidRPr="00C43594" w:rsidRDefault="0094234B" w:rsidP="0094234B">
      <w:pPr>
        <w:spacing w:line="360" w:lineRule="auto"/>
        <w:ind w:firstLine="708"/>
        <w:jc w:val="both"/>
        <w:rPr>
          <w:rFonts w:ascii="Arial" w:eastAsia="Times New Roman" w:hAnsi="Arial" w:cs="Arial"/>
          <w:sz w:val="26"/>
          <w:szCs w:val="26"/>
          <w:lang w:eastAsia="es-MX"/>
        </w:rPr>
      </w:pPr>
      <w:r w:rsidRPr="00C43594">
        <w:rPr>
          <w:rFonts w:ascii="Arial" w:eastAsia="Times New Roman" w:hAnsi="Arial" w:cs="Arial"/>
          <w:sz w:val="26"/>
          <w:szCs w:val="26"/>
          <w:lang w:eastAsia="es-MX"/>
        </w:rPr>
        <w:t xml:space="preserve">Así por </w:t>
      </w:r>
      <w:r w:rsidR="00FE5FEA">
        <w:rPr>
          <w:rFonts w:ascii="Arial" w:eastAsia="Times New Roman" w:hAnsi="Arial" w:cs="Arial"/>
          <w:sz w:val="26"/>
          <w:szCs w:val="26"/>
          <w:lang w:eastAsia="es-MX"/>
        </w:rPr>
        <w:t>unanimidad</w:t>
      </w:r>
      <w:r w:rsidRPr="00C43594">
        <w:rPr>
          <w:rFonts w:ascii="Arial" w:eastAsia="Times New Roman" w:hAnsi="Arial" w:cs="Arial"/>
          <w:sz w:val="26"/>
          <w:szCs w:val="26"/>
          <w:lang w:eastAsia="es-MX"/>
        </w:rPr>
        <w:t xml:space="preserve"> de votos, lo resolvieron y firmaron los Magistrados integrantes de la Sala Superior del Tribunal de Justicia Administrativa del Estado de Oaxaca; quienes actúan con la Secretaria General de Acuerdos de este Tribunal, que autoriza y da fe.</w:t>
      </w:r>
    </w:p>
    <w:p w:rsidR="0094234B" w:rsidRPr="00C43594" w:rsidRDefault="0094234B" w:rsidP="0094234B">
      <w:pPr>
        <w:tabs>
          <w:tab w:val="left" w:pos="1985"/>
        </w:tabs>
        <w:spacing w:line="360" w:lineRule="auto"/>
        <w:ind w:firstLine="708"/>
        <w:jc w:val="both"/>
        <w:rPr>
          <w:rFonts w:ascii="Arial" w:hAnsi="Arial" w:cs="Arial"/>
          <w:bCs/>
          <w:sz w:val="26"/>
          <w:szCs w:val="26"/>
        </w:rPr>
      </w:pPr>
    </w:p>
    <w:p w:rsidR="001C5A99" w:rsidRDefault="001C5A99" w:rsidP="0094234B">
      <w:pPr>
        <w:tabs>
          <w:tab w:val="left" w:pos="1985"/>
        </w:tabs>
        <w:spacing w:line="360" w:lineRule="auto"/>
        <w:jc w:val="both"/>
        <w:rPr>
          <w:rFonts w:ascii="Arial" w:hAnsi="Arial" w:cs="Arial"/>
          <w:bCs/>
          <w:sz w:val="26"/>
          <w:szCs w:val="26"/>
        </w:rPr>
      </w:pPr>
    </w:p>
    <w:p w:rsidR="0094234B" w:rsidRDefault="0094234B" w:rsidP="0094234B">
      <w:pPr>
        <w:tabs>
          <w:tab w:val="left" w:pos="1985"/>
        </w:tabs>
        <w:spacing w:line="360" w:lineRule="auto"/>
        <w:jc w:val="both"/>
        <w:rPr>
          <w:rFonts w:ascii="Arial" w:hAnsi="Arial" w:cs="Arial"/>
          <w:bCs/>
          <w:sz w:val="26"/>
          <w:szCs w:val="26"/>
        </w:rPr>
      </w:pPr>
    </w:p>
    <w:p w:rsidR="00B24BD8" w:rsidRDefault="00B24BD8" w:rsidP="0094234B">
      <w:pPr>
        <w:tabs>
          <w:tab w:val="left" w:pos="1985"/>
        </w:tabs>
        <w:spacing w:line="360" w:lineRule="auto"/>
        <w:jc w:val="both"/>
        <w:rPr>
          <w:rFonts w:ascii="Arial" w:hAnsi="Arial" w:cs="Arial"/>
          <w:bCs/>
          <w:sz w:val="26"/>
          <w:szCs w:val="26"/>
        </w:rPr>
      </w:pPr>
    </w:p>
    <w:p w:rsidR="0094234B" w:rsidRDefault="0094234B" w:rsidP="0094234B">
      <w:pPr>
        <w:jc w:val="center"/>
        <w:rPr>
          <w:rFonts w:ascii="Arial" w:hAnsi="Arial" w:cs="Arial"/>
          <w:sz w:val="26"/>
          <w:szCs w:val="26"/>
        </w:rPr>
      </w:pPr>
      <w:r>
        <w:rPr>
          <w:rFonts w:ascii="Arial" w:hAnsi="Arial" w:cs="Arial"/>
          <w:sz w:val="26"/>
          <w:szCs w:val="26"/>
        </w:rPr>
        <w:t>MAGISTRADO ADRIÁN QUIROGA AVENDAÑO.</w:t>
      </w:r>
    </w:p>
    <w:p w:rsidR="0094234B" w:rsidRDefault="0094234B" w:rsidP="0094234B">
      <w:pPr>
        <w:jc w:val="center"/>
        <w:rPr>
          <w:rFonts w:ascii="Arial" w:hAnsi="Arial" w:cs="Arial"/>
          <w:sz w:val="26"/>
          <w:szCs w:val="26"/>
        </w:rPr>
      </w:pPr>
      <w:r>
        <w:rPr>
          <w:rFonts w:ascii="Arial" w:hAnsi="Arial" w:cs="Arial"/>
          <w:sz w:val="26"/>
          <w:szCs w:val="26"/>
        </w:rPr>
        <w:t>PRESIDENTE</w:t>
      </w:r>
    </w:p>
    <w:p w:rsidR="004E17DE" w:rsidRDefault="004E17DE" w:rsidP="0094234B">
      <w:pPr>
        <w:jc w:val="center"/>
        <w:rPr>
          <w:rFonts w:ascii="Arial" w:hAnsi="Arial" w:cs="Arial"/>
          <w:sz w:val="26"/>
          <w:szCs w:val="26"/>
        </w:rPr>
      </w:pPr>
    </w:p>
    <w:p w:rsidR="004E17DE" w:rsidRDefault="004E17DE" w:rsidP="004E17DE">
      <w:pPr>
        <w:spacing w:line="360" w:lineRule="auto"/>
        <w:rPr>
          <w:rFonts w:ascii="Arial" w:hAnsi="Arial" w:cs="Arial"/>
          <w:sz w:val="26"/>
          <w:szCs w:val="26"/>
        </w:rPr>
      </w:pPr>
    </w:p>
    <w:p w:rsidR="0094234B" w:rsidRDefault="0094234B" w:rsidP="0094234B">
      <w:pPr>
        <w:jc w:val="center"/>
        <w:rPr>
          <w:rFonts w:ascii="Arial" w:hAnsi="Arial" w:cs="Arial"/>
          <w:sz w:val="26"/>
          <w:szCs w:val="26"/>
        </w:rPr>
      </w:pPr>
    </w:p>
    <w:p w:rsidR="00B24BD8" w:rsidRDefault="00B24BD8" w:rsidP="0094234B">
      <w:pPr>
        <w:rPr>
          <w:rFonts w:ascii="Arial" w:hAnsi="Arial" w:cs="Arial"/>
          <w:sz w:val="26"/>
          <w:szCs w:val="26"/>
        </w:rPr>
      </w:pPr>
    </w:p>
    <w:p w:rsidR="00B24BD8" w:rsidRDefault="00B24BD8" w:rsidP="0094234B">
      <w:pPr>
        <w:rPr>
          <w:rFonts w:ascii="Arial" w:hAnsi="Arial" w:cs="Arial"/>
          <w:sz w:val="26"/>
          <w:szCs w:val="26"/>
        </w:rPr>
      </w:pPr>
    </w:p>
    <w:p w:rsidR="0094234B" w:rsidRDefault="0094234B" w:rsidP="00751444">
      <w:pPr>
        <w:rPr>
          <w:rFonts w:ascii="Arial" w:hAnsi="Arial" w:cs="Arial"/>
          <w:sz w:val="26"/>
          <w:szCs w:val="26"/>
        </w:rPr>
      </w:pPr>
    </w:p>
    <w:p w:rsidR="0094234B" w:rsidRDefault="0094234B" w:rsidP="001C5A99">
      <w:pPr>
        <w:spacing w:line="360" w:lineRule="auto"/>
        <w:jc w:val="center"/>
        <w:rPr>
          <w:rFonts w:ascii="Arial" w:hAnsi="Arial" w:cs="Arial"/>
          <w:sz w:val="26"/>
          <w:szCs w:val="26"/>
        </w:rPr>
      </w:pPr>
      <w:r>
        <w:rPr>
          <w:rFonts w:ascii="Arial" w:hAnsi="Arial" w:cs="Arial"/>
          <w:sz w:val="26"/>
          <w:szCs w:val="26"/>
        </w:rPr>
        <w:t>MAGISTRADO HUGO VILLEGAS AQUINO.</w:t>
      </w:r>
    </w:p>
    <w:p w:rsidR="001C5A99" w:rsidRDefault="001C5A99" w:rsidP="0094234B">
      <w:pPr>
        <w:spacing w:line="360" w:lineRule="auto"/>
        <w:jc w:val="center"/>
        <w:rPr>
          <w:rFonts w:ascii="Arial" w:hAnsi="Arial" w:cs="Arial"/>
          <w:b/>
          <w:sz w:val="14"/>
          <w:szCs w:val="26"/>
        </w:rPr>
      </w:pPr>
    </w:p>
    <w:p w:rsidR="001C5A99" w:rsidRDefault="001C5A99" w:rsidP="0094234B">
      <w:pPr>
        <w:spacing w:line="360" w:lineRule="auto"/>
        <w:jc w:val="center"/>
        <w:rPr>
          <w:rFonts w:ascii="Arial" w:hAnsi="Arial" w:cs="Arial"/>
          <w:b/>
          <w:sz w:val="14"/>
          <w:szCs w:val="26"/>
        </w:rPr>
      </w:pPr>
    </w:p>
    <w:p w:rsidR="001C5A99" w:rsidRDefault="001C5A99" w:rsidP="0094234B">
      <w:pPr>
        <w:spacing w:line="360" w:lineRule="auto"/>
        <w:jc w:val="center"/>
        <w:rPr>
          <w:rFonts w:ascii="Arial" w:hAnsi="Arial" w:cs="Arial"/>
          <w:b/>
          <w:sz w:val="14"/>
          <w:szCs w:val="26"/>
        </w:rPr>
      </w:pPr>
    </w:p>
    <w:p w:rsidR="001C5A99" w:rsidRDefault="001C5A99" w:rsidP="0094234B">
      <w:pPr>
        <w:spacing w:line="360" w:lineRule="auto"/>
        <w:jc w:val="center"/>
        <w:rPr>
          <w:rFonts w:ascii="Arial" w:hAnsi="Arial" w:cs="Arial"/>
          <w:b/>
          <w:sz w:val="14"/>
          <w:szCs w:val="26"/>
        </w:rPr>
      </w:pPr>
    </w:p>
    <w:p w:rsidR="001C5A99" w:rsidRDefault="001C5A99" w:rsidP="0094234B">
      <w:pPr>
        <w:spacing w:line="360" w:lineRule="auto"/>
        <w:jc w:val="center"/>
        <w:rPr>
          <w:rFonts w:ascii="Arial" w:hAnsi="Arial" w:cs="Arial"/>
          <w:b/>
          <w:sz w:val="14"/>
          <w:szCs w:val="26"/>
        </w:rPr>
      </w:pPr>
    </w:p>
    <w:p w:rsidR="0094234B" w:rsidRDefault="0094234B" w:rsidP="00E5750D">
      <w:pPr>
        <w:spacing w:line="360" w:lineRule="auto"/>
        <w:rPr>
          <w:rFonts w:ascii="Arial" w:hAnsi="Arial" w:cs="Arial"/>
          <w:sz w:val="26"/>
          <w:szCs w:val="26"/>
        </w:rPr>
      </w:pPr>
    </w:p>
    <w:p w:rsidR="00E9487A" w:rsidRDefault="00E9487A" w:rsidP="00E5750D">
      <w:pPr>
        <w:spacing w:line="360" w:lineRule="auto"/>
        <w:rPr>
          <w:rFonts w:ascii="Arial" w:hAnsi="Arial" w:cs="Arial"/>
          <w:sz w:val="26"/>
          <w:szCs w:val="26"/>
        </w:rPr>
      </w:pPr>
    </w:p>
    <w:p w:rsidR="0094234B" w:rsidRDefault="0094234B" w:rsidP="0094234B">
      <w:pPr>
        <w:spacing w:line="360" w:lineRule="auto"/>
        <w:jc w:val="center"/>
        <w:rPr>
          <w:rFonts w:ascii="Arial" w:hAnsi="Arial" w:cs="Arial"/>
          <w:sz w:val="26"/>
          <w:szCs w:val="26"/>
        </w:rPr>
      </w:pPr>
      <w:r>
        <w:rPr>
          <w:rFonts w:ascii="Arial" w:hAnsi="Arial" w:cs="Arial"/>
          <w:sz w:val="26"/>
          <w:szCs w:val="26"/>
        </w:rPr>
        <w:t>MAGISTRADO ENRIQUE PACHECO MARTÍNEZ.</w:t>
      </w:r>
    </w:p>
    <w:p w:rsidR="0003505B" w:rsidRDefault="0003505B" w:rsidP="00E5750D">
      <w:pPr>
        <w:spacing w:line="360" w:lineRule="auto"/>
        <w:rPr>
          <w:rFonts w:ascii="Arial" w:hAnsi="Arial" w:cs="Arial"/>
          <w:sz w:val="26"/>
          <w:szCs w:val="26"/>
        </w:rPr>
      </w:pPr>
    </w:p>
    <w:p w:rsidR="0094234B" w:rsidRDefault="0094234B" w:rsidP="0094234B">
      <w:pPr>
        <w:spacing w:line="360" w:lineRule="auto"/>
        <w:jc w:val="center"/>
        <w:rPr>
          <w:rFonts w:ascii="Arial" w:hAnsi="Arial" w:cs="Arial"/>
          <w:sz w:val="26"/>
          <w:szCs w:val="26"/>
        </w:rPr>
      </w:pPr>
    </w:p>
    <w:p w:rsidR="0094234B" w:rsidRDefault="0094234B" w:rsidP="0094234B">
      <w:pPr>
        <w:spacing w:line="360" w:lineRule="auto"/>
        <w:jc w:val="center"/>
        <w:rPr>
          <w:rFonts w:ascii="Arial" w:hAnsi="Arial" w:cs="Arial"/>
          <w:sz w:val="26"/>
          <w:szCs w:val="26"/>
        </w:rPr>
      </w:pPr>
    </w:p>
    <w:p w:rsidR="00751444" w:rsidRDefault="00751444" w:rsidP="0094234B">
      <w:pPr>
        <w:spacing w:line="360" w:lineRule="auto"/>
        <w:jc w:val="center"/>
        <w:rPr>
          <w:rFonts w:ascii="Arial" w:hAnsi="Arial" w:cs="Arial"/>
          <w:sz w:val="26"/>
          <w:szCs w:val="26"/>
        </w:rPr>
      </w:pPr>
    </w:p>
    <w:p w:rsidR="0094234B" w:rsidRDefault="0094234B" w:rsidP="0094234B">
      <w:pPr>
        <w:spacing w:line="360" w:lineRule="auto"/>
        <w:jc w:val="center"/>
        <w:rPr>
          <w:rFonts w:ascii="Arial" w:hAnsi="Arial" w:cs="Arial"/>
          <w:sz w:val="26"/>
          <w:szCs w:val="26"/>
        </w:rPr>
      </w:pPr>
      <w:r>
        <w:rPr>
          <w:rFonts w:ascii="Arial" w:hAnsi="Arial" w:cs="Arial"/>
          <w:sz w:val="26"/>
          <w:szCs w:val="26"/>
        </w:rPr>
        <w:t>MAGISTRADA MARÍA ELENA VILLA DE JARQUÍN</w:t>
      </w:r>
    </w:p>
    <w:p w:rsidR="0094234B" w:rsidRDefault="0094234B" w:rsidP="0094234B">
      <w:pPr>
        <w:spacing w:line="360" w:lineRule="auto"/>
        <w:jc w:val="center"/>
        <w:rPr>
          <w:rFonts w:ascii="Arial" w:hAnsi="Arial" w:cs="Arial"/>
          <w:sz w:val="26"/>
          <w:szCs w:val="26"/>
        </w:rPr>
      </w:pPr>
    </w:p>
    <w:p w:rsidR="0094234B" w:rsidRDefault="0094234B" w:rsidP="0094234B">
      <w:pPr>
        <w:spacing w:line="360" w:lineRule="auto"/>
        <w:rPr>
          <w:rFonts w:ascii="Arial" w:hAnsi="Arial" w:cs="Arial"/>
          <w:sz w:val="26"/>
          <w:szCs w:val="26"/>
        </w:rPr>
      </w:pPr>
    </w:p>
    <w:p w:rsidR="001C5A99" w:rsidRDefault="001C5A99" w:rsidP="0094234B">
      <w:pPr>
        <w:spacing w:line="360" w:lineRule="auto"/>
        <w:rPr>
          <w:rFonts w:ascii="Arial" w:hAnsi="Arial" w:cs="Arial"/>
          <w:sz w:val="26"/>
          <w:szCs w:val="26"/>
        </w:rPr>
      </w:pPr>
    </w:p>
    <w:p w:rsidR="0094234B" w:rsidRDefault="0094234B" w:rsidP="0094234B">
      <w:pPr>
        <w:spacing w:line="360" w:lineRule="auto"/>
        <w:jc w:val="center"/>
        <w:rPr>
          <w:rFonts w:ascii="Arial" w:hAnsi="Arial" w:cs="Arial"/>
          <w:sz w:val="26"/>
          <w:szCs w:val="26"/>
        </w:rPr>
      </w:pPr>
    </w:p>
    <w:p w:rsidR="0094234B" w:rsidRDefault="0094234B" w:rsidP="0094234B">
      <w:pPr>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94234B" w:rsidRDefault="0094234B" w:rsidP="0094234B">
      <w:pPr>
        <w:jc w:val="center"/>
        <w:rPr>
          <w:rFonts w:ascii="Arial" w:eastAsia="Times New Roman" w:hAnsi="Arial" w:cs="Arial"/>
          <w:sz w:val="26"/>
          <w:szCs w:val="26"/>
          <w:lang w:eastAsia="es-MX"/>
        </w:rPr>
      </w:pPr>
    </w:p>
    <w:p w:rsidR="0094234B" w:rsidRDefault="0094234B" w:rsidP="0094234B">
      <w:pPr>
        <w:jc w:val="center"/>
        <w:rPr>
          <w:rFonts w:ascii="Arial" w:eastAsia="Times New Roman" w:hAnsi="Arial" w:cs="Arial"/>
          <w:sz w:val="26"/>
          <w:szCs w:val="26"/>
          <w:lang w:eastAsia="es-MX"/>
        </w:rPr>
      </w:pPr>
    </w:p>
    <w:p w:rsidR="0094234B" w:rsidRDefault="0094234B" w:rsidP="0094234B">
      <w:pPr>
        <w:jc w:val="center"/>
        <w:rPr>
          <w:rFonts w:ascii="Arial" w:eastAsia="Times New Roman" w:hAnsi="Arial" w:cs="Arial"/>
          <w:sz w:val="26"/>
          <w:szCs w:val="26"/>
          <w:lang w:eastAsia="es-MX"/>
        </w:rPr>
      </w:pPr>
    </w:p>
    <w:p w:rsidR="001C5A99" w:rsidRDefault="001C5A99" w:rsidP="0094234B">
      <w:pPr>
        <w:rPr>
          <w:rFonts w:ascii="Arial" w:eastAsia="Times New Roman" w:hAnsi="Arial" w:cs="Arial"/>
          <w:sz w:val="26"/>
          <w:szCs w:val="26"/>
          <w:lang w:eastAsia="es-MX"/>
        </w:rPr>
      </w:pPr>
    </w:p>
    <w:p w:rsidR="0094234B" w:rsidRDefault="0094234B" w:rsidP="0094234B">
      <w:pPr>
        <w:rPr>
          <w:rFonts w:ascii="Arial" w:eastAsia="Times New Roman" w:hAnsi="Arial" w:cs="Arial"/>
          <w:sz w:val="26"/>
          <w:szCs w:val="26"/>
          <w:lang w:eastAsia="es-MX"/>
        </w:rPr>
      </w:pPr>
    </w:p>
    <w:p w:rsidR="0094234B" w:rsidRDefault="0094234B" w:rsidP="0094234B">
      <w:pPr>
        <w:jc w:val="center"/>
        <w:rPr>
          <w:rFonts w:ascii="Arial" w:eastAsia="Times New Roman" w:hAnsi="Arial" w:cs="Arial"/>
          <w:sz w:val="26"/>
          <w:szCs w:val="26"/>
          <w:lang w:eastAsia="es-MX"/>
        </w:rPr>
      </w:pPr>
    </w:p>
    <w:p w:rsidR="0094234B" w:rsidRDefault="0094234B" w:rsidP="0094234B">
      <w:pPr>
        <w:jc w:val="center"/>
        <w:rPr>
          <w:rFonts w:ascii="Arial" w:hAnsi="Arial" w:cs="Arial"/>
          <w:sz w:val="26"/>
          <w:szCs w:val="26"/>
        </w:rPr>
      </w:pPr>
      <w:r>
        <w:rPr>
          <w:rFonts w:ascii="Arial" w:hAnsi="Arial" w:cs="Arial"/>
          <w:sz w:val="26"/>
          <w:szCs w:val="26"/>
        </w:rPr>
        <w:t>LICENCIADA LETICIA GARCIA SOTO.</w:t>
      </w:r>
    </w:p>
    <w:p w:rsidR="00691BFA" w:rsidRPr="00F6655D" w:rsidRDefault="0094234B" w:rsidP="00E5750D">
      <w:pPr>
        <w:jc w:val="center"/>
        <w:rPr>
          <w:rFonts w:ascii="Arial" w:hAnsi="Arial" w:cs="Arial"/>
          <w:sz w:val="26"/>
          <w:szCs w:val="26"/>
        </w:rPr>
      </w:pPr>
      <w:r>
        <w:rPr>
          <w:rFonts w:ascii="Arial" w:hAnsi="Arial" w:cs="Arial"/>
          <w:sz w:val="26"/>
          <w:szCs w:val="26"/>
        </w:rPr>
        <w:lastRenderedPageBreak/>
        <w:t xml:space="preserve">  SECRETARIA GENERAL DE ACUERDOS.</w:t>
      </w:r>
    </w:p>
    <w:sectPr w:rsidR="00691BFA" w:rsidRPr="00F6655D" w:rsidSect="00231CEF">
      <w:headerReference w:type="even" r:id="rId8"/>
      <w:headerReference w:type="default" r:id="rId9"/>
      <w:footerReference w:type="even" r:id="rId10"/>
      <w:footerReference w:type="default" r:id="rId11"/>
      <w:headerReference w:type="first" r:id="rId12"/>
      <w:footerReference w:type="first" r:id="rId13"/>
      <w:pgSz w:w="12240" w:h="20160" w:code="5"/>
      <w:pgMar w:top="1701"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57A" w:rsidRDefault="000B657A">
      <w:r>
        <w:separator/>
      </w:r>
    </w:p>
  </w:endnote>
  <w:endnote w:type="continuationSeparator" w:id="0">
    <w:p w:rsidR="000B657A" w:rsidRDefault="000B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912" w:rsidRDefault="00AD591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912" w:rsidRDefault="00AD591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912" w:rsidRDefault="00AD59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57A" w:rsidRDefault="000B657A">
      <w:r>
        <w:separator/>
      </w:r>
    </w:p>
  </w:footnote>
  <w:footnote w:type="continuationSeparator" w:id="0">
    <w:p w:rsidR="000B657A" w:rsidRDefault="000B657A">
      <w:r>
        <w:continuationSeparator/>
      </w:r>
    </w:p>
  </w:footnote>
  <w:footnote w:id="1">
    <w:p w:rsidR="00E9487A" w:rsidRPr="00B57EC7" w:rsidRDefault="00E9487A" w:rsidP="00E9487A">
      <w:pPr>
        <w:pStyle w:val="Textonotapie"/>
        <w:jc w:val="both"/>
        <w:rPr>
          <w:lang w:val="es-MX"/>
        </w:rPr>
      </w:pPr>
      <w:r>
        <w:rPr>
          <w:rStyle w:val="Refdenotaalpie"/>
        </w:rPr>
        <w:footnoteRef/>
      </w:r>
      <w:r>
        <w:t xml:space="preserve"> </w:t>
      </w:r>
      <w:r>
        <w:rPr>
          <w:lang w:val="es-MX"/>
        </w:rPr>
        <w:t>“</w:t>
      </w:r>
      <w:r>
        <w:rPr>
          <w:b/>
          <w:lang w:val="es-MX"/>
        </w:rPr>
        <w:t xml:space="preserve">QUINTO.- </w:t>
      </w:r>
      <w:r>
        <w:rPr>
          <w:lang w:val="es-MX"/>
        </w:rPr>
        <w:t>Los procedimientos que se encuentren en trámite a la entrada en vigor de la presente Ley serán tramitados y concluidos conforme a las disposiciones legales vigentes a su inicio.”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334058"/>
      <w:docPartObj>
        <w:docPartGallery w:val="Page Numbers (Top of Page)"/>
        <w:docPartUnique/>
      </w:docPartObj>
    </w:sdtPr>
    <w:sdtEndPr/>
    <w:sdtContent>
      <w:p w:rsidR="00FB125E" w:rsidRDefault="006737E5">
        <w:pPr>
          <w:pStyle w:val="Encabezado"/>
          <w:jc w:val="center"/>
        </w:pPr>
        <w:r>
          <w:fldChar w:fldCharType="begin"/>
        </w:r>
        <w:r w:rsidR="005F57B9">
          <w:instrText>PAGE   \* MERGEFORMAT</w:instrText>
        </w:r>
        <w:r>
          <w:fldChar w:fldCharType="separate"/>
        </w:r>
        <w:r w:rsidR="00AD5912">
          <w:rPr>
            <w:noProof/>
          </w:rPr>
          <w:t>2</w:t>
        </w:r>
        <w:r>
          <w:rPr>
            <w:noProof/>
          </w:rPr>
          <w:fldChar w:fldCharType="end"/>
        </w:r>
      </w:p>
    </w:sdtContent>
  </w:sdt>
  <w:p w:rsidR="00FB125E" w:rsidRDefault="00AD5912">
    <w:pPr>
      <w:pStyle w:val="Encabezado"/>
    </w:pPr>
    <w:bookmarkStart w:id="0" w:name="_GoBack"/>
    <w:r>
      <w:rPr>
        <w:noProof/>
        <w:lang w:eastAsia="es-MX"/>
      </w:rPr>
      <w:drawing>
        <wp:anchor distT="0" distB="0" distL="114300" distR="114300" simplePos="0" relativeHeight="251660800" behindDoc="0" locked="0" layoutInCell="1" allowOverlap="1" wp14:anchorId="0E875265" wp14:editId="787097C6">
          <wp:simplePos x="0" y="0"/>
          <wp:positionH relativeFrom="column">
            <wp:posOffset>5468767</wp:posOffset>
          </wp:positionH>
          <wp:positionV relativeFrom="paragraph">
            <wp:posOffset>4860485</wp:posOffset>
          </wp:positionV>
          <wp:extent cx="1188720" cy="1122045"/>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881914"/>
      <w:docPartObj>
        <w:docPartGallery w:val="Page Numbers (Top of Page)"/>
        <w:docPartUnique/>
      </w:docPartObj>
    </w:sdtPr>
    <w:sdtEndPr/>
    <w:sdtContent>
      <w:p w:rsidR="00FB125E" w:rsidRDefault="006737E5" w:rsidP="00D2291D">
        <w:pPr>
          <w:pStyle w:val="Encabezado"/>
          <w:jc w:val="center"/>
          <w:rPr>
            <w:noProof/>
          </w:rPr>
        </w:pPr>
        <w:r>
          <w:fldChar w:fldCharType="begin"/>
        </w:r>
        <w:r w:rsidR="005F57B9">
          <w:instrText xml:space="preserve"> PAGE   \* MERGEFORMAT </w:instrText>
        </w:r>
        <w:r>
          <w:fldChar w:fldCharType="separate"/>
        </w:r>
        <w:r w:rsidR="00AD5912">
          <w:rPr>
            <w:noProof/>
          </w:rPr>
          <w:t>3</w:t>
        </w:r>
        <w:r>
          <w:rPr>
            <w:noProof/>
          </w:rPr>
          <w:fldChar w:fldCharType="end"/>
        </w:r>
      </w:p>
      <w:p w:rsidR="00AD5912" w:rsidRDefault="000B657A" w:rsidP="00D2291D">
        <w:pPr>
          <w:pStyle w:val="Encabezado"/>
          <w:jc w:val="center"/>
        </w:pPr>
      </w:p>
    </w:sdtContent>
  </w:sdt>
  <w:p w:rsidR="00FB125E" w:rsidRDefault="00FB125E" w:rsidP="00D2291D">
    <w:pPr>
      <w:pStyle w:val="Encabezado"/>
      <w:jc w:val="center"/>
    </w:pPr>
  </w:p>
  <w:p w:rsidR="00FB125E" w:rsidRDefault="00AD5912" w:rsidP="00D2291D">
    <w:pPr>
      <w:pStyle w:val="Encabezado"/>
      <w:tabs>
        <w:tab w:val="left" w:pos="142"/>
      </w:tabs>
      <w:ind w:left="284"/>
    </w:pPr>
    <w:r>
      <w:rPr>
        <w:noProof/>
        <w:lang w:eastAsia="es-MX"/>
      </w:rPr>
      <w:drawing>
        <wp:anchor distT="0" distB="0" distL="114300" distR="114300" simplePos="0" relativeHeight="251659776" behindDoc="0" locked="0" layoutInCell="1" allowOverlap="1" wp14:anchorId="5EAB2E13" wp14:editId="68137A33">
          <wp:simplePos x="0" y="0"/>
          <wp:positionH relativeFrom="column">
            <wp:posOffset>-1495230</wp:posOffset>
          </wp:positionH>
          <wp:positionV relativeFrom="paragraph">
            <wp:posOffset>5495534</wp:posOffset>
          </wp:positionV>
          <wp:extent cx="1188720" cy="1122045"/>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r w:rsidR="00FB125E" w:rsidRPr="003E6AD7">
      <w:rPr>
        <w:noProof/>
        <w:lang w:val="es-MX" w:eastAsia="es-MX"/>
      </w:rPr>
      <w:drawing>
        <wp:anchor distT="0" distB="0" distL="114300" distR="114300" simplePos="0" relativeHeight="251658752" behindDoc="0" locked="0" layoutInCell="1" allowOverlap="1" wp14:anchorId="18C1B22D" wp14:editId="59DD20D8">
          <wp:simplePos x="0" y="0"/>
          <wp:positionH relativeFrom="page">
            <wp:posOffset>384276</wp:posOffset>
          </wp:positionH>
          <wp:positionV relativeFrom="paragraph">
            <wp:posOffset>4179770</wp:posOffset>
          </wp:positionV>
          <wp:extent cx="1118870" cy="974725"/>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anchor>
      </w:drawing>
    </w:r>
    <w:r w:rsidR="00FB125E">
      <w:rPr>
        <w:noProof/>
        <w:lang w:val="es-MX" w:eastAsia="es-MX"/>
      </w:rPr>
      <w:drawing>
        <wp:anchor distT="0" distB="0" distL="114300" distR="114300" simplePos="0" relativeHeight="251655680" behindDoc="1" locked="0" layoutInCell="1" allowOverlap="1" wp14:anchorId="1341D6AA" wp14:editId="5FD4E337">
          <wp:simplePos x="0" y="0"/>
          <wp:positionH relativeFrom="column">
            <wp:posOffset>-67678</wp:posOffset>
          </wp:positionH>
          <wp:positionV relativeFrom="paragraph">
            <wp:posOffset>3699076</wp:posOffset>
          </wp:positionV>
          <wp:extent cx="5489734" cy="364109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93135" cy="3643346"/>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912" w:rsidRDefault="00AD59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5F10CC2"/>
    <w:multiLevelType w:val="hybridMultilevel"/>
    <w:tmpl w:val="22800AF4"/>
    <w:lvl w:ilvl="0" w:tplc="8C3A0390">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0EC70DF8"/>
    <w:multiLevelType w:val="hybridMultilevel"/>
    <w:tmpl w:val="05DC2CAA"/>
    <w:lvl w:ilvl="0" w:tplc="729C5CF8">
      <w:start w:val="1"/>
      <w:numFmt w:val="decimal"/>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107F0679"/>
    <w:multiLevelType w:val="hybridMultilevel"/>
    <w:tmpl w:val="709C689C"/>
    <w:lvl w:ilvl="0" w:tplc="D3282B9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194D5ED1"/>
    <w:multiLevelType w:val="hybridMultilevel"/>
    <w:tmpl w:val="B44AEF36"/>
    <w:lvl w:ilvl="0" w:tplc="C554B22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0">
    <w:nsid w:val="24C12749"/>
    <w:multiLevelType w:val="hybridMultilevel"/>
    <w:tmpl w:val="1C00AAE4"/>
    <w:lvl w:ilvl="0" w:tplc="739EF1D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259C160B"/>
    <w:multiLevelType w:val="hybridMultilevel"/>
    <w:tmpl w:val="1A5C96EE"/>
    <w:lvl w:ilvl="0" w:tplc="56F20D7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FBC009B"/>
    <w:multiLevelType w:val="hybridMultilevel"/>
    <w:tmpl w:val="7756A0A0"/>
    <w:lvl w:ilvl="0" w:tplc="25F8F99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BE2014D"/>
    <w:multiLevelType w:val="hybridMultilevel"/>
    <w:tmpl w:val="7E9A6B98"/>
    <w:lvl w:ilvl="0" w:tplc="0754754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45947F36"/>
    <w:multiLevelType w:val="hybridMultilevel"/>
    <w:tmpl w:val="550C1266"/>
    <w:lvl w:ilvl="0" w:tplc="6004DA4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45A5170C"/>
    <w:multiLevelType w:val="hybridMultilevel"/>
    <w:tmpl w:val="44E21A82"/>
    <w:lvl w:ilvl="0" w:tplc="7C009B0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21">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nsid w:val="69133B87"/>
    <w:multiLevelType w:val="hybridMultilevel"/>
    <w:tmpl w:val="14E6218E"/>
    <w:lvl w:ilvl="0" w:tplc="D5663A90">
      <w:numFmt w:val="bullet"/>
      <w:lvlText w:val="-"/>
      <w:lvlJc w:val="left"/>
      <w:pPr>
        <w:ind w:left="1211" w:hanging="360"/>
      </w:pPr>
      <w:rPr>
        <w:rFonts w:ascii="Arial" w:eastAsia="Calibri" w:hAnsi="Aria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23">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3"/>
  </w:num>
  <w:num w:numId="2">
    <w:abstractNumId w:val="8"/>
  </w:num>
  <w:num w:numId="3">
    <w:abstractNumId w:val="23"/>
  </w:num>
  <w:num w:numId="4">
    <w:abstractNumId w:val="20"/>
  </w:num>
  <w:num w:numId="5">
    <w:abstractNumId w:val="5"/>
  </w:num>
  <w:num w:numId="6">
    <w:abstractNumId w:val="24"/>
  </w:num>
  <w:num w:numId="7">
    <w:abstractNumId w:val="0"/>
  </w:num>
  <w:num w:numId="8">
    <w:abstractNumId w:val="21"/>
  </w:num>
  <w:num w:numId="9">
    <w:abstractNumId w:val="15"/>
  </w:num>
  <w:num w:numId="10">
    <w:abstractNumId w:val="9"/>
  </w:num>
  <w:num w:numId="11">
    <w:abstractNumId w:val="12"/>
  </w:num>
  <w:num w:numId="12">
    <w:abstractNumId w:val="18"/>
  </w:num>
  <w:num w:numId="13">
    <w:abstractNumId w:val="7"/>
  </w:num>
  <w:num w:numId="14">
    <w:abstractNumId w:val="22"/>
  </w:num>
  <w:num w:numId="15">
    <w:abstractNumId w:val="19"/>
  </w:num>
  <w:num w:numId="16">
    <w:abstractNumId w:val="4"/>
  </w:num>
  <w:num w:numId="17">
    <w:abstractNumId w:val="2"/>
  </w:num>
  <w:num w:numId="18">
    <w:abstractNumId w:val="16"/>
  </w:num>
  <w:num w:numId="19">
    <w:abstractNumId w:val="14"/>
  </w:num>
  <w:num w:numId="20">
    <w:abstractNumId w:val="17"/>
  </w:num>
  <w:num w:numId="21">
    <w:abstractNumId w:val="11"/>
  </w:num>
  <w:num w:numId="22">
    <w:abstractNumId w:val="10"/>
  </w:num>
  <w:num w:numId="23">
    <w:abstractNumId w:val="13"/>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0102"/>
    <w:rsid w:val="0000073E"/>
    <w:rsid w:val="00001FFF"/>
    <w:rsid w:val="0001223E"/>
    <w:rsid w:val="00012EC6"/>
    <w:rsid w:val="00021E6D"/>
    <w:rsid w:val="00030E03"/>
    <w:rsid w:val="00034661"/>
    <w:rsid w:val="0003505B"/>
    <w:rsid w:val="00037EC5"/>
    <w:rsid w:val="00040812"/>
    <w:rsid w:val="00040C9F"/>
    <w:rsid w:val="00042043"/>
    <w:rsid w:val="0005133C"/>
    <w:rsid w:val="000515DF"/>
    <w:rsid w:val="000533D8"/>
    <w:rsid w:val="00055136"/>
    <w:rsid w:val="00055982"/>
    <w:rsid w:val="0006676C"/>
    <w:rsid w:val="0007032E"/>
    <w:rsid w:val="0007417C"/>
    <w:rsid w:val="0007468A"/>
    <w:rsid w:val="0008024F"/>
    <w:rsid w:val="00092B64"/>
    <w:rsid w:val="00097D89"/>
    <w:rsid w:val="00097E70"/>
    <w:rsid w:val="000A0212"/>
    <w:rsid w:val="000A3C35"/>
    <w:rsid w:val="000B0E36"/>
    <w:rsid w:val="000B3E39"/>
    <w:rsid w:val="000B657A"/>
    <w:rsid w:val="000C16C8"/>
    <w:rsid w:val="000D1C5E"/>
    <w:rsid w:val="000D6F22"/>
    <w:rsid w:val="000E3723"/>
    <w:rsid w:val="000E4F90"/>
    <w:rsid w:val="000E7F47"/>
    <w:rsid w:val="000F1F12"/>
    <w:rsid w:val="000F3866"/>
    <w:rsid w:val="000F6BCD"/>
    <w:rsid w:val="0010116F"/>
    <w:rsid w:val="00112977"/>
    <w:rsid w:val="001233BF"/>
    <w:rsid w:val="001236FF"/>
    <w:rsid w:val="0012652F"/>
    <w:rsid w:val="00127CA2"/>
    <w:rsid w:val="00132D70"/>
    <w:rsid w:val="00134084"/>
    <w:rsid w:val="001346F2"/>
    <w:rsid w:val="00147F10"/>
    <w:rsid w:val="001548AE"/>
    <w:rsid w:val="00163736"/>
    <w:rsid w:val="00164724"/>
    <w:rsid w:val="00164900"/>
    <w:rsid w:val="00166448"/>
    <w:rsid w:val="00166DA6"/>
    <w:rsid w:val="00173F96"/>
    <w:rsid w:val="00185992"/>
    <w:rsid w:val="001866F5"/>
    <w:rsid w:val="00186E02"/>
    <w:rsid w:val="00190E4C"/>
    <w:rsid w:val="0019363B"/>
    <w:rsid w:val="00194DAA"/>
    <w:rsid w:val="00195BEA"/>
    <w:rsid w:val="001A7270"/>
    <w:rsid w:val="001B49BA"/>
    <w:rsid w:val="001B4BF9"/>
    <w:rsid w:val="001C362A"/>
    <w:rsid w:val="001C49AF"/>
    <w:rsid w:val="001C5A99"/>
    <w:rsid w:val="001D1CC8"/>
    <w:rsid w:val="001D449A"/>
    <w:rsid w:val="001E1D05"/>
    <w:rsid w:val="001E54F8"/>
    <w:rsid w:val="001E5ED9"/>
    <w:rsid w:val="001F2610"/>
    <w:rsid w:val="001F4169"/>
    <w:rsid w:val="001F5246"/>
    <w:rsid w:val="001F60FB"/>
    <w:rsid w:val="002120E1"/>
    <w:rsid w:val="002147B8"/>
    <w:rsid w:val="002150C4"/>
    <w:rsid w:val="002226C7"/>
    <w:rsid w:val="00222723"/>
    <w:rsid w:val="00231CEF"/>
    <w:rsid w:val="00232956"/>
    <w:rsid w:val="00240FFF"/>
    <w:rsid w:val="00243890"/>
    <w:rsid w:val="002451B0"/>
    <w:rsid w:val="002452C9"/>
    <w:rsid w:val="00247748"/>
    <w:rsid w:val="00251E5E"/>
    <w:rsid w:val="00261F8C"/>
    <w:rsid w:val="002620D1"/>
    <w:rsid w:val="00262D4D"/>
    <w:rsid w:val="00263F98"/>
    <w:rsid w:val="00264353"/>
    <w:rsid w:val="0026442C"/>
    <w:rsid w:val="002646CB"/>
    <w:rsid w:val="00270FA6"/>
    <w:rsid w:val="00276C24"/>
    <w:rsid w:val="00276E2E"/>
    <w:rsid w:val="00281445"/>
    <w:rsid w:val="002836DE"/>
    <w:rsid w:val="00284249"/>
    <w:rsid w:val="00284FCD"/>
    <w:rsid w:val="00286CD1"/>
    <w:rsid w:val="00296FB6"/>
    <w:rsid w:val="002A0206"/>
    <w:rsid w:val="002A0BBA"/>
    <w:rsid w:val="002A7840"/>
    <w:rsid w:val="002B3B6E"/>
    <w:rsid w:val="002B4000"/>
    <w:rsid w:val="002B6840"/>
    <w:rsid w:val="002B6B8E"/>
    <w:rsid w:val="002B720C"/>
    <w:rsid w:val="002C02F3"/>
    <w:rsid w:val="002C0700"/>
    <w:rsid w:val="002C2605"/>
    <w:rsid w:val="002D1A4A"/>
    <w:rsid w:val="002D3597"/>
    <w:rsid w:val="002D4556"/>
    <w:rsid w:val="002D6313"/>
    <w:rsid w:val="002E302D"/>
    <w:rsid w:val="002E3804"/>
    <w:rsid w:val="002F0C1F"/>
    <w:rsid w:val="002F3369"/>
    <w:rsid w:val="002F6D1A"/>
    <w:rsid w:val="003002FE"/>
    <w:rsid w:val="003007EB"/>
    <w:rsid w:val="0030322D"/>
    <w:rsid w:val="00304F4C"/>
    <w:rsid w:val="003060ED"/>
    <w:rsid w:val="003139A0"/>
    <w:rsid w:val="0031617B"/>
    <w:rsid w:val="0031617C"/>
    <w:rsid w:val="00316443"/>
    <w:rsid w:val="0031747B"/>
    <w:rsid w:val="00320CE1"/>
    <w:rsid w:val="00321F7C"/>
    <w:rsid w:val="00331D9D"/>
    <w:rsid w:val="00335242"/>
    <w:rsid w:val="00341DB1"/>
    <w:rsid w:val="00344CB0"/>
    <w:rsid w:val="00353473"/>
    <w:rsid w:val="00356271"/>
    <w:rsid w:val="00360086"/>
    <w:rsid w:val="00382BE5"/>
    <w:rsid w:val="003C3698"/>
    <w:rsid w:val="003C4C76"/>
    <w:rsid w:val="003D0FD1"/>
    <w:rsid w:val="003D5D6F"/>
    <w:rsid w:val="003D7D73"/>
    <w:rsid w:val="003E3369"/>
    <w:rsid w:val="003E709B"/>
    <w:rsid w:val="003E78A4"/>
    <w:rsid w:val="003F21BE"/>
    <w:rsid w:val="003F4DA0"/>
    <w:rsid w:val="003F5A3E"/>
    <w:rsid w:val="00404275"/>
    <w:rsid w:val="00404654"/>
    <w:rsid w:val="004047DF"/>
    <w:rsid w:val="00405AF3"/>
    <w:rsid w:val="00405E65"/>
    <w:rsid w:val="00410918"/>
    <w:rsid w:val="0041190A"/>
    <w:rsid w:val="00412297"/>
    <w:rsid w:val="00421F5B"/>
    <w:rsid w:val="00431016"/>
    <w:rsid w:val="0043171C"/>
    <w:rsid w:val="0043263C"/>
    <w:rsid w:val="00433A5A"/>
    <w:rsid w:val="00436D1D"/>
    <w:rsid w:val="00436E56"/>
    <w:rsid w:val="00437131"/>
    <w:rsid w:val="00442F80"/>
    <w:rsid w:val="004447C8"/>
    <w:rsid w:val="004450FC"/>
    <w:rsid w:val="00446F54"/>
    <w:rsid w:val="004505CE"/>
    <w:rsid w:val="00452E9D"/>
    <w:rsid w:val="00453503"/>
    <w:rsid w:val="0046514D"/>
    <w:rsid w:val="004717D1"/>
    <w:rsid w:val="00471F7C"/>
    <w:rsid w:val="00477889"/>
    <w:rsid w:val="00477E39"/>
    <w:rsid w:val="004816C1"/>
    <w:rsid w:val="00487E10"/>
    <w:rsid w:val="004910F5"/>
    <w:rsid w:val="00492852"/>
    <w:rsid w:val="00492858"/>
    <w:rsid w:val="0049627F"/>
    <w:rsid w:val="004A0D4D"/>
    <w:rsid w:val="004A25C0"/>
    <w:rsid w:val="004A5D49"/>
    <w:rsid w:val="004B0BA6"/>
    <w:rsid w:val="004C4BEF"/>
    <w:rsid w:val="004D2667"/>
    <w:rsid w:val="004E06C4"/>
    <w:rsid w:val="004E17DE"/>
    <w:rsid w:val="004E4378"/>
    <w:rsid w:val="00500A28"/>
    <w:rsid w:val="00502A34"/>
    <w:rsid w:val="005031F4"/>
    <w:rsid w:val="005036CE"/>
    <w:rsid w:val="00503C04"/>
    <w:rsid w:val="005046F5"/>
    <w:rsid w:val="00504721"/>
    <w:rsid w:val="0050685C"/>
    <w:rsid w:val="00511DA6"/>
    <w:rsid w:val="005156E2"/>
    <w:rsid w:val="00517757"/>
    <w:rsid w:val="00517BA8"/>
    <w:rsid w:val="00517C71"/>
    <w:rsid w:val="00521FE5"/>
    <w:rsid w:val="0053326B"/>
    <w:rsid w:val="00534CB6"/>
    <w:rsid w:val="00544142"/>
    <w:rsid w:val="00551C17"/>
    <w:rsid w:val="00556059"/>
    <w:rsid w:val="00560FF1"/>
    <w:rsid w:val="005619F2"/>
    <w:rsid w:val="005623BA"/>
    <w:rsid w:val="00562DB6"/>
    <w:rsid w:val="005650C9"/>
    <w:rsid w:val="00567A36"/>
    <w:rsid w:val="00580CBE"/>
    <w:rsid w:val="00581B90"/>
    <w:rsid w:val="00583516"/>
    <w:rsid w:val="0058355E"/>
    <w:rsid w:val="00583F0F"/>
    <w:rsid w:val="005842EF"/>
    <w:rsid w:val="005A4D1F"/>
    <w:rsid w:val="005A5261"/>
    <w:rsid w:val="005C03EB"/>
    <w:rsid w:val="005C1E3F"/>
    <w:rsid w:val="005C3333"/>
    <w:rsid w:val="005C7C09"/>
    <w:rsid w:val="005D1C12"/>
    <w:rsid w:val="005D2834"/>
    <w:rsid w:val="005D33DB"/>
    <w:rsid w:val="005D3F5E"/>
    <w:rsid w:val="005D681A"/>
    <w:rsid w:val="005D6A93"/>
    <w:rsid w:val="005E04E0"/>
    <w:rsid w:val="005F290D"/>
    <w:rsid w:val="005F34C3"/>
    <w:rsid w:val="005F434C"/>
    <w:rsid w:val="005F57B9"/>
    <w:rsid w:val="005F5B5A"/>
    <w:rsid w:val="0060140C"/>
    <w:rsid w:val="00603935"/>
    <w:rsid w:val="00614FAE"/>
    <w:rsid w:val="006168BD"/>
    <w:rsid w:val="0061799E"/>
    <w:rsid w:val="00620F0A"/>
    <w:rsid w:val="00622DDE"/>
    <w:rsid w:val="00625196"/>
    <w:rsid w:val="00626F0F"/>
    <w:rsid w:val="00633CF1"/>
    <w:rsid w:val="00634147"/>
    <w:rsid w:val="00636D8D"/>
    <w:rsid w:val="006373FB"/>
    <w:rsid w:val="0064024F"/>
    <w:rsid w:val="00640375"/>
    <w:rsid w:val="0064368E"/>
    <w:rsid w:val="00655CCC"/>
    <w:rsid w:val="00656F1D"/>
    <w:rsid w:val="00657201"/>
    <w:rsid w:val="0066256D"/>
    <w:rsid w:val="00662969"/>
    <w:rsid w:val="006737E5"/>
    <w:rsid w:val="00681B9E"/>
    <w:rsid w:val="00684E14"/>
    <w:rsid w:val="00685403"/>
    <w:rsid w:val="006855C3"/>
    <w:rsid w:val="006856A0"/>
    <w:rsid w:val="00691BFA"/>
    <w:rsid w:val="006B246A"/>
    <w:rsid w:val="006B670E"/>
    <w:rsid w:val="006B77A0"/>
    <w:rsid w:val="006C2BDB"/>
    <w:rsid w:val="006C530F"/>
    <w:rsid w:val="006C5486"/>
    <w:rsid w:val="006C7FC4"/>
    <w:rsid w:val="006F0298"/>
    <w:rsid w:val="006F271C"/>
    <w:rsid w:val="006F7A7A"/>
    <w:rsid w:val="00704BEF"/>
    <w:rsid w:val="007072C4"/>
    <w:rsid w:val="007114E9"/>
    <w:rsid w:val="0071510F"/>
    <w:rsid w:val="0072015D"/>
    <w:rsid w:val="00720A67"/>
    <w:rsid w:val="0072208F"/>
    <w:rsid w:val="0072648B"/>
    <w:rsid w:val="007317E2"/>
    <w:rsid w:val="0073383B"/>
    <w:rsid w:val="007424DA"/>
    <w:rsid w:val="00746018"/>
    <w:rsid w:val="00751444"/>
    <w:rsid w:val="00752691"/>
    <w:rsid w:val="00754338"/>
    <w:rsid w:val="007557B3"/>
    <w:rsid w:val="00760D05"/>
    <w:rsid w:val="00772B26"/>
    <w:rsid w:val="0077405D"/>
    <w:rsid w:val="007747E8"/>
    <w:rsid w:val="00775F1D"/>
    <w:rsid w:val="0077706C"/>
    <w:rsid w:val="00782842"/>
    <w:rsid w:val="00783946"/>
    <w:rsid w:val="00797735"/>
    <w:rsid w:val="00797F51"/>
    <w:rsid w:val="007A48EF"/>
    <w:rsid w:val="007B1F9C"/>
    <w:rsid w:val="007B298C"/>
    <w:rsid w:val="007B3D8A"/>
    <w:rsid w:val="007C5DEF"/>
    <w:rsid w:val="007D295E"/>
    <w:rsid w:val="007D296F"/>
    <w:rsid w:val="007D694C"/>
    <w:rsid w:val="007D7E00"/>
    <w:rsid w:val="007E33B1"/>
    <w:rsid w:val="007E675E"/>
    <w:rsid w:val="007F2469"/>
    <w:rsid w:val="007F2603"/>
    <w:rsid w:val="007F2E08"/>
    <w:rsid w:val="007F796E"/>
    <w:rsid w:val="00800765"/>
    <w:rsid w:val="00800A54"/>
    <w:rsid w:val="008020DD"/>
    <w:rsid w:val="00802BD3"/>
    <w:rsid w:val="00806D7E"/>
    <w:rsid w:val="0080735F"/>
    <w:rsid w:val="008132C5"/>
    <w:rsid w:val="008215C6"/>
    <w:rsid w:val="008248DE"/>
    <w:rsid w:val="0082574A"/>
    <w:rsid w:val="00825AD0"/>
    <w:rsid w:val="0083574E"/>
    <w:rsid w:val="00840483"/>
    <w:rsid w:val="008445B8"/>
    <w:rsid w:val="00851821"/>
    <w:rsid w:val="00852024"/>
    <w:rsid w:val="00864B86"/>
    <w:rsid w:val="00865C90"/>
    <w:rsid w:val="0087542B"/>
    <w:rsid w:val="008854E2"/>
    <w:rsid w:val="008861ED"/>
    <w:rsid w:val="008874EC"/>
    <w:rsid w:val="00887555"/>
    <w:rsid w:val="00887805"/>
    <w:rsid w:val="00891EF2"/>
    <w:rsid w:val="00894A24"/>
    <w:rsid w:val="008961BA"/>
    <w:rsid w:val="008970E3"/>
    <w:rsid w:val="008976F6"/>
    <w:rsid w:val="008A29E3"/>
    <w:rsid w:val="008B0CD7"/>
    <w:rsid w:val="008B14E8"/>
    <w:rsid w:val="008B4657"/>
    <w:rsid w:val="008B5197"/>
    <w:rsid w:val="008C0DD3"/>
    <w:rsid w:val="008C4258"/>
    <w:rsid w:val="008C69C8"/>
    <w:rsid w:val="008D3456"/>
    <w:rsid w:val="008D6D00"/>
    <w:rsid w:val="008E7491"/>
    <w:rsid w:val="008F4ABF"/>
    <w:rsid w:val="008F4C05"/>
    <w:rsid w:val="008F6DE1"/>
    <w:rsid w:val="0090160E"/>
    <w:rsid w:val="009065A7"/>
    <w:rsid w:val="00920723"/>
    <w:rsid w:val="009219BF"/>
    <w:rsid w:val="009261DC"/>
    <w:rsid w:val="00930102"/>
    <w:rsid w:val="00935483"/>
    <w:rsid w:val="00937B77"/>
    <w:rsid w:val="0094076A"/>
    <w:rsid w:val="00940A7D"/>
    <w:rsid w:val="0094234B"/>
    <w:rsid w:val="00944DC3"/>
    <w:rsid w:val="009474F4"/>
    <w:rsid w:val="00950C0F"/>
    <w:rsid w:val="00950C2C"/>
    <w:rsid w:val="009512E4"/>
    <w:rsid w:val="00955084"/>
    <w:rsid w:val="009578DB"/>
    <w:rsid w:val="00960AEA"/>
    <w:rsid w:val="009626AC"/>
    <w:rsid w:val="00962BE0"/>
    <w:rsid w:val="00970EDB"/>
    <w:rsid w:val="009715C0"/>
    <w:rsid w:val="00976446"/>
    <w:rsid w:val="00984295"/>
    <w:rsid w:val="00987E4B"/>
    <w:rsid w:val="00991A0B"/>
    <w:rsid w:val="00991B65"/>
    <w:rsid w:val="00991F13"/>
    <w:rsid w:val="00997555"/>
    <w:rsid w:val="009A4275"/>
    <w:rsid w:val="009C47A0"/>
    <w:rsid w:val="009C5669"/>
    <w:rsid w:val="009C5C85"/>
    <w:rsid w:val="009C7518"/>
    <w:rsid w:val="009D310D"/>
    <w:rsid w:val="009D5065"/>
    <w:rsid w:val="009E0382"/>
    <w:rsid w:val="009E1930"/>
    <w:rsid w:val="009E1FBD"/>
    <w:rsid w:val="009E43BE"/>
    <w:rsid w:val="009E4460"/>
    <w:rsid w:val="009E4AA5"/>
    <w:rsid w:val="009F4C00"/>
    <w:rsid w:val="00A00F0F"/>
    <w:rsid w:val="00A00F52"/>
    <w:rsid w:val="00A0202F"/>
    <w:rsid w:val="00A0247D"/>
    <w:rsid w:val="00A06591"/>
    <w:rsid w:val="00A0712D"/>
    <w:rsid w:val="00A118D3"/>
    <w:rsid w:val="00A119C3"/>
    <w:rsid w:val="00A12051"/>
    <w:rsid w:val="00A13C8F"/>
    <w:rsid w:val="00A14508"/>
    <w:rsid w:val="00A149DB"/>
    <w:rsid w:val="00A32F61"/>
    <w:rsid w:val="00A351BA"/>
    <w:rsid w:val="00A508BD"/>
    <w:rsid w:val="00A52EA5"/>
    <w:rsid w:val="00A554F5"/>
    <w:rsid w:val="00A57406"/>
    <w:rsid w:val="00A61271"/>
    <w:rsid w:val="00A66965"/>
    <w:rsid w:val="00A801C2"/>
    <w:rsid w:val="00A878EC"/>
    <w:rsid w:val="00A915A6"/>
    <w:rsid w:val="00A95AF0"/>
    <w:rsid w:val="00AA1CAA"/>
    <w:rsid w:val="00AA754D"/>
    <w:rsid w:val="00AA7FEC"/>
    <w:rsid w:val="00AB0719"/>
    <w:rsid w:val="00AB2AC1"/>
    <w:rsid w:val="00AC34CF"/>
    <w:rsid w:val="00AD13B8"/>
    <w:rsid w:val="00AD4F1A"/>
    <w:rsid w:val="00AD5912"/>
    <w:rsid w:val="00AE01AB"/>
    <w:rsid w:val="00AE3A0D"/>
    <w:rsid w:val="00AE6266"/>
    <w:rsid w:val="00AE6D5F"/>
    <w:rsid w:val="00AF2C6A"/>
    <w:rsid w:val="00AF3388"/>
    <w:rsid w:val="00AF4255"/>
    <w:rsid w:val="00AF4C18"/>
    <w:rsid w:val="00B03795"/>
    <w:rsid w:val="00B06703"/>
    <w:rsid w:val="00B21BCE"/>
    <w:rsid w:val="00B24BD8"/>
    <w:rsid w:val="00B27EA9"/>
    <w:rsid w:val="00B3537A"/>
    <w:rsid w:val="00B37EE5"/>
    <w:rsid w:val="00B43356"/>
    <w:rsid w:val="00B45896"/>
    <w:rsid w:val="00B459B6"/>
    <w:rsid w:val="00B504F0"/>
    <w:rsid w:val="00B5078A"/>
    <w:rsid w:val="00B52EF2"/>
    <w:rsid w:val="00B5683B"/>
    <w:rsid w:val="00B577B6"/>
    <w:rsid w:val="00B65C1C"/>
    <w:rsid w:val="00B739C1"/>
    <w:rsid w:val="00B7510A"/>
    <w:rsid w:val="00B75608"/>
    <w:rsid w:val="00B902CA"/>
    <w:rsid w:val="00B96C5A"/>
    <w:rsid w:val="00BA3247"/>
    <w:rsid w:val="00BA440F"/>
    <w:rsid w:val="00BA48B4"/>
    <w:rsid w:val="00BA554F"/>
    <w:rsid w:val="00BC3683"/>
    <w:rsid w:val="00BD5633"/>
    <w:rsid w:val="00BE17A2"/>
    <w:rsid w:val="00BE24AC"/>
    <w:rsid w:val="00BE2A95"/>
    <w:rsid w:val="00BF5234"/>
    <w:rsid w:val="00C007E6"/>
    <w:rsid w:val="00C137BE"/>
    <w:rsid w:val="00C269CC"/>
    <w:rsid w:val="00C26DF1"/>
    <w:rsid w:val="00C345FA"/>
    <w:rsid w:val="00C368FF"/>
    <w:rsid w:val="00C413FC"/>
    <w:rsid w:val="00C43594"/>
    <w:rsid w:val="00C459C9"/>
    <w:rsid w:val="00C535D8"/>
    <w:rsid w:val="00C61E19"/>
    <w:rsid w:val="00C64FB6"/>
    <w:rsid w:val="00C67F22"/>
    <w:rsid w:val="00C7339B"/>
    <w:rsid w:val="00C7391D"/>
    <w:rsid w:val="00C76277"/>
    <w:rsid w:val="00C77373"/>
    <w:rsid w:val="00C86510"/>
    <w:rsid w:val="00C910A1"/>
    <w:rsid w:val="00C92F4B"/>
    <w:rsid w:val="00C9587A"/>
    <w:rsid w:val="00C95FF7"/>
    <w:rsid w:val="00CA20EC"/>
    <w:rsid w:val="00CA4BD9"/>
    <w:rsid w:val="00CA5FC1"/>
    <w:rsid w:val="00CA64E0"/>
    <w:rsid w:val="00CB351D"/>
    <w:rsid w:val="00CC192F"/>
    <w:rsid w:val="00CC1E99"/>
    <w:rsid w:val="00CC76BE"/>
    <w:rsid w:val="00CD2C72"/>
    <w:rsid w:val="00CE438C"/>
    <w:rsid w:val="00CE5DE0"/>
    <w:rsid w:val="00CF55A7"/>
    <w:rsid w:val="00CF5FDC"/>
    <w:rsid w:val="00D02950"/>
    <w:rsid w:val="00D13D88"/>
    <w:rsid w:val="00D149B5"/>
    <w:rsid w:val="00D172D0"/>
    <w:rsid w:val="00D2291D"/>
    <w:rsid w:val="00D336A0"/>
    <w:rsid w:val="00D37493"/>
    <w:rsid w:val="00D54DEE"/>
    <w:rsid w:val="00D73FCC"/>
    <w:rsid w:val="00D755DB"/>
    <w:rsid w:val="00D80903"/>
    <w:rsid w:val="00D81032"/>
    <w:rsid w:val="00D87C80"/>
    <w:rsid w:val="00D93BD7"/>
    <w:rsid w:val="00DA0278"/>
    <w:rsid w:val="00DA4508"/>
    <w:rsid w:val="00DA5B87"/>
    <w:rsid w:val="00DB31F8"/>
    <w:rsid w:val="00DB6617"/>
    <w:rsid w:val="00DB6921"/>
    <w:rsid w:val="00DB693E"/>
    <w:rsid w:val="00DD3DBF"/>
    <w:rsid w:val="00DD63D4"/>
    <w:rsid w:val="00DD6D8E"/>
    <w:rsid w:val="00DD7EA5"/>
    <w:rsid w:val="00DE2E63"/>
    <w:rsid w:val="00DE2F78"/>
    <w:rsid w:val="00DE4F9D"/>
    <w:rsid w:val="00DF186E"/>
    <w:rsid w:val="00DF6206"/>
    <w:rsid w:val="00DF79D7"/>
    <w:rsid w:val="00E00AF3"/>
    <w:rsid w:val="00E00E02"/>
    <w:rsid w:val="00E12C71"/>
    <w:rsid w:val="00E12EAB"/>
    <w:rsid w:val="00E15DC9"/>
    <w:rsid w:val="00E20783"/>
    <w:rsid w:val="00E30131"/>
    <w:rsid w:val="00E34738"/>
    <w:rsid w:val="00E411D2"/>
    <w:rsid w:val="00E42971"/>
    <w:rsid w:val="00E43782"/>
    <w:rsid w:val="00E506C6"/>
    <w:rsid w:val="00E5750D"/>
    <w:rsid w:val="00E623DB"/>
    <w:rsid w:val="00E65999"/>
    <w:rsid w:val="00E7288B"/>
    <w:rsid w:val="00E803DF"/>
    <w:rsid w:val="00E81A1F"/>
    <w:rsid w:val="00E82872"/>
    <w:rsid w:val="00E8373D"/>
    <w:rsid w:val="00E9487A"/>
    <w:rsid w:val="00E9739E"/>
    <w:rsid w:val="00EA0164"/>
    <w:rsid w:val="00EA6CCD"/>
    <w:rsid w:val="00EA6F11"/>
    <w:rsid w:val="00EA7228"/>
    <w:rsid w:val="00EB1060"/>
    <w:rsid w:val="00ED2897"/>
    <w:rsid w:val="00ED5CE2"/>
    <w:rsid w:val="00ED7273"/>
    <w:rsid w:val="00EF13FF"/>
    <w:rsid w:val="00F000B3"/>
    <w:rsid w:val="00F12EAF"/>
    <w:rsid w:val="00F2074C"/>
    <w:rsid w:val="00F213FF"/>
    <w:rsid w:val="00F23FAE"/>
    <w:rsid w:val="00F249B9"/>
    <w:rsid w:val="00F32F4F"/>
    <w:rsid w:val="00F3487E"/>
    <w:rsid w:val="00F35B62"/>
    <w:rsid w:val="00F411C3"/>
    <w:rsid w:val="00F4362A"/>
    <w:rsid w:val="00F45956"/>
    <w:rsid w:val="00F47D73"/>
    <w:rsid w:val="00F50AC5"/>
    <w:rsid w:val="00F54C5E"/>
    <w:rsid w:val="00F56FED"/>
    <w:rsid w:val="00F64995"/>
    <w:rsid w:val="00F6655D"/>
    <w:rsid w:val="00F732BD"/>
    <w:rsid w:val="00F81383"/>
    <w:rsid w:val="00F84393"/>
    <w:rsid w:val="00F87DCE"/>
    <w:rsid w:val="00F940F8"/>
    <w:rsid w:val="00F96657"/>
    <w:rsid w:val="00FA0726"/>
    <w:rsid w:val="00FA2D03"/>
    <w:rsid w:val="00FA2D3D"/>
    <w:rsid w:val="00FA33EA"/>
    <w:rsid w:val="00FA419C"/>
    <w:rsid w:val="00FA6D20"/>
    <w:rsid w:val="00FB125E"/>
    <w:rsid w:val="00FB4739"/>
    <w:rsid w:val="00FB5411"/>
    <w:rsid w:val="00FB57DE"/>
    <w:rsid w:val="00FB72FB"/>
    <w:rsid w:val="00FC4E8E"/>
    <w:rsid w:val="00FC764A"/>
    <w:rsid w:val="00FD22B3"/>
    <w:rsid w:val="00FD24C1"/>
    <w:rsid w:val="00FD6022"/>
    <w:rsid w:val="00FE592E"/>
    <w:rsid w:val="00FE5FEA"/>
    <w:rsid w:val="00FE7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F4B455-F68D-46DE-BF98-AA538B4E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unhideWhenUsed/>
    <w:rsid w:val="001C362A"/>
    <w:rPr>
      <w:sz w:val="20"/>
      <w:szCs w:val="20"/>
      <w:lang w:val="es-ES"/>
    </w:rPr>
  </w:style>
  <w:style w:type="character" w:customStyle="1" w:styleId="TextonotapieCar">
    <w:name w:val="Texto nota pie Car"/>
    <w:basedOn w:val="Fuentedeprrafopredeter"/>
    <w:link w:val="Textonotapie"/>
    <w:uiPriority w:val="99"/>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 w:type="paragraph" w:customStyle="1" w:styleId="corte4fondo">
    <w:name w:val="corte4 fondo"/>
    <w:basedOn w:val="Normal"/>
    <w:rsid w:val="004E06C4"/>
    <w:pPr>
      <w:spacing w:line="360" w:lineRule="auto"/>
      <w:ind w:firstLine="709"/>
      <w:jc w:val="both"/>
    </w:pPr>
    <w:rPr>
      <w:rFonts w:ascii="Arial" w:eastAsia="Times New Roman" w:hAnsi="Arial" w:cs="Times New Roman"/>
      <w:sz w:val="30"/>
      <w:szCs w:val="20"/>
      <w:lang w:val="es-ES_tradnl" w:eastAsia="es-MX"/>
    </w:rPr>
  </w:style>
  <w:style w:type="paragraph" w:customStyle="1" w:styleId="corte5transcripcion">
    <w:name w:val="corte5 transcripcion"/>
    <w:basedOn w:val="Normal"/>
    <w:rsid w:val="004E06C4"/>
    <w:pPr>
      <w:spacing w:line="360" w:lineRule="auto"/>
      <w:ind w:left="709" w:right="709"/>
      <w:jc w:val="both"/>
    </w:pPr>
    <w:rPr>
      <w:rFonts w:ascii="Arial" w:eastAsia="Times New Roman" w:hAnsi="Arial" w:cs="Times New Roman"/>
      <w:b/>
      <w:i/>
      <w:sz w:val="30"/>
      <w:szCs w:val="20"/>
      <w:lang w:val="es-ES_tradnl" w:eastAsia="es-MX"/>
    </w:rPr>
  </w:style>
  <w:style w:type="paragraph" w:customStyle="1" w:styleId="Estilo">
    <w:name w:val="Estilo"/>
    <w:basedOn w:val="Sinespaciado"/>
    <w:link w:val="EstiloCar"/>
    <w:qFormat/>
    <w:rsid w:val="004E06C4"/>
    <w:pPr>
      <w:jc w:val="both"/>
    </w:pPr>
    <w:rPr>
      <w:rFonts w:ascii="Arial" w:hAnsi="Arial"/>
      <w:sz w:val="24"/>
      <w:lang w:val="es-MX"/>
    </w:rPr>
  </w:style>
  <w:style w:type="character" w:customStyle="1" w:styleId="EstiloCar">
    <w:name w:val="Estilo Car"/>
    <w:basedOn w:val="Fuentedeprrafopredeter"/>
    <w:link w:val="Estilo"/>
    <w:rsid w:val="004E06C4"/>
    <w:rPr>
      <w:rFonts w:ascii="Arial" w:hAnsi="Arial"/>
      <w:sz w:val="24"/>
      <w:lang w:val="es-MX"/>
    </w:rPr>
  </w:style>
  <w:style w:type="paragraph" w:styleId="Sangradetextonormal">
    <w:name w:val="Body Text Indent"/>
    <w:basedOn w:val="Normal"/>
    <w:link w:val="SangradetextonormalCar"/>
    <w:semiHidden/>
    <w:rsid w:val="00955084"/>
    <w:pPr>
      <w:spacing w:line="360" w:lineRule="auto"/>
      <w:ind w:firstLine="708"/>
      <w:jc w:val="both"/>
    </w:pPr>
    <w:rPr>
      <w:rFonts w:ascii="Arial" w:eastAsia="Times New Roman" w:hAnsi="Arial" w:cs="Times New Roman"/>
      <w:sz w:val="30"/>
      <w:szCs w:val="20"/>
      <w:lang w:val="es-ES_tradnl" w:eastAsia="es-MX"/>
    </w:rPr>
  </w:style>
  <w:style w:type="character" w:customStyle="1" w:styleId="SangradetextonormalCar">
    <w:name w:val="Sangría de texto normal Car"/>
    <w:basedOn w:val="Fuentedeprrafopredeter"/>
    <w:link w:val="Sangradetextonormal"/>
    <w:semiHidden/>
    <w:rsid w:val="00955084"/>
    <w:rPr>
      <w:rFonts w:ascii="Arial" w:eastAsia="Times New Roman" w:hAnsi="Arial" w:cs="Times New Roman"/>
      <w:sz w:val="3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44298124">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753479876">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857422513">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73DC9839-DAED-4F87-A5F6-82270AE1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6</Pages>
  <Words>1372</Words>
  <Characters>7549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120</cp:revision>
  <cp:lastPrinted>2018-06-28T19:06:00Z</cp:lastPrinted>
  <dcterms:created xsi:type="dcterms:W3CDTF">2018-08-24T02:19:00Z</dcterms:created>
  <dcterms:modified xsi:type="dcterms:W3CDTF">2019-06-25T16:33:00Z</dcterms:modified>
</cp:coreProperties>
</file>