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0E0" w:rsidRPr="00A04ADC" w:rsidRDefault="000B50E0" w:rsidP="000B50E0">
      <w:pPr>
        <w:tabs>
          <w:tab w:val="left" w:pos="3103"/>
        </w:tabs>
        <w:spacing w:after="0" w:line="240" w:lineRule="auto"/>
        <w:ind w:left="2977"/>
        <w:jc w:val="both"/>
        <w:rPr>
          <w:rFonts w:ascii="Arial" w:hAnsi="Arial" w:cs="Arial"/>
          <w:b/>
          <w:iCs/>
          <w:caps/>
          <w:sz w:val="26"/>
          <w:szCs w:val="26"/>
        </w:rPr>
      </w:pPr>
      <w:r w:rsidRPr="00A04ADC">
        <w:rPr>
          <w:rFonts w:ascii="Arial" w:hAnsi="Arial" w:cs="Arial"/>
          <w:b/>
          <w:iCs/>
          <w:caps/>
          <w:sz w:val="26"/>
          <w:szCs w:val="26"/>
        </w:rPr>
        <w:t xml:space="preserve">SALA SUPERIOR DEL TRIBUNAL DE </w:t>
      </w:r>
      <w:r>
        <w:rPr>
          <w:rFonts w:ascii="Arial" w:hAnsi="Arial" w:cs="Arial"/>
          <w:b/>
          <w:iCs/>
          <w:caps/>
          <w:sz w:val="26"/>
          <w:szCs w:val="26"/>
        </w:rPr>
        <w:t>JUSTICIA</w:t>
      </w:r>
      <w:r w:rsidRPr="00A04ADC">
        <w:rPr>
          <w:rFonts w:ascii="Arial" w:hAnsi="Arial" w:cs="Arial"/>
          <w:b/>
          <w:iCs/>
          <w:caps/>
          <w:sz w:val="26"/>
          <w:szCs w:val="26"/>
        </w:rPr>
        <w:t xml:space="preserve"> ADMINISTRATIV</w:t>
      </w:r>
      <w:r>
        <w:rPr>
          <w:rFonts w:ascii="Arial" w:hAnsi="Arial" w:cs="Arial"/>
          <w:b/>
          <w:iCs/>
          <w:caps/>
          <w:sz w:val="26"/>
          <w:szCs w:val="26"/>
        </w:rPr>
        <w:t>A</w:t>
      </w:r>
      <w:r w:rsidRPr="00A04ADC">
        <w:rPr>
          <w:rFonts w:ascii="Arial" w:hAnsi="Arial" w:cs="Arial"/>
          <w:b/>
          <w:iCs/>
          <w:caps/>
          <w:sz w:val="26"/>
          <w:szCs w:val="26"/>
        </w:rPr>
        <w:t xml:space="preserve"> DEL ESTADO DE OAXACA.</w:t>
      </w:r>
    </w:p>
    <w:p w:rsidR="000B50E0" w:rsidRPr="00A04ADC" w:rsidRDefault="000B50E0" w:rsidP="000B50E0">
      <w:pPr>
        <w:pStyle w:val="Encabezado"/>
        <w:tabs>
          <w:tab w:val="clear" w:pos="4252"/>
        </w:tabs>
        <w:ind w:left="1119" w:right="51"/>
        <w:jc w:val="both"/>
        <w:rPr>
          <w:rFonts w:ascii="Arial" w:hAnsi="Arial" w:cs="Arial"/>
          <w:b/>
          <w:iCs/>
          <w:caps/>
          <w:sz w:val="26"/>
          <w:szCs w:val="26"/>
          <w:lang w:val="es-PE"/>
        </w:rPr>
      </w:pPr>
      <w:r w:rsidRPr="00A04ADC">
        <w:rPr>
          <w:rFonts w:ascii="Arial" w:hAnsi="Arial" w:cs="Arial"/>
          <w:b/>
          <w:iCs/>
          <w:caps/>
          <w:sz w:val="26"/>
          <w:szCs w:val="26"/>
          <w:lang w:val="es-PE"/>
        </w:rPr>
        <w:t xml:space="preserve">               </w:t>
      </w:r>
    </w:p>
    <w:p w:rsidR="000B50E0" w:rsidRPr="00A04ADC" w:rsidRDefault="000B50E0" w:rsidP="000B50E0">
      <w:pPr>
        <w:pStyle w:val="Encabezado"/>
        <w:tabs>
          <w:tab w:val="clear" w:pos="4252"/>
        </w:tabs>
        <w:ind w:left="2977" w:right="51"/>
        <w:jc w:val="both"/>
        <w:rPr>
          <w:rFonts w:ascii="Arial" w:hAnsi="Arial" w:cs="Arial"/>
          <w:b/>
          <w:iCs/>
          <w:caps/>
          <w:sz w:val="26"/>
          <w:szCs w:val="26"/>
          <w:lang w:val="es-PE"/>
        </w:rPr>
      </w:pPr>
      <w:r w:rsidRPr="00A04ADC">
        <w:rPr>
          <w:rFonts w:ascii="Arial" w:hAnsi="Arial" w:cs="Arial"/>
          <w:b/>
          <w:iCs/>
          <w:caps/>
          <w:sz w:val="26"/>
          <w:szCs w:val="26"/>
          <w:lang w:val="es-PE"/>
        </w:rPr>
        <w:t>RECURSO DE REVISIÓN:   0</w:t>
      </w:r>
      <w:r>
        <w:rPr>
          <w:rFonts w:ascii="Arial" w:hAnsi="Arial" w:cs="Arial"/>
          <w:b/>
          <w:iCs/>
          <w:caps/>
          <w:sz w:val="26"/>
          <w:szCs w:val="26"/>
          <w:lang w:val="es-PE"/>
        </w:rPr>
        <w:t>43</w:t>
      </w:r>
      <w:r w:rsidRPr="00A04ADC">
        <w:rPr>
          <w:rFonts w:ascii="Arial" w:hAnsi="Arial" w:cs="Arial"/>
          <w:b/>
          <w:iCs/>
          <w:caps/>
          <w:sz w:val="26"/>
          <w:szCs w:val="26"/>
          <w:lang w:val="es-PE"/>
        </w:rPr>
        <w:t>8/201</w:t>
      </w:r>
      <w:r>
        <w:rPr>
          <w:rFonts w:ascii="Arial" w:hAnsi="Arial" w:cs="Arial"/>
          <w:b/>
          <w:iCs/>
          <w:caps/>
          <w:sz w:val="26"/>
          <w:szCs w:val="26"/>
          <w:lang w:val="es-PE"/>
        </w:rPr>
        <w:t>7</w:t>
      </w:r>
      <w:r w:rsidRPr="00A04ADC">
        <w:rPr>
          <w:rFonts w:ascii="Arial" w:hAnsi="Arial" w:cs="Arial"/>
          <w:b/>
          <w:iCs/>
          <w:caps/>
          <w:sz w:val="26"/>
          <w:szCs w:val="26"/>
          <w:lang w:val="es-PE"/>
        </w:rPr>
        <w:t xml:space="preserve"> </w:t>
      </w:r>
    </w:p>
    <w:p w:rsidR="000B50E0" w:rsidRPr="00A04ADC" w:rsidRDefault="000B50E0" w:rsidP="000B50E0">
      <w:pPr>
        <w:pStyle w:val="Encabezado"/>
        <w:tabs>
          <w:tab w:val="clear" w:pos="4252"/>
        </w:tabs>
        <w:ind w:left="1119" w:right="51"/>
        <w:jc w:val="both"/>
        <w:rPr>
          <w:rFonts w:ascii="Arial" w:hAnsi="Arial" w:cs="Arial"/>
          <w:b/>
          <w:iCs/>
          <w:caps/>
          <w:sz w:val="26"/>
          <w:szCs w:val="26"/>
          <w:lang w:val="es-PE"/>
        </w:rPr>
      </w:pPr>
    </w:p>
    <w:p w:rsidR="000B50E0" w:rsidRPr="00A04ADC" w:rsidRDefault="000B50E0" w:rsidP="000B50E0">
      <w:pPr>
        <w:pStyle w:val="Encabezado"/>
        <w:tabs>
          <w:tab w:val="clear" w:pos="4252"/>
        </w:tabs>
        <w:ind w:left="2977" w:right="51"/>
        <w:jc w:val="both"/>
        <w:rPr>
          <w:rFonts w:ascii="Arial" w:hAnsi="Arial" w:cs="Arial"/>
          <w:b/>
          <w:iCs/>
          <w:caps/>
          <w:sz w:val="26"/>
          <w:szCs w:val="26"/>
          <w:lang w:val="es-PE"/>
        </w:rPr>
      </w:pPr>
      <w:r w:rsidRPr="00A04ADC">
        <w:rPr>
          <w:rFonts w:ascii="Arial" w:hAnsi="Arial" w:cs="Arial"/>
          <w:b/>
          <w:iCs/>
          <w:caps/>
          <w:sz w:val="26"/>
          <w:szCs w:val="26"/>
          <w:lang w:val="es-PE"/>
        </w:rPr>
        <w:t>EXPEDIENTE: 0</w:t>
      </w:r>
      <w:r>
        <w:rPr>
          <w:rFonts w:ascii="Arial" w:hAnsi="Arial" w:cs="Arial"/>
          <w:b/>
          <w:iCs/>
          <w:caps/>
          <w:sz w:val="26"/>
          <w:szCs w:val="26"/>
          <w:lang w:val="es-PE"/>
        </w:rPr>
        <w:t>021</w:t>
      </w:r>
      <w:r w:rsidRPr="00A04ADC">
        <w:rPr>
          <w:rFonts w:ascii="Arial" w:hAnsi="Arial" w:cs="Arial"/>
          <w:b/>
          <w:iCs/>
          <w:caps/>
          <w:sz w:val="26"/>
          <w:szCs w:val="26"/>
          <w:lang w:val="es-PE"/>
        </w:rPr>
        <w:t>/201</w:t>
      </w:r>
      <w:r>
        <w:rPr>
          <w:rFonts w:ascii="Arial" w:hAnsi="Arial" w:cs="Arial"/>
          <w:b/>
          <w:iCs/>
          <w:caps/>
          <w:sz w:val="26"/>
          <w:szCs w:val="26"/>
          <w:lang w:val="es-PE"/>
        </w:rPr>
        <w:t>7</w:t>
      </w:r>
      <w:r w:rsidRPr="00A04ADC">
        <w:rPr>
          <w:rFonts w:ascii="Arial" w:hAnsi="Arial" w:cs="Arial"/>
          <w:b/>
          <w:iCs/>
          <w:caps/>
          <w:sz w:val="26"/>
          <w:szCs w:val="26"/>
          <w:lang w:val="es-PE"/>
        </w:rPr>
        <w:t xml:space="preserve"> DE LA </w:t>
      </w:r>
      <w:r>
        <w:rPr>
          <w:rFonts w:ascii="Arial" w:hAnsi="Arial" w:cs="Arial"/>
          <w:b/>
          <w:iCs/>
          <w:caps/>
          <w:sz w:val="26"/>
          <w:szCs w:val="26"/>
          <w:lang w:val="es-PE"/>
        </w:rPr>
        <w:t>SEXTA</w:t>
      </w:r>
      <w:r w:rsidRPr="00A04ADC">
        <w:rPr>
          <w:rFonts w:ascii="Arial" w:hAnsi="Arial" w:cs="Arial"/>
          <w:b/>
          <w:iCs/>
          <w:caps/>
          <w:sz w:val="26"/>
          <w:szCs w:val="26"/>
          <w:lang w:val="es-PE"/>
        </w:rPr>
        <w:t xml:space="preserve"> SALA UNITARIA DE PRIMERA INSTANCIA</w:t>
      </w:r>
    </w:p>
    <w:p w:rsidR="000B50E0" w:rsidRPr="00A04ADC" w:rsidRDefault="000B50E0" w:rsidP="000B50E0">
      <w:pPr>
        <w:pStyle w:val="Encabezado"/>
        <w:tabs>
          <w:tab w:val="clear" w:pos="4252"/>
        </w:tabs>
        <w:ind w:left="1119" w:right="51"/>
        <w:jc w:val="both"/>
        <w:rPr>
          <w:rFonts w:ascii="Arial" w:hAnsi="Arial" w:cs="Arial"/>
          <w:b/>
          <w:iCs/>
          <w:caps/>
          <w:sz w:val="26"/>
          <w:szCs w:val="26"/>
          <w:lang w:val="es-PE"/>
        </w:rPr>
      </w:pPr>
      <w:r w:rsidRPr="00A04ADC">
        <w:rPr>
          <w:rFonts w:ascii="Arial" w:hAnsi="Arial" w:cs="Arial"/>
          <w:b/>
          <w:iCs/>
          <w:caps/>
          <w:sz w:val="26"/>
          <w:szCs w:val="26"/>
          <w:lang w:val="es-PE"/>
        </w:rPr>
        <w:t xml:space="preserve">       </w:t>
      </w:r>
    </w:p>
    <w:p w:rsidR="00C76A7C" w:rsidRDefault="000B50E0" w:rsidP="000B50E0">
      <w:pPr>
        <w:spacing w:line="240" w:lineRule="auto"/>
        <w:ind w:left="2977"/>
        <w:jc w:val="both"/>
        <w:rPr>
          <w:rFonts w:ascii="Arial" w:hAnsi="Arial" w:cs="Arial"/>
          <w:b/>
          <w:sz w:val="26"/>
          <w:szCs w:val="26"/>
        </w:rPr>
      </w:pPr>
      <w:r>
        <w:rPr>
          <w:rFonts w:ascii="Arial" w:hAnsi="Arial" w:cs="Arial"/>
          <w:b/>
          <w:iCs/>
          <w:caps/>
          <w:sz w:val="26"/>
          <w:szCs w:val="26"/>
          <w:lang w:val="es-PE"/>
        </w:rPr>
        <w:t>magistrado ponente: MANUEL VELASCO ALCÁNTARA</w:t>
      </w:r>
    </w:p>
    <w:p w:rsidR="000B50E0" w:rsidRDefault="000B50E0" w:rsidP="000B50E0">
      <w:pPr>
        <w:spacing w:line="360" w:lineRule="auto"/>
        <w:jc w:val="both"/>
        <w:rPr>
          <w:rFonts w:ascii="Arial" w:eastAsia="Calibri" w:hAnsi="Arial" w:cs="Arial"/>
          <w:b/>
          <w:sz w:val="26"/>
          <w:szCs w:val="26"/>
        </w:rPr>
      </w:pPr>
    </w:p>
    <w:p w:rsidR="000B50E0" w:rsidRPr="00A04ADC" w:rsidRDefault="000B50E0" w:rsidP="000B50E0">
      <w:pPr>
        <w:spacing w:line="360" w:lineRule="auto"/>
        <w:jc w:val="both"/>
        <w:rPr>
          <w:rFonts w:ascii="Arial" w:eastAsia="Calibri" w:hAnsi="Arial" w:cs="Arial"/>
          <w:b/>
          <w:sz w:val="26"/>
          <w:szCs w:val="26"/>
        </w:rPr>
      </w:pPr>
      <w:r w:rsidRPr="00A04ADC">
        <w:rPr>
          <w:rFonts w:ascii="Arial" w:eastAsia="Calibri" w:hAnsi="Arial" w:cs="Arial"/>
          <w:b/>
          <w:sz w:val="26"/>
          <w:szCs w:val="26"/>
        </w:rPr>
        <w:t xml:space="preserve">OAXACA </w:t>
      </w:r>
      <w:r w:rsidR="0057517B">
        <w:rPr>
          <w:rFonts w:ascii="Arial" w:eastAsia="Calibri" w:hAnsi="Arial" w:cs="Arial"/>
          <w:b/>
          <w:sz w:val="26"/>
          <w:szCs w:val="26"/>
        </w:rPr>
        <w:t xml:space="preserve">DE JUÁREZ, OAXACA, </w:t>
      </w:r>
      <w:r w:rsidR="004E4456">
        <w:rPr>
          <w:rFonts w:ascii="Arial" w:eastAsia="Calibri" w:hAnsi="Arial" w:cs="Arial"/>
          <w:b/>
          <w:sz w:val="26"/>
          <w:szCs w:val="26"/>
        </w:rPr>
        <w:t>TREINTA</w:t>
      </w:r>
      <w:r w:rsidRPr="00A04ADC">
        <w:rPr>
          <w:rFonts w:ascii="Arial" w:eastAsia="Calibri" w:hAnsi="Arial" w:cs="Arial"/>
          <w:b/>
          <w:sz w:val="26"/>
          <w:szCs w:val="26"/>
        </w:rPr>
        <w:t xml:space="preserve"> DE </w:t>
      </w:r>
      <w:r>
        <w:rPr>
          <w:rFonts w:ascii="Arial" w:eastAsia="Calibri" w:hAnsi="Arial" w:cs="Arial"/>
          <w:b/>
          <w:sz w:val="26"/>
          <w:szCs w:val="26"/>
        </w:rPr>
        <w:t>AGOSTO</w:t>
      </w:r>
      <w:r w:rsidRPr="00A04ADC">
        <w:rPr>
          <w:rFonts w:ascii="Arial" w:eastAsia="Calibri" w:hAnsi="Arial" w:cs="Arial"/>
          <w:b/>
          <w:sz w:val="26"/>
          <w:szCs w:val="26"/>
        </w:rPr>
        <w:t xml:space="preserve"> DE DOS MIL DIECI</w:t>
      </w:r>
      <w:r>
        <w:rPr>
          <w:rFonts w:ascii="Arial" w:eastAsia="Calibri" w:hAnsi="Arial" w:cs="Arial"/>
          <w:b/>
          <w:sz w:val="26"/>
          <w:szCs w:val="26"/>
        </w:rPr>
        <w:t>OCHO</w:t>
      </w:r>
      <w:r w:rsidRPr="00A04ADC">
        <w:rPr>
          <w:rFonts w:ascii="Arial" w:eastAsia="Calibri" w:hAnsi="Arial" w:cs="Arial"/>
          <w:b/>
          <w:sz w:val="26"/>
          <w:szCs w:val="26"/>
        </w:rPr>
        <w:t>.</w:t>
      </w:r>
      <w:r>
        <w:rPr>
          <w:rFonts w:ascii="Arial" w:eastAsia="Calibri" w:hAnsi="Arial" w:cs="Arial"/>
          <w:b/>
          <w:sz w:val="26"/>
          <w:szCs w:val="26"/>
        </w:rPr>
        <w:t xml:space="preserve"> </w:t>
      </w:r>
    </w:p>
    <w:p w:rsidR="000B50E0" w:rsidRPr="00A04ADC" w:rsidRDefault="000B50E0" w:rsidP="000B50E0">
      <w:pPr>
        <w:spacing w:line="360" w:lineRule="auto"/>
        <w:ind w:firstLine="708"/>
        <w:jc w:val="both"/>
        <w:rPr>
          <w:rFonts w:ascii="Arial" w:hAnsi="Arial" w:cs="Arial"/>
          <w:sz w:val="26"/>
          <w:szCs w:val="26"/>
          <w:lang w:val="es-MX"/>
        </w:rPr>
      </w:pPr>
      <w:r w:rsidRPr="00A04ADC">
        <w:rPr>
          <w:rFonts w:ascii="Arial" w:hAnsi="Arial" w:cs="Arial"/>
          <w:sz w:val="26"/>
          <w:szCs w:val="26"/>
          <w:lang w:val="es-MX"/>
        </w:rPr>
        <w:t xml:space="preserve">Por recibido el Cuaderno de Revisión </w:t>
      </w:r>
      <w:r w:rsidRPr="0057517B">
        <w:rPr>
          <w:rFonts w:ascii="Arial" w:hAnsi="Arial" w:cs="Arial"/>
          <w:b/>
          <w:sz w:val="26"/>
          <w:szCs w:val="26"/>
          <w:lang w:val="es-MX"/>
        </w:rPr>
        <w:t>0438/2017,</w:t>
      </w:r>
      <w:r w:rsidRPr="00A04ADC">
        <w:rPr>
          <w:rFonts w:ascii="Arial" w:hAnsi="Arial" w:cs="Arial"/>
          <w:sz w:val="26"/>
          <w:szCs w:val="26"/>
          <w:lang w:val="es-MX"/>
        </w:rPr>
        <w:t xml:space="preserve"> que remite la Secretaría General de Acuerdos, con motivo del recurso de revisión interpuesto por </w:t>
      </w:r>
      <w:r w:rsidR="00AD3F43">
        <w:rPr>
          <w:rFonts w:ascii="Arial" w:hAnsi="Arial" w:cs="Arial"/>
          <w:sz w:val="26"/>
          <w:szCs w:val="26"/>
          <w:lang w:val="es-MX"/>
        </w:rPr>
        <w:t>el</w:t>
      </w:r>
      <w:r>
        <w:rPr>
          <w:rFonts w:ascii="Arial" w:hAnsi="Arial" w:cs="Arial"/>
          <w:b/>
          <w:sz w:val="26"/>
          <w:szCs w:val="26"/>
          <w:lang w:val="es-MX"/>
        </w:rPr>
        <w:t xml:space="preserve"> OFICIAL MAYOR DE LA SECRETARÍA DE SEGURIDAD </w:t>
      </w:r>
      <w:r w:rsidR="00AD3F43">
        <w:rPr>
          <w:rFonts w:ascii="Arial" w:hAnsi="Arial" w:cs="Arial"/>
          <w:b/>
          <w:sz w:val="26"/>
          <w:szCs w:val="26"/>
          <w:lang w:val="es-MX"/>
        </w:rPr>
        <w:t>PÚBLICA</w:t>
      </w:r>
      <w:r>
        <w:rPr>
          <w:rFonts w:ascii="Arial" w:hAnsi="Arial" w:cs="Arial"/>
          <w:b/>
          <w:sz w:val="26"/>
          <w:szCs w:val="26"/>
          <w:lang w:val="es-MX"/>
        </w:rPr>
        <w:t xml:space="preserve"> </w:t>
      </w:r>
      <w:r w:rsidR="00AD3F43">
        <w:rPr>
          <w:rFonts w:ascii="Arial" w:hAnsi="Arial" w:cs="Arial"/>
          <w:b/>
          <w:sz w:val="26"/>
          <w:szCs w:val="26"/>
          <w:lang w:val="es-MX"/>
        </w:rPr>
        <w:t>DEL ESTAD</w:t>
      </w:r>
      <w:r>
        <w:rPr>
          <w:rFonts w:ascii="Arial" w:hAnsi="Arial" w:cs="Arial"/>
          <w:b/>
          <w:sz w:val="26"/>
          <w:szCs w:val="26"/>
          <w:lang w:val="es-MX"/>
        </w:rPr>
        <w:t>O</w:t>
      </w:r>
      <w:r w:rsidR="00AD3F43">
        <w:rPr>
          <w:rFonts w:ascii="Arial" w:hAnsi="Arial" w:cs="Arial"/>
          <w:b/>
          <w:sz w:val="26"/>
          <w:szCs w:val="26"/>
          <w:lang w:val="es-MX"/>
        </w:rPr>
        <w:t xml:space="preserve"> D</w:t>
      </w:r>
      <w:r>
        <w:rPr>
          <w:rFonts w:ascii="Arial" w:hAnsi="Arial" w:cs="Arial"/>
          <w:b/>
          <w:sz w:val="26"/>
          <w:szCs w:val="26"/>
          <w:lang w:val="es-MX"/>
        </w:rPr>
        <w:t>E</w:t>
      </w:r>
      <w:r w:rsidR="00AD3F43">
        <w:rPr>
          <w:rFonts w:ascii="Arial" w:hAnsi="Arial" w:cs="Arial"/>
          <w:b/>
          <w:sz w:val="26"/>
          <w:szCs w:val="26"/>
          <w:lang w:val="es-MX"/>
        </w:rPr>
        <w:t xml:space="preserve"> </w:t>
      </w:r>
      <w:r>
        <w:rPr>
          <w:rFonts w:ascii="Arial" w:hAnsi="Arial" w:cs="Arial"/>
          <w:b/>
          <w:sz w:val="26"/>
          <w:szCs w:val="26"/>
          <w:lang w:val="es-MX"/>
        </w:rPr>
        <w:t>O</w:t>
      </w:r>
      <w:r w:rsidR="00AD3F43">
        <w:rPr>
          <w:rFonts w:ascii="Arial" w:hAnsi="Arial" w:cs="Arial"/>
          <w:b/>
          <w:sz w:val="26"/>
          <w:szCs w:val="26"/>
          <w:lang w:val="es-MX"/>
        </w:rPr>
        <w:t>AXACA,</w:t>
      </w:r>
      <w:r w:rsidR="00AD3F43">
        <w:rPr>
          <w:rFonts w:ascii="Arial" w:hAnsi="Arial" w:cs="Arial"/>
          <w:sz w:val="26"/>
          <w:szCs w:val="26"/>
          <w:lang w:val="es-MX"/>
        </w:rPr>
        <w:t xml:space="preserve"> demandado en </w:t>
      </w:r>
      <w:r w:rsidRPr="00A04ADC">
        <w:rPr>
          <w:rFonts w:ascii="Arial" w:hAnsi="Arial" w:cs="Arial"/>
          <w:sz w:val="26"/>
          <w:szCs w:val="26"/>
          <w:lang w:val="es-MX"/>
        </w:rPr>
        <w:t xml:space="preserve">el juicio natural en contra de </w:t>
      </w:r>
      <w:r w:rsidR="00AD3F43">
        <w:rPr>
          <w:rFonts w:ascii="Arial" w:hAnsi="Arial" w:cs="Arial"/>
          <w:sz w:val="26"/>
          <w:szCs w:val="26"/>
          <w:lang w:val="es-MX"/>
        </w:rPr>
        <w:t>sentencia</w:t>
      </w:r>
      <w:r w:rsidRPr="00A04ADC">
        <w:rPr>
          <w:rFonts w:ascii="Arial" w:hAnsi="Arial" w:cs="Arial"/>
          <w:sz w:val="26"/>
          <w:szCs w:val="26"/>
          <w:lang w:val="es-MX"/>
        </w:rPr>
        <w:t xml:space="preserve"> de </w:t>
      </w:r>
      <w:r>
        <w:rPr>
          <w:rFonts w:ascii="Arial" w:hAnsi="Arial" w:cs="Arial"/>
          <w:sz w:val="26"/>
          <w:szCs w:val="26"/>
          <w:lang w:val="es-MX"/>
        </w:rPr>
        <w:t>1</w:t>
      </w:r>
      <w:r w:rsidR="00AD3F43">
        <w:rPr>
          <w:rFonts w:ascii="Arial" w:hAnsi="Arial" w:cs="Arial"/>
          <w:sz w:val="26"/>
          <w:szCs w:val="26"/>
          <w:lang w:val="es-MX"/>
        </w:rPr>
        <w:t>6</w:t>
      </w:r>
      <w:r w:rsidRPr="00A04ADC">
        <w:rPr>
          <w:rFonts w:ascii="Arial" w:hAnsi="Arial" w:cs="Arial"/>
          <w:sz w:val="26"/>
          <w:szCs w:val="26"/>
          <w:lang w:val="es-MX"/>
        </w:rPr>
        <w:t xml:space="preserve"> </w:t>
      </w:r>
      <w:r w:rsidR="00AD3F43">
        <w:rPr>
          <w:rFonts w:ascii="Arial" w:hAnsi="Arial" w:cs="Arial"/>
          <w:sz w:val="26"/>
          <w:szCs w:val="26"/>
          <w:lang w:val="es-MX"/>
        </w:rPr>
        <w:t xml:space="preserve">dieciséis </w:t>
      </w:r>
      <w:r w:rsidRPr="00A04ADC">
        <w:rPr>
          <w:rFonts w:ascii="Arial" w:hAnsi="Arial" w:cs="Arial"/>
          <w:sz w:val="26"/>
          <w:szCs w:val="26"/>
          <w:lang w:val="es-MX"/>
        </w:rPr>
        <w:t xml:space="preserve">de </w:t>
      </w:r>
      <w:r w:rsidR="00AD3F43">
        <w:rPr>
          <w:rFonts w:ascii="Arial" w:hAnsi="Arial" w:cs="Arial"/>
          <w:sz w:val="26"/>
          <w:szCs w:val="26"/>
          <w:lang w:val="es-MX"/>
        </w:rPr>
        <w:t>noviembre</w:t>
      </w:r>
      <w:r w:rsidRPr="00A04ADC">
        <w:rPr>
          <w:rFonts w:ascii="Arial" w:hAnsi="Arial" w:cs="Arial"/>
          <w:sz w:val="26"/>
          <w:szCs w:val="26"/>
          <w:lang w:val="es-MX"/>
        </w:rPr>
        <w:t xml:space="preserve"> de 2017 dos mil diecisiete</w:t>
      </w:r>
      <w:r w:rsidR="0057517B">
        <w:rPr>
          <w:rFonts w:ascii="Arial" w:hAnsi="Arial" w:cs="Arial"/>
          <w:sz w:val="26"/>
          <w:szCs w:val="26"/>
          <w:lang w:val="es-MX"/>
        </w:rPr>
        <w:t>,</w:t>
      </w:r>
      <w:r w:rsidRPr="00A04ADC">
        <w:rPr>
          <w:rFonts w:ascii="Arial" w:hAnsi="Arial" w:cs="Arial"/>
          <w:sz w:val="26"/>
          <w:szCs w:val="26"/>
          <w:lang w:val="es-MX"/>
        </w:rPr>
        <w:t xml:space="preserve"> dictada por la </w:t>
      </w:r>
      <w:r w:rsidR="00AD3F43">
        <w:rPr>
          <w:rFonts w:ascii="Arial" w:hAnsi="Arial" w:cs="Arial"/>
          <w:sz w:val="26"/>
          <w:szCs w:val="26"/>
          <w:lang w:val="es-MX"/>
        </w:rPr>
        <w:t>Sext</w:t>
      </w:r>
      <w:r w:rsidRPr="00A04ADC">
        <w:rPr>
          <w:rFonts w:ascii="Arial" w:hAnsi="Arial" w:cs="Arial"/>
          <w:sz w:val="26"/>
          <w:szCs w:val="26"/>
          <w:lang w:val="es-MX"/>
        </w:rPr>
        <w:t xml:space="preserve">a Sala Unitaria de Primera Instancia </w:t>
      </w:r>
      <w:r>
        <w:rPr>
          <w:rFonts w:ascii="Arial" w:hAnsi="Arial" w:cs="Arial"/>
          <w:sz w:val="26"/>
          <w:szCs w:val="26"/>
          <w:lang w:val="es-MX"/>
        </w:rPr>
        <w:t xml:space="preserve">del otrora Tribunal de lo Contencioso Administrativo y de Cuentas, </w:t>
      </w:r>
      <w:r w:rsidRPr="00A04ADC">
        <w:rPr>
          <w:rFonts w:ascii="Arial" w:hAnsi="Arial" w:cs="Arial"/>
          <w:sz w:val="26"/>
          <w:szCs w:val="26"/>
          <w:lang w:val="es-MX"/>
        </w:rPr>
        <w:t xml:space="preserve">en el expediente </w:t>
      </w:r>
      <w:r>
        <w:rPr>
          <w:rFonts w:ascii="Arial" w:hAnsi="Arial" w:cs="Arial"/>
          <w:b/>
          <w:sz w:val="26"/>
          <w:szCs w:val="26"/>
          <w:lang w:val="es-MX"/>
        </w:rPr>
        <w:t>00</w:t>
      </w:r>
      <w:r w:rsidR="00AD3F43">
        <w:rPr>
          <w:rFonts w:ascii="Arial" w:hAnsi="Arial" w:cs="Arial"/>
          <w:b/>
          <w:sz w:val="26"/>
          <w:szCs w:val="26"/>
          <w:lang w:val="es-MX"/>
        </w:rPr>
        <w:t>21</w:t>
      </w:r>
      <w:r w:rsidRPr="00A04ADC">
        <w:rPr>
          <w:rFonts w:ascii="Arial" w:hAnsi="Arial" w:cs="Arial"/>
          <w:b/>
          <w:sz w:val="26"/>
          <w:szCs w:val="26"/>
          <w:lang w:val="es-MX"/>
        </w:rPr>
        <w:t>/201</w:t>
      </w:r>
      <w:r>
        <w:rPr>
          <w:rFonts w:ascii="Arial" w:hAnsi="Arial" w:cs="Arial"/>
          <w:b/>
          <w:sz w:val="26"/>
          <w:szCs w:val="26"/>
          <w:lang w:val="es-MX"/>
        </w:rPr>
        <w:t>7</w:t>
      </w:r>
      <w:r w:rsidRPr="00A04ADC">
        <w:rPr>
          <w:rFonts w:ascii="Arial" w:hAnsi="Arial" w:cs="Arial"/>
          <w:b/>
          <w:sz w:val="26"/>
          <w:szCs w:val="26"/>
          <w:lang w:val="es-MX"/>
        </w:rPr>
        <w:t xml:space="preserve"> </w:t>
      </w:r>
      <w:r w:rsidRPr="00A04ADC">
        <w:rPr>
          <w:rFonts w:ascii="Arial" w:hAnsi="Arial" w:cs="Arial"/>
          <w:sz w:val="26"/>
          <w:szCs w:val="26"/>
          <w:lang w:val="es-MX"/>
        </w:rPr>
        <w:t>de</w:t>
      </w:r>
      <w:r>
        <w:rPr>
          <w:rFonts w:ascii="Arial" w:hAnsi="Arial" w:cs="Arial"/>
          <w:sz w:val="26"/>
          <w:szCs w:val="26"/>
          <w:lang w:val="es-MX"/>
        </w:rPr>
        <w:t>l</w:t>
      </w:r>
      <w:r w:rsidRPr="00A04ADC">
        <w:rPr>
          <w:rFonts w:ascii="Arial" w:hAnsi="Arial" w:cs="Arial"/>
          <w:sz w:val="26"/>
          <w:szCs w:val="26"/>
          <w:lang w:val="es-MX"/>
        </w:rPr>
        <w:t xml:space="preserve"> índice</w:t>
      </w:r>
      <w:r>
        <w:rPr>
          <w:rFonts w:ascii="Arial" w:hAnsi="Arial" w:cs="Arial"/>
          <w:sz w:val="26"/>
          <w:szCs w:val="26"/>
          <w:lang w:val="es-MX"/>
        </w:rPr>
        <w:t xml:space="preserve"> de esa Sala</w:t>
      </w:r>
      <w:r w:rsidRPr="00A04ADC">
        <w:rPr>
          <w:rFonts w:ascii="Arial" w:hAnsi="Arial" w:cs="Arial"/>
          <w:sz w:val="26"/>
          <w:szCs w:val="26"/>
        </w:rPr>
        <w:t>, relativo al juicio</w:t>
      </w:r>
      <w:r w:rsidRPr="00A04ADC">
        <w:rPr>
          <w:rFonts w:ascii="Arial" w:hAnsi="Arial" w:cs="Arial"/>
          <w:sz w:val="26"/>
          <w:szCs w:val="26"/>
          <w:lang w:val="es-MX"/>
        </w:rPr>
        <w:t xml:space="preserve"> </w:t>
      </w:r>
      <w:r>
        <w:rPr>
          <w:rFonts w:ascii="Arial" w:hAnsi="Arial" w:cs="Arial"/>
          <w:sz w:val="26"/>
          <w:szCs w:val="26"/>
          <w:lang w:val="es-MX"/>
        </w:rPr>
        <w:t xml:space="preserve">de nulidad </w:t>
      </w:r>
      <w:r w:rsidRPr="00A04ADC">
        <w:rPr>
          <w:rFonts w:ascii="Arial" w:hAnsi="Arial" w:cs="Arial"/>
          <w:sz w:val="26"/>
          <w:szCs w:val="26"/>
          <w:lang w:val="es-MX"/>
        </w:rPr>
        <w:t>promovido por</w:t>
      </w:r>
      <w:r>
        <w:rPr>
          <w:rFonts w:ascii="Arial" w:hAnsi="Arial" w:cs="Arial"/>
          <w:sz w:val="26"/>
          <w:szCs w:val="26"/>
          <w:lang w:val="es-MX"/>
        </w:rPr>
        <w:t xml:space="preserve"> </w:t>
      </w:r>
      <w:r w:rsidRPr="00A04ADC">
        <w:rPr>
          <w:rFonts w:ascii="Arial" w:hAnsi="Arial" w:cs="Arial"/>
          <w:sz w:val="26"/>
          <w:szCs w:val="26"/>
          <w:lang w:val="es-MX"/>
        </w:rPr>
        <w:t xml:space="preserve"> </w:t>
      </w:r>
      <w:r w:rsidR="00EF33EC">
        <w:rPr>
          <w:rFonts w:ascii="Arial" w:hAnsi="Arial" w:cs="Arial"/>
          <w:b/>
          <w:sz w:val="26"/>
          <w:szCs w:val="26"/>
          <w:lang w:val="es-MX"/>
        </w:rPr>
        <w:t>**********</w:t>
      </w:r>
      <w:r w:rsidRPr="00A04ADC">
        <w:rPr>
          <w:rFonts w:ascii="Arial" w:hAnsi="Arial" w:cs="Arial"/>
          <w:b/>
          <w:sz w:val="26"/>
          <w:szCs w:val="26"/>
          <w:lang w:val="es-MX"/>
        </w:rPr>
        <w:t xml:space="preserve"> </w:t>
      </w:r>
      <w:r w:rsidRPr="00852C8D">
        <w:rPr>
          <w:rFonts w:ascii="Arial" w:hAnsi="Arial" w:cs="Arial"/>
          <w:sz w:val="26"/>
          <w:szCs w:val="26"/>
          <w:lang w:val="es-MX"/>
        </w:rPr>
        <w:t>e</w:t>
      </w:r>
      <w:r w:rsidRPr="00A04ADC">
        <w:rPr>
          <w:rFonts w:ascii="Arial" w:hAnsi="Arial" w:cs="Arial"/>
          <w:sz w:val="26"/>
          <w:szCs w:val="26"/>
          <w:lang w:val="es-MX"/>
        </w:rPr>
        <w:t xml:space="preserve">n contra del </w:t>
      </w:r>
      <w:r w:rsidR="00AD3F43">
        <w:rPr>
          <w:rFonts w:ascii="Arial" w:hAnsi="Arial" w:cs="Arial"/>
          <w:b/>
          <w:sz w:val="26"/>
          <w:szCs w:val="26"/>
          <w:lang w:val="es-MX"/>
        </w:rPr>
        <w:t>ENCARGADO DE LA OFICIALÍA MAYOR DE LA SECRETARÍA DE SEGURIDAD PÚBLICA DEL ESTADO DE OAXACA</w:t>
      </w:r>
      <w:r w:rsidRPr="00A04ADC">
        <w:rPr>
          <w:rFonts w:ascii="Arial" w:hAnsi="Arial" w:cs="Arial"/>
          <w:b/>
          <w:sz w:val="26"/>
          <w:szCs w:val="26"/>
          <w:lang w:val="es-MX"/>
        </w:rPr>
        <w:t xml:space="preserve">; </w:t>
      </w:r>
      <w:r w:rsidRPr="00A04ADC">
        <w:rPr>
          <w:rFonts w:ascii="Arial" w:hAnsi="Arial" w:cs="Arial"/>
          <w:sz w:val="26"/>
          <w:szCs w:val="26"/>
          <w:lang w:val="es-MX"/>
        </w:rPr>
        <w:t>por lo que</w:t>
      </w:r>
      <w:r>
        <w:rPr>
          <w:rFonts w:ascii="Arial" w:hAnsi="Arial" w:cs="Arial"/>
          <w:sz w:val="26"/>
          <w:szCs w:val="26"/>
          <w:lang w:val="es-MX"/>
        </w:rPr>
        <w:t>,</w:t>
      </w:r>
      <w:r w:rsidRPr="00A04ADC">
        <w:rPr>
          <w:rFonts w:ascii="Arial" w:hAnsi="Arial" w:cs="Arial"/>
          <w:sz w:val="26"/>
          <w:szCs w:val="26"/>
          <w:lang w:val="es-MX"/>
        </w:rPr>
        <w:t xml:space="preserve"> con fundamento en los artículos 207 y 208 de la Ley de Justicia Administrativa para el Estado de Oaxaca, </w:t>
      </w:r>
      <w:r w:rsidR="0057517B">
        <w:rPr>
          <w:rFonts w:ascii="Arial" w:hAnsi="Arial" w:cs="Arial"/>
          <w:sz w:val="26"/>
          <w:szCs w:val="26"/>
          <w:lang w:val="es-MX"/>
        </w:rPr>
        <w:t xml:space="preserve">vigente hasta el veinte de octubre de dos mil diecisiete, </w:t>
      </w:r>
      <w:r w:rsidRPr="00A04ADC">
        <w:rPr>
          <w:rFonts w:ascii="Arial" w:hAnsi="Arial" w:cs="Arial"/>
          <w:sz w:val="26"/>
          <w:szCs w:val="26"/>
          <w:lang w:val="es-MX"/>
        </w:rPr>
        <w:t>se admite.  En consecuencia, se procede a dictar resolución en los siguientes términos:</w:t>
      </w:r>
    </w:p>
    <w:p w:rsidR="000B50E0" w:rsidRPr="00A04ADC" w:rsidRDefault="000B50E0" w:rsidP="000B50E0">
      <w:pPr>
        <w:spacing w:line="360" w:lineRule="auto"/>
        <w:jc w:val="center"/>
        <w:rPr>
          <w:rFonts w:ascii="Arial" w:hAnsi="Arial" w:cs="Arial"/>
          <w:b/>
          <w:bCs/>
          <w:sz w:val="26"/>
          <w:szCs w:val="26"/>
          <w:lang w:val="es-MX"/>
        </w:rPr>
      </w:pPr>
      <w:r w:rsidRPr="00A04ADC">
        <w:rPr>
          <w:rFonts w:ascii="Arial" w:hAnsi="Arial" w:cs="Arial"/>
          <w:b/>
          <w:bCs/>
          <w:sz w:val="26"/>
          <w:szCs w:val="26"/>
          <w:lang w:val="es-MX"/>
        </w:rPr>
        <w:t>R E S U L T A N D O</w:t>
      </w:r>
    </w:p>
    <w:p w:rsidR="00730DEA" w:rsidRDefault="000B50E0" w:rsidP="000B50E0">
      <w:pPr>
        <w:spacing w:line="360" w:lineRule="auto"/>
        <w:ind w:firstLine="709"/>
        <w:jc w:val="both"/>
        <w:rPr>
          <w:rFonts w:ascii="Arial" w:hAnsi="Arial" w:cs="Arial"/>
          <w:sz w:val="26"/>
          <w:szCs w:val="26"/>
        </w:rPr>
      </w:pPr>
      <w:r w:rsidRPr="00A04ADC">
        <w:rPr>
          <w:rFonts w:ascii="Arial" w:hAnsi="Arial" w:cs="Arial"/>
          <w:b/>
          <w:bCs/>
          <w:sz w:val="26"/>
          <w:szCs w:val="26"/>
          <w:lang w:val="es-MX"/>
        </w:rPr>
        <w:t xml:space="preserve">PRIMERO. </w:t>
      </w:r>
      <w:r w:rsidRPr="00A04ADC">
        <w:rPr>
          <w:rFonts w:ascii="Arial" w:hAnsi="Arial" w:cs="Arial"/>
          <w:sz w:val="26"/>
          <w:szCs w:val="26"/>
          <w:lang w:val="es-MX"/>
        </w:rPr>
        <w:t xml:space="preserve">Inconforme con la </w:t>
      </w:r>
      <w:r w:rsidR="00F83AFB">
        <w:rPr>
          <w:rFonts w:ascii="Arial" w:hAnsi="Arial" w:cs="Arial"/>
          <w:sz w:val="26"/>
          <w:szCs w:val="26"/>
          <w:lang w:val="es-MX"/>
        </w:rPr>
        <w:t>sentencia</w:t>
      </w:r>
      <w:r w:rsidRPr="00A04ADC">
        <w:rPr>
          <w:rFonts w:ascii="Arial" w:hAnsi="Arial" w:cs="Arial"/>
          <w:sz w:val="26"/>
          <w:szCs w:val="26"/>
          <w:lang w:val="es-MX"/>
        </w:rPr>
        <w:t xml:space="preserve"> de </w:t>
      </w:r>
      <w:r>
        <w:rPr>
          <w:rFonts w:ascii="Arial" w:hAnsi="Arial" w:cs="Arial"/>
          <w:sz w:val="26"/>
          <w:szCs w:val="26"/>
          <w:lang w:val="es-MX"/>
        </w:rPr>
        <w:t>1</w:t>
      </w:r>
      <w:r w:rsidR="00F83AFB">
        <w:rPr>
          <w:rFonts w:ascii="Arial" w:hAnsi="Arial" w:cs="Arial"/>
          <w:sz w:val="26"/>
          <w:szCs w:val="26"/>
          <w:lang w:val="es-MX"/>
        </w:rPr>
        <w:t>6</w:t>
      </w:r>
      <w:r w:rsidRPr="00A04ADC">
        <w:rPr>
          <w:rFonts w:ascii="Arial" w:hAnsi="Arial" w:cs="Arial"/>
          <w:sz w:val="26"/>
          <w:szCs w:val="26"/>
          <w:lang w:val="es-MX"/>
        </w:rPr>
        <w:t xml:space="preserve"> </w:t>
      </w:r>
      <w:r w:rsidR="00F83AFB">
        <w:rPr>
          <w:rFonts w:ascii="Arial" w:hAnsi="Arial" w:cs="Arial"/>
          <w:sz w:val="26"/>
          <w:szCs w:val="26"/>
          <w:lang w:val="es-MX"/>
        </w:rPr>
        <w:t>dieciséis</w:t>
      </w:r>
      <w:r w:rsidRPr="00A04ADC">
        <w:rPr>
          <w:rFonts w:ascii="Arial" w:hAnsi="Arial" w:cs="Arial"/>
          <w:sz w:val="26"/>
          <w:szCs w:val="26"/>
          <w:lang w:val="es-MX"/>
        </w:rPr>
        <w:t xml:space="preserve"> de </w:t>
      </w:r>
      <w:r w:rsidR="00F83AFB">
        <w:rPr>
          <w:rFonts w:ascii="Arial" w:hAnsi="Arial" w:cs="Arial"/>
          <w:sz w:val="26"/>
          <w:szCs w:val="26"/>
          <w:lang w:val="es-MX"/>
        </w:rPr>
        <w:t>nov</w:t>
      </w:r>
      <w:r>
        <w:rPr>
          <w:rFonts w:ascii="Arial" w:hAnsi="Arial" w:cs="Arial"/>
          <w:sz w:val="26"/>
          <w:szCs w:val="26"/>
          <w:lang w:val="es-MX"/>
        </w:rPr>
        <w:t>iembre</w:t>
      </w:r>
      <w:r w:rsidRPr="00A04ADC">
        <w:rPr>
          <w:rFonts w:ascii="Arial" w:hAnsi="Arial" w:cs="Arial"/>
          <w:sz w:val="26"/>
          <w:szCs w:val="26"/>
          <w:lang w:val="es-MX"/>
        </w:rPr>
        <w:t xml:space="preserve"> de 2017 dos mil diecisiete</w:t>
      </w:r>
      <w:r>
        <w:rPr>
          <w:rFonts w:ascii="Arial" w:hAnsi="Arial" w:cs="Arial"/>
          <w:sz w:val="26"/>
          <w:szCs w:val="26"/>
          <w:lang w:val="es-MX"/>
        </w:rPr>
        <w:t xml:space="preserve">, dictada por la </w:t>
      </w:r>
      <w:r w:rsidR="00F83AFB">
        <w:rPr>
          <w:rFonts w:ascii="Arial" w:hAnsi="Arial" w:cs="Arial"/>
          <w:sz w:val="26"/>
          <w:szCs w:val="26"/>
          <w:lang w:val="es-MX"/>
        </w:rPr>
        <w:t>Sext</w:t>
      </w:r>
      <w:r w:rsidRPr="00A04ADC">
        <w:rPr>
          <w:rFonts w:ascii="Arial" w:hAnsi="Arial" w:cs="Arial"/>
          <w:sz w:val="26"/>
          <w:szCs w:val="26"/>
          <w:lang w:val="es-MX"/>
        </w:rPr>
        <w:t>a Sala Unitaria de Primera Instancia</w:t>
      </w:r>
      <w:r>
        <w:rPr>
          <w:rFonts w:ascii="Arial" w:hAnsi="Arial" w:cs="Arial"/>
          <w:sz w:val="26"/>
          <w:szCs w:val="26"/>
          <w:lang w:val="es-MX"/>
        </w:rPr>
        <w:t xml:space="preserve"> del entonces Tribunal de lo Contencioso Administrativo y de Cuentas</w:t>
      </w:r>
      <w:r w:rsidRPr="00A04ADC">
        <w:rPr>
          <w:rFonts w:ascii="Arial" w:hAnsi="Arial" w:cs="Arial"/>
          <w:sz w:val="26"/>
          <w:szCs w:val="26"/>
          <w:lang w:val="es-MX"/>
        </w:rPr>
        <w:t xml:space="preserve">, </w:t>
      </w:r>
      <w:r w:rsidR="00F83AFB">
        <w:rPr>
          <w:rFonts w:ascii="Arial" w:hAnsi="Arial" w:cs="Arial"/>
          <w:sz w:val="26"/>
          <w:szCs w:val="26"/>
          <w:lang w:val="es-MX"/>
        </w:rPr>
        <w:t xml:space="preserve">el </w:t>
      </w:r>
      <w:r w:rsidR="00F83AFB">
        <w:rPr>
          <w:rFonts w:ascii="Arial" w:hAnsi="Arial" w:cs="Arial"/>
          <w:b/>
          <w:sz w:val="26"/>
          <w:szCs w:val="26"/>
          <w:lang w:val="es-MX"/>
        </w:rPr>
        <w:t>OFICIAL MAYOR DE LA SECRETARÍA DE SEGURIDAD PÚBLICA DEL ESTADO DE OAXACA</w:t>
      </w:r>
      <w:r w:rsidR="00F83AFB">
        <w:rPr>
          <w:rFonts w:ascii="Arial" w:hAnsi="Arial" w:cs="Arial"/>
          <w:sz w:val="26"/>
          <w:szCs w:val="26"/>
          <w:lang w:val="es-MX"/>
        </w:rPr>
        <w:t xml:space="preserve"> demandado</w:t>
      </w:r>
      <w:r w:rsidRPr="00A04ADC">
        <w:rPr>
          <w:rFonts w:ascii="Arial" w:hAnsi="Arial" w:cs="Arial"/>
          <w:sz w:val="26"/>
          <w:szCs w:val="26"/>
          <w:lang w:val="es-MX"/>
        </w:rPr>
        <w:t xml:space="preserve"> </w:t>
      </w:r>
      <w:r>
        <w:rPr>
          <w:rFonts w:ascii="Arial" w:hAnsi="Arial" w:cs="Arial"/>
          <w:sz w:val="26"/>
          <w:szCs w:val="26"/>
          <w:lang w:val="es-MX"/>
        </w:rPr>
        <w:t xml:space="preserve">en </w:t>
      </w:r>
      <w:r w:rsidRPr="00A04ADC">
        <w:rPr>
          <w:rFonts w:ascii="Arial" w:hAnsi="Arial" w:cs="Arial"/>
          <w:sz w:val="26"/>
          <w:szCs w:val="26"/>
          <w:lang w:val="es-MX"/>
        </w:rPr>
        <w:t>el juicio</w:t>
      </w:r>
      <w:r>
        <w:rPr>
          <w:rFonts w:ascii="Arial" w:hAnsi="Arial" w:cs="Arial"/>
          <w:sz w:val="26"/>
          <w:szCs w:val="26"/>
          <w:lang w:val="es-MX"/>
        </w:rPr>
        <w:t xml:space="preserve"> natural</w:t>
      </w:r>
      <w:r w:rsidRPr="00A04ADC">
        <w:rPr>
          <w:rFonts w:ascii="Arial" w:hAnsi="Arial" w:cs="Arial"/>
          <w:sz w:val="26"/>
          <w:szCs w:val="26"/>
          <w:lang w:val="es-MX"/>
        </w:rPr>
        <w:t>, interp</w:t>
      </w:r>
      <w:r>
        <w:rPr>
          <w:rFonts w:ascii="Arial" w:hAnsi="Arial" w:cs="Arial"/>
          <w:sz w:val="26"/>
          <w:szCs w:val="26"/>
          <w:lang w:val="es-MX"/>
        </w:rPr>
        <w:t>uso</w:t>
      </w:r>
      <w:r w:rsidRPr="00A04ADC">
        <w:rPr>
          <w:rFonts w:ascii="Arial" w:hAnsi="Arial" w:cs="Arial"/>
          <w:sz w:val="26"/>
          <w:szCs w:val="26"/>
          <w:lang w:val="es-MX"/>
        </w:rPr>
        <w:t xml:space="preserve"> en su contra recurso de revisión.</w:t>
      </w:r>
      <w:r w:rsidR="00730DEA">
        <w:rPr>
          <w:rFonts w:ascii="Arial" w:hAnsi="Arial" w:cs="Arial"/>
          <w:sz w:val="26"/>
          <w:szCs w:val="26"/>
        </w:rPr>
        <w:t xml:space="preserve"> </w:t>
      </w:r>
    </w:p>
    <w:p w:rsidR="00730DEA" w:rsidRDefault="00730DEA" w:rsidP="00730DEA">
      <w:pPr>
        <w:spacing w:after="0" w:line="360" w:lineRule="auto"/>
        <w:jc w:val="both"/>
        <w:rPr>
          <w:rFonts w:ascii="Arial" w:eastAsia="Calibri" w:hAnsi="Arial" w:cs="Arial"/>
          <w:sz w:val="26"/>
          <w:szCs w:val="26"/>
        </w:rPr>
      </w:pPr>
      <w:r>
        <w:rPr>
          <w:rFonts w:ascii="Arial" w:hAnsi="Arial" w:cs="Arial"/>
          <w:b/>
          <w:bCs/>
          <w:sz w:val="26"/>
          <w:szCs w:val="26"/>
        </w:rPr>
        <w:tab/>
      </w:r>
      <w:r>
        <w:rPr>
          <w:rFonts w:ascii="Arial" w:eastAsia="Calibri" w:hAnsi="Arial" w:cs="Arial"/>
          <w:b/>
          <w:bCs/>
          <w:sz w:val="26"/>
          <w:szCs w:val="26"/>
        </w:rPr>
        <w:t xml:space="preserve">SEGUNDO.- </w:t>
      </w:r>
      <w:r>
        <w:rPr>
          <w:rFonts w:ascii="Arial" w:eastAsia="Calibri" w:hAnsi="Arial" w:cs="Arial"/>
          <w:sz w:val="26"/>
          <w:szCs w:val="26"/>
        </w:rPr>
        <w:t>Los puntos resolutivos de la sentencia recurrida son los siguientes:</w:t>
      </w:r>
    </w:p>
    <w:p w:rsidR="00F83AFB" w:rsidRPr="0057517B" w:rsidRDefault="00730DEA" w:rsidP="00730DEA">
      <w:pPr>
        <w:pStyle w:val="Textoindependiente21"/>
        <w:tabs>
          <w:tab w:val="left" w:pos="7938"/>
        </w:tabs>
        <w:spacing w:before="240" w:line="360" w:lineRule="auto"/>
        <w:ind w:left="1134" w:right="616" w:firstLine="0"/>
        <w:rPr>
          <w:rFonts w:ascii="Arial" w:hAnsi="Arial" w:cs="Arial"/>
          <w:bCs/>
          <w:iCs/>
          <w:sz w:val="22"/>
          <w:szCs w:val="22"/>
        </w:rPr>
      </w:pPr>
      <w:r w:rsidRPr="0057517B">
        <w:rPr>
          <w:rFonts w:ascii="Arial" w:hAnsi="Arial" w:cs="Arial"/>
          <w:b/>
          <w:bCs/>
          <w:iCs/>
          <w:sz w:val="22"/>
          <w:szCs w:val="22"/>
        </w:rPr>
        <w:lastRenderedPageBreak/>
        <w:t xml:space="preserve">“PRIMERO. </w:t>
      </w:r>
      <w:r w:rsidR="00865CCC" w:rsidRPr="0057517B">
        <w:rPr>
          <w:rFonts w:ascii="Arial" w:hAnsi="Arial" w:cs="Arial"/>
          <w:bCs/>
          <w:iCs/>
          <w:sz w:val="22"/>
          <w:szCs w:val="22"/>
        </w:rPr>
        <w:t>Est</w:t>
      </w:r>
      <w:r w:rsidR="00F83AFB" w:rsidRPr="0057517B">
        <w:rPr>
          <w:rFonts w:ascii="Arial" w:hAnsi="Arial" w:cs="Arial"/>
          <w:bCs/>
          <w:iCs/>
          <w:sz w:val="22"/>
          <w:szCs w:val="22"/>
        </w:rPr>
        <w:t xml:space="preserve">a Sexta Sala unitaria </w:t>
      </w:r>
      <w:r w:rsidR="00865CCC" w:rsidRPr="0057517B">
        <w:rPr>
          <w:rFonts w:ascii="Arial" w:hAnsi="Arial" w:cs="Arial"/>
          <w:bCs/>
          <w:iCs/>
          <w:sz w:val="22"/>
          <w:szCs w:val="22"/>
        </w:rPr>
        <w:t>fue competente para conocer y resolver del presente asunto</w:t>
      </w:r>
      <w:r w:rsidRPr="0057517B">
        <w:rPr>
          <w:rFonts w:ascii="Arial" w:hAnsi="Arial" w:cs="Arial"/>
          <w:bCs/>
          <w:iCs/>
          <w:sz w:val="22"/>
          <w:szCs w:val="22"/>
        </w:rPr>
        <w:t>.</w:t>
      </w:r>
      <w:r w:rsidR="00865CCC" w:rsidRPr="0057517B">
        <w:rPr>
          <w:rFonts w:ascii="Arial" w:hAnsi="Arial" w:cs="Arial"/>
          <w:bCs/>
          <w:iCs/>
          <w:sz w:val="22"/>
          <w:szCs w:val="22"/>
        </w:rPr>
        <w:t>- - -</w:t>
      </w:r>
      <w:r w:rsidR="00C5439C" w:rsidRPr="0057517B">
        <w:rPr>
          <w:rFonts w:ascii="Arial" w:hAnsi="Arial" w:cs="Arial"/>
          <w:bCs/>
          <w:iCs/>
          <w:sz w:val="22"/>
          <w:szCs w:val="22"/>
        </w:rPr>
        <w:t xml:space="preserve"> - - - - - </w:t>
      </w:r>
      <w:r w:rsidR="00F83AFB" w:rsidRPr="0057517B">
        <w:rPr>
          <w:rFonts w:ascii="Arial" w:hAnsi="Arial" w:cs="Arial"/>
          <w:bCs/>
          <w:iCs/>
          <w:sz w:val="22"/>
          <w:szCs w:val="22"/>
        </w:rPr>
        <w:t>- - - - - - - - - -</w:t>
      </w:r>
      <w:r w:rsidR="00516635" w:rsidRPr="0057517B">
        <w:rPr>
          <w:rFonts w:ascii="Arial" w:hAnsi="Arial" w:cs="Arial"/>
          <w:bCs/>
          <w:iCs/>
          <w:sz w:val="22"/>
          <w:szCs w:val="22"/>
        </w:rPr>
        <w:t xml:space="preserve">- </w:t>
      </w:r>
      <w:r w:rsidRPr="0057517B">
        <w:rPr>
          <w:rFonts w:ascii="Arial" w:hAnsi="Arial" w:cs="Arial"/>
          <w:b/>
          <w:bCs/>
          <w:iCs/>
          <w:sz w:val="22"/>
          <w:szCs w:val="22"/>
        </w:rPr>
        <w:t xml:space="preserve">SEGUNDO. </w:t>
      </w:r>
      <w:r w:rsidR="00F83AFB" w:rsidRPr="0057517B">
        <w:rPr>
          <w:rFonts w:ascii="Arial" w:hAnsi="Arial" w:cs="Arial"/>
          <w:bCs/>
          <w:iCs/>
          <w:sz w:val="22"/>
          <w:szCs w:val="22"/>
        </w:rPr>
        <w:t>No se actualizaron causales de improcedencia por lo que no se sobresee</w:t>
      </w:r>
      <w:r w:rsidR="00F83AFB" w:rsidRPr="0057517B">
        <w:rPr>
          <w:rFonts w:ascii="Arial" w:hAnsi="Arial" w:cs="Arial"/>
          <w:b/>
          <w:bCs/>
          <w:iCs/>
          <w:sz w:val="22"/>
          <w:szCs w:val="22"/>
        </w:rPr>
        <w:t xml:space="preserve"> </w:t>
      </w:r>
      <w:r w:rsidR="00F83AFB" w:rsidRPr="0057517B">
        <w:rPr>
          <w:rFonts w:ascii="Arial" w:hAnsi="Arial" w:cs="Arial"/>
          <w:bCs/>
          <w:iCs/>
          <w:sz w:val="22"/>
          <w:szCs w:val="22"/>
        </w:rPr>
        <w:t>el juicio</w:t>
      </w:r>
      <w:r w:rsidRPr="0057517B">
        <w:rPr>
          <w:rFonts w:ascii="Arial" w:hAnsi="Arial" w:cs="Arial"/>
          <w:bCs/>
          <w:iCs/>
          <w:sz w:val="22"/>
          <w:szCs w:val="22"/>
        </w:rPr>
        <w:t xml:space="preserve">.- - - - - - - - - - </w:t>
      </w:r>
      <w:r w:rsidR="00F83AFB" w:rsidRPr="0057517B">
        <w:rPr>
          <w:rFonts w:ascii="Arial" w:hAnsi="Arial" w:cs="Arial"/>
          <w:bCs/>
          <w:iCs/>
          <w:sz w:val="22"/>
          <w:szCs w:val="22"/>
        </w:rPr>
        <w:t xml:space="preserve">- - - - - - - - - - - - - - </w:t>
      </w:r>
      <w:r w:rsidR="005D0907" w:rsidRPr="0057517B">
        <w:rPr>
          <w:rFonts w:ascii="Arial" w:hAnsi="Arial" w:cs="Arial"/>
          <w:bCs/>
          <w:iCs/>
          <w:sz w:val="22"/>
          <w:szCs w:val="22"/>
        </w:rPr>
        <w:t>-</w:t>
      </w:r>
      <w:r w:rsidRPr="0057517B">
        <w:rPr>
          <w:rFonts w:ascii="Arial" w:hAnsi="Arial" w:cs="Arial"/>
          <w:b/>
          <w:bCs/>
          <w:iCs/>
          <w:sz w:val="22"/>
          <w:szCs w:val="22"/>
        </w:rPr>
        <w:t xml:space="preserve">TERCERO. </w:t>
      </w:r>
      <w:r w:rsidR="00F83AFB" w:rsidRPr="0057517B">
        <w:rPr>
          <w:rFonts w:ascii="Arial" w:hAnsi="Arial" w:cs="Arial"/>
          <w:bCs/>
          <w:iCs/>
          <w:sz w:val="22"/>
          <w:szCs w:val="22"/>
        </w:rPr>
        <w:t xml:space="preserve">Se declara la </w:t>
      </w:r>
      <w:r w:rsidR="00F83AFB" w:rsidRPr="0057517B">
        <w:rPr>
          <w:rFonts w:ascii="Arial" w:hAnsi="Arial" w:cs="Arial"/>
          <w:b/>
          <w:bCs/>
          <w:iCs/>
          <w:sz w:val="22"/>
          <w:szCs w:val="22"/>
        </w:rPr>
        <w:t xml:space="preserve">NULIDAD del oficio SSP/OM/DRH/0235/2017, emitido POR LA ENCARGADA DE LA </w:t>
      </w:r>
      <w:r w:rsidR="00F83AFB" w:rsidRPr="0057517B">
        <w:rPr>
          <w:rFonts w:ascii="Arial" w:hAnsi="Arial" w:cs="Arial"/>
          <w:b/>
          <w:sz w:val="22"/>
          <w:szCs w:val="22"/>
          <w:lang w:val="es-MX"/>
        </w:rPr>
        <w:t>OFICIALÍA MAYOR DE LA SECRETARÍA DE SEGURIDAD PÚBLICA DEL GOBIERNO DEL ESTADO DE OAXACA, PARA EL EFECTO</w:t>
      </w:r>
      <w:r w:rsidR="00F83AFB" w:rsidRPr="0057517B">
        <w:rPr>
          <w:rFonts w:ascii="Arial" w:hAnsi="Arial" w:cs="Arial"/>
          <w:bCs/>
          <w:iCs/>
          <w:sz w:val="22"/>
          <w:szCs w:val="22"/>
        </w:rPr>
        <w:t xml:space="preserve"> de que la encargada ahora Titular de la mencionada Oficialía o quien resulte competente en dicha dependencia, emita otro en su lugar, fundado y motivado conteste la petición referida a la parte actora, en la que realice un nuevo cálculo de la cuantía </w:t>
      </w:r>
      <w:r w:rsidR="00C1180B" w:rsidRPr="0057517B">
        <w:rPr>
          <w:rFonts w:ascii="Arial" w:hAnsi="Arial" w:cs="Arial"/>
          <w:bCs/>
          <w:iCs/>
          <w:sz w:val="22"/>
          <w:szCs w:val="22"/>
        </w:rPr>
        <w:t>de la pensión vitalicia, y ordene el pago de las diferencias retenidas, como quedó precisado en el considerando sexto de esta sentencia.</w:t>
      </w:r>
      <w:r w:rsidR="00C5439C" w:rsidRPr="0057517B">
        <w:rPr>
          <w:rFonts w:ascii="Arial" w:hAnsi="Arial" w:cs="Arial"/>
          <w:bCs/>
          <w:iCs/>
          <w:sz w:val="22"/>
          <w:szCs w:val="22"/>
        </w:rPr>
        <w:t xml:space="preserve">- - - - - - - - - </w:t>
      </w:r>
      <w:r w:rsidR="00516635" w:rsidRPr="0057517B">
        <w:rPr>
          <w:rFonts w:ascii="Arial" w:hAnsi="Arial" w:cs="Arial"/>
          <w:bCs/>
          <w:iCs/>
          <w:sz w:val="22"/>
          <w:szCs w:val="22"/>
        </w:rPr>
        <w:t>- - - - - - - - - -</w:t>
      </w:r>
      <w:r w:rsidR="00C1180B" w:rsidRPr="0057517B">
        <w:rPr>
          <w:rFonts w:ascii="Arial" w:hAnsi="Arial" w:cs="Arial"/>
          <w:bCs/>
          <w:iCs/>
          <w:sz w:val="22"/>
          <w:szCs w:val="22"/>
        </w:rPr>
        <w:t xml:space="preserve"> - - - - - - - - - - - - - - - - - - - - -</w:t>
      </w:r>
      <w:r w:rsidR="00516635" w:rsidRPr="0057517B">
        <w:rPr>
          <w:rFonts w:ascii="Arial" w:hAnsi="Arial" w:cs="Arial"/>
          <w:bCs/>
          <w:iCs/>
          <w:sz w:val="22"/>
          <w:szCs w:val="22"/>
        </w:rPr>
        <w:t xml:space="preserve"> </w:t>
      </w:r>
    </w:p>
    <w:p w:rsidR="00730DEA" w:rsidRPr="0057517B" w:rsidRDefault="00C5439C" w:rsidP="00F83AFB">
      <w:pPr>
        <w:pStyle w:val="Textoindependiente21"/>
        <w:tabs>
          <w:tab w:val="left" w:pos="7938"/>
        </w:tabs>
        <w:spacing w:line="360" w:lineRule="auto"/>
        <w:ind w:left="1134" w:right="616" w:firstLine="0"/>
        <w:rPr>
          <w:rFonts w:ascii="Arial" w:hAnsi="Arial" w:cs="Arial"/>
          <w:b/>
          <w:bCs/>
          <w:iCs/>
          <w:sz w:val="22"/>
          <w:szCs w:val="22"/>
        </w:rPr>
      </w:pPr>
      <w:r w:rsidRPr="0057517B">
        <w:rPr>
          <w:rFonts w:ascii="Arial" w:hAnsi="Arial" w:cs="Arial"/>
          <w:b/>
          <w:bCs/>
          <w:iCs/>
          <w:sz w:val="22"/>
          <w:szCs w:val="22"/>
        </w:rPr>
        <w:t xml:space="preserve">CUARTO. </w:t>
      </w:r>
      <w:r w:rsidR="00C1180B" w:rsidRPr="0057517B">
        <w:rPr>
          <w:rFonts w:ascii="Arial" w:hAnsi="Arial" w:cs="Arial"/>
          <w:b/>
          <w:bCs/>
          <w:iCs/>
          <w:sz w:val="22"/>
          <w:szCs w:val="22"/>
        </w:rPr>
        <w:t xml:space="preserve">NOTIFÍQUESE PERSONALMENTE AL ACTOR Y POR OFICIO A LA AUTORIDAD DEMANDADA, </w:t>
      </w:r>
      <w:r w:rsidR="00C1180B" w:rsidRPr="0057517B">
        <w:rPr>
          <w:rFonts w:ascii="Arial" w:hAnsi="Arial" w:cs="Arial"/>
          <w:bCs/>
          <w:iCs/>
          <w:sz w:val="22"/>
          <w:szCs w:val="22"/>
        </w:rPr>
        <w:t>c</w:t>
      </w:r>
      <w:r w:rsidR="00730DEA" w:rsidRPr="0057517B">
        <w:rPr>
          <w:rFonts w:ascii="Arial" w:hAnsi="Arial" w:cs="Arial"/>
          <w:bCs/>
          <w:iCs/>
          <w:sz w:val="22"/>
          <w:szCs w:val="22"/>
        </w:rPr>
        <w:t>on</w:t>
      </w:r>
      <w:r w:rsidRPr="0057517B">
        <w:rPr>
          <w:rFonts w:ascii="Arial" w:hAnsi="Arial" w:cs="Arial"/>
          <w:bCs/>
          <w:iCs/>
          <w:sz w:val="22"/>
          <w:szCs w:val="22"/>
        </w:rPr>
        <w:t xml:space="preserve"> fundamento en los artículos </w:t>
      </w:r>
      <w:r w:rsidR="00730DEA" w:rsidRPr="0057517B">
        <w:rPr>
          <w:rFonts w:ascii="Arial" w:hAnsi="Arial" w:cs="Arial"/>
          <w:bCs/>
          <w:iCs/>
          <w:sz w:val="22"/>
          <w:szCs w:val="22"/>
        </w:rPr>
        <w:t>142 fracción I</w:t>
      </w:r>
      <w:r w:rsidR="00AE3C7A" w:rsidRPr="0057517B">
        <w:rPr>
          <w:rFonts w:ascii="Arial" w:hAnsi="Arial" w:cs="Arial"/>
          <w:bCs/>
          <w:iCs/>
          <w:sz w:val="22"/>
          <w:szCs w:val="22"/>
        </w:rPr>
        <w:t xml:space="preserve"> y 143 </w:t>
      </w:r>
      <w:r w:rsidR="00730DEA" w:rsidRPr="0057517B">
        <w:rPr>
          <w:rFonts w:ascii="Arial" w:hAnsi="Arial" w:cs="Arial"/>
          <w:bCs/>
          <w:iCs/>
          <w:sz w:val="22"/>
          <w:szCs w:val="22"/>
        </w:rPr>
        <w:t>fracci</w:t>
      </w:r>
      <w:r w:rsidR="00AE3C7A" w:rsidRPr="0057517B">
        <w:rPr>
          <w:rFonts w:ascii="Arial" w:hAnsi="Arial" w:cs="Arial"/>
          <w:bCs/>
          <w:iCs/>
          <w:sz w:val="22"/>
          <w:szCs w:val="22"/>
        </w:rPr>
        <w:t xml:space="preserve">ones I y II, </w:t>
      </w:r>
      <w:r w:rsidR="00730DEA" w:rsidRPr="0057517B">
        <w:rPr>
          <w:rFonts w:ascii="Arial" w:hAnsi="Arial" w:cs="Arial"/>
          <w:bCs/>
          <w:iCs/>
          <w:sz w:val="22"/>
          <w:szCs w:val="22"/>
        </w:rPr>
        <w:t xml:space="preserve">de la Ley de Justicia Administrativa </w:t>
      </w:r>
      <w:r w:rsidR="00C1180B" w:rsidRPr="0057517B">
        <w:rPr>
          <w:rFonts w:ascii="Arial" w:hAnsi="Arial" w:cs="Arial"/>
          <w:bCs/>
          <w:iCs/>
          <w:sz w:val="22"/>
          <w:szCs w:val="22"/>
        </w:rPr>
        <w:t xml:space="preserve">y de Cuentas (sic) </w:t>
      </w:r>
      <w:r w:rsidR="00730DEA" w:rsidRPr="0057517B">
        <w:rPr>
          <w:rFonts w:ascii="Arial" w:hAnsi="Arial" w:cs="Arial"/>
          <w:bCs/>
          <w:iCs/>
          <w:sz w:val="22"/>
          <w:szCs w:val="22"/>
        </w:rPr>
        <w:t>para el Estado</w:t>
      </w:r>
      <w:r w:rsidRPr="0057517B">
        <w:rPr>
          <w:rFonts w:ascii="Arial" w:hAnsi="Arial" w:cs="Arial"/>
          <w:bCs/>
          <w:iCs/>
          <w:sz w:val="22"/>
          <w:szCs w:val="22"/>
        </w:rPr>
        <w:t xml:space="preserve"> de Oaxaca</w:t>
      </w:r>
      <w:r w:rsidRPr="0057517B">
        <w:rPr>
          <w:rFonts w:ascii="Arial" w:hAnsi="Arial" w:cs="Arial"/>
          <w:b/>
          <w:bCs/>
          <w:iCs/>
          <w:sz w:val="22"/>
          <w:szCs w:val="22"/>
        </w:rPr>
        <w:t>.</w:t>
      </w:r>
      <w:r w:rsidR="00C1180B" w:rsidRPr="0057517B">
        <w:rPr>
          <w:rFonts w:ascii="Arial" w:hAnsi="Arial" w:cs="Arial"/>
          <w:b/>
          <w:bCs/>
          <w:iCs/>
          <w:sz w:val="22"/>
          <w:szCs w:val="22"/>
        </w:rPr>
        <w:t xml:space="preserve"> CÚMPLASE</w:t>
      </w:r>
      <w:r w:rsidR="00177F0E" w:rsidRPr="0057517B">
        <w:rPr>
          <w:rFonts w:ascii="Arial" w:hAnsi="Arial" w:cs="Arial"/>
          <w:b/>
          <w:bCs/>
          <w:iCs/>
          <w:sz w:val="22"/>
          <w:szCs w:val="22"/>
        </w:rPr>
        <w:t>.</w:t>
      </w:r>
      <w:r w:rsidR="00C1180B" w:rsidRPr="0057517B">
        <w:rPr>
          <w:rFonts w:ascii="Arial" w:hAnsi="Arial" w:cs="Arial"/>
          <w:bCs/>
          <w:iCs/>
          <w:sz w:val="22"/>
          <w:szCs w:val="22"/>
        </w:rPr>
        <w:t xml:space="preserve"> </w:t>
      </w:r>
      <w:r w:rsidR="00AE3C7A" w:rsidRPr="0057517B">
        <w:rPr>
          <w:rFonts w:ascii="Arial" w:hAnsi="Arial" w:cs="Arial"/>
          <w:bCs/>
          <w:iCs/>
          <w:sz w:val="22"/>
          <w:szCs w:val="22"/>
        </w:rPr>
        <w:t>- - - - - - - - - - - - - - - - - - - - - -</w:t>
      </w:r>
      <w:r w:rsidRPr="0057517B">
        <w:rPr>
          <w:rFonts w:ascii="Arial" w:hAnsi="Arial" w:cs="Arial"/>
          <w:bCs/>
          <w:iCs/>
          <w:sz w:val="22"/>
          <w:szCs w:val="22"/>
        </w:rPr>
        <w:t xml:space="preserve"> -</w:t>
      </w:r>
      <w:r w:rsidR="00177F0E" w:rsidRPr="0057517B">
        <w:rPr>
          <w:rFonts w:ascii="Arial" w:hAnsi="Arial" w:cs="Arial"/>
          <w:bCs/>
          <w:iCs/>
          <w:sz w:val="22"/>
          <w:szCs w:val="22"/>
        </w:rPr>
        <w:t>…</w:t>
      </w:r>
      <w:r w:rsidR="00AE3C7A" w:rsidRPr="0057517B">
        <w:rPr>
          <w:rFonts w:ascii="Arial" w:hAnsi="Arial" w:cs="Arial"/>
          <w:bCs/>
          <w:iCs/>
          <w:sz w:val="22"/>
          <w:szCs w:val="22"/>
        </w:rPr>
        <w:t>”</w:t>
      </w:r>
    </w:p>
    <w:p w:rsidR="00730DEA" w:rsidRDefault="00730DEA" w:rsidP="00730DEA">
      <w:pPr>
        <w:widowControl w:val="0"/>
        <w:tabs>
          <w:tab w:val="left" w:pos="2835"/>
          <w:tab w:val="left" w:pos="7938"/>
        </w:tabs>
        <w:spacing w:before="240" w:after="0" w:line="360" w:lineRule="auto"/>
        <w:ind w:right="17"/>
        <w:jc w:val="center"/>
        <w:rPr>
          <w:rFonts w:ascii="Arial" w:hAnsi="Arial" w:cs="Arial"/>
          <w:bCs/>
          <w:iCs/>
          <w:lang w:eastAsia="es-ES"/>
        </w:rPr>
      </w:pPr>
      <w:r>
        <w:rPr>
          <w:rFonts w:ascii="Arial" w:hAnsi="Arial" w:cs="Arial"/>
          <w:b/>
          <w:bCs/>
          <w:sz w:val="26"/>
          <w:szCs w:val="26"/>
          <w:lang w:eastAsia="es-ES"/>
        </w:rPr>
        <w:t>C O N S I D E R A N D O</w:t>
      </w:r>
    </w:p>
    <w:p w:rsidR="00730DEA" w:rsidRDefault="00AC073E" w:rsidP="00730DEA">
      <w:pPr>
        <w:widowControl w:val="0"/>
        <w:tabs>
          <w:tab w:val="left" w:pos="7938"/>
        </w:tabs>
        <w:spacing w:before="240" w:after="0" w:line="360" w:lineRule="auto"/>
        <w:ind w:right="18" w:firstLine="709"/>
        <w:jc w:val="both"/>
        <w:rPr>
          <w:rFonts w:ascii="Arial" w:hAnsi="Arial" w:cs="Arial"/>
          <w:sz w:val="26"/>
          <w:szCs w:val="26"/>
          <w:lang w:val="es-MX"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7DCDE05E" wp14:editId="5E25772C">
                <wp:simplePos x="0" y="0"/>
                <wp:positionH relativeFrom="column">
                  <wp:posOffset>5795010</wp:posOffset>
                </wp:positionH>
                <wp:positionV relativeFrom="paragraph">
                  <wp:posOffset>2103755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C073E" w:rsidRDefault="00AC073E" w:rsidP="00AC073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56.3pt;margin-top:165.6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">
                <v:textbox>
                  <w:txbxContent>
                    <w:p w:rsidR="00AC073E" w:rsidRDefault="00AC073E" w:rsidP="00AC073E">
                      <w:pPr>
                        <w:rPr>
                          <w:sz w:val="16"/>
                          <w:szCs w:val="16"/>
                        </w:rPr>
                      </w:pPr>
                      <w:r>
                        <w:rPr>
                          <w:sz w:val="16"/>
                          <w:szCs w:val="16"/>
                        </w:rPr>
                        <w:t>Datos personales protegidos por el Art. 116 de la LGTAIP y el Art. 56 de la LTAIPEO</w:t>
                      </w:r>
                    </w:p>
                  </w:txbxContent>
                </v:textbox>
              </v:shape>
            </w:pict>
          </mc:Fallback>
        </mc:AlternateContent>
      </w:r>
      <w:r w:rsidR="0057517B">
        <w:rPr>
          <w:rFonts w:ascii="Arial" w:hAnsi="Arial" w:cs="Arial"/>
          <w:b/>
          <w:bCs/>
          <w:iCs/>
          <w:sz w:val="26"/>
          <w:szCs w:val="26"/>
          <w:lang w:eastAsia="es-ES"/>
        </w:rPr>
        <w:t>PRIMERO.</w:t>
      </w:r>
      <w:r w:rsidR="0057517B">
        <w:rPr>
          <w:rFonts w:ascii="Arial" w:hAnsi="Arial" w:cs="Arial"/>
          <w:b/>
          <w:bCs/>
          <w:iCs/>
          <w:sz w:val="26"/>
          <w:szCs w:val="26"/>
        </w:rPr>
        <w:t xml:space="preserve"> </w:t>
      </w:r>
      <w:r w:rsidR="0057517B" w:rsidRPr="00F73CD5">
        <w:rPr>
          <w:rFonts w:ascii="Arial" w:hAnsi="Arial" w:cs="Arial"/>
          <w:bCs/>
          <w:iCs/>
          <w:sz w:val="26"/>
          <w:szCs w:val="26"/>
        </w:rPr>
        <w:t xml:space="preserve">Esta Sala Superior es competente para conocer del presente asunto, de </w:t>
      </w:r>
      <w:r w:rsidR="0057517B" w:rsidRPr="00F73CD5">
        <w:rPr>
          <w:rFonts w:ascii="Arial" w:hAnsi="Arial" w:cs="Arial"/>
          <w:bCs/>
          <w:iCs/>
          <w:sz w:val="26"/>
          <w:szCs w:val="26"/>
          <w:lang w:eastAsia="es-ES"/>
        </w:rPr>
        <w:t xml:space="preserve">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0057517B" w:rsidRPr="00F73CD5">
        <w:rPr>
          <w:rFonts w:ascii="Arial" w:hAnsi="Arial" w:cs="Arial"/>
          <w:bCs/>
          <w:iCs/>
          <w:sz w:val="26"/>
          <w:szCs w:val="26"/>
        </w:rPr>
        <w:t xml:space="preserve">86, 88, 92, 93, fracción I, 94, 201, 206 y 208, de la Ley de Justicia Administrativa para el Estado de Oaxaca, vigente hasta el veinte de </w:t>
      </w:r>
      <w:r w:rsidR="0057517B">
        <w:rPr>
          <w:rFonts w:ascii="Arial" w:hAnsi="Arial" w:cs="Arial"/>
          <w:bCs/>
          <w:iCs/>
          <w:sz w:val="26"/>
          <w:szCs w:val="26"/>
        </w:rPr>
        <w:t xml:space="preserve">octubre de  dos mil diecisiete, </w:t>
      </w:r>
      <w:r w:rsidR="00177F0E" w:rsidRPr="00F37C43">
        <w:rPr>
          <w:rFonts w:ascii="Arial" w:hAnsi="Arial" w:cs="Arial"/>
          <w:bCs/>
          <w:iCs/>
          <w:sz w:val="26"/>
          <w:szCs w:val="26"/>
        </w:rPr>
        <w:t xml:space="preserve">dado que se trata de un Recurso de Revisión interpuesto en contra </w:t>
      </w:r>
      <w:r w:rsidR="00177F0E">
        <w:rPr>
          <w:rFonts w:ascii="Arial" w:hAnsi="Arial" w:cs="Arial"/>
          <w:bCs/>
          <w:iCs/>
          <w:sz w:val="26"/>
          <w:szCs w:val="26"/>
        </w:rPr>
        <w:t xml:space="preserve">de sentencia de 16 dieciséis de noviembre </w:t>
      </w:r>
      <w:r w:rsidR="00177F0E">
        <w:rPr>
          <w:rFonts w:ascii="Arial" w:hAnsi="Arial" w:cs="Arial"/>
          <w:sz w:val="26"/>
          <w:szCs w:val="26"/>
          <w:lang w:val="es-MX"/>
        </w:rPr>
        <w:t>de 2017 dos mil diecisiete, dictada por la Sexta Sala Unitaria de Primera Instancia del entonces Tribunal</w:t>
      </w:r>
      <w:r w:rsidR="00177F0E" w:rsidRPr="00A52F58">
        <w:rPr>
          <w:rFonts w:ascii="Arial" w:hAnsi="Arial" w:cs="Arial"/>
          <w:bCs/>
          <w:iCs/>
          <w:sz w:val="26"/>
          <w:szCs w:val="26"/>
        </w:rPr>
        <w:t xml:space="preserve"> </w:t>
      </w:r>
      <w:r w:rsidR="00177F0E">
        <w:rPr>
          <w:rFonts w:ascii="Arial" w:hAnsi="Arial" w:cs="Arial"/>
          <w:bCs/>
          <w:iCs/>
          <w:sz w:val="26"/>
          <w:szCs w:val="26"/>
        </w:rPr>
        <w:t xml:space="preserve">de lo Contencioso Administrativo y de Cuentas, </w:t>
      </w:r>
      <w:r w:rsidR="00177F0E" w:rsidRPr="00F37C43">
        <w:rPr>
          <w:rFonts w:ascii="Arial" w:hAnsi="Arial" w:cs="Arial"/>
          <w:bCs/>
          <w:iCs/>
          <w:sz w:val="26"/>
          <w:szCs w:val="26"/>
        </w:rPr>
        <w:t xml:space="preserve">en el </w:t>
      </w:r>
      <w:r w:rsidR="00177F0E">
        <w:rPr>
          <w:rFonts w:ascii="Arial" w:hAnsi="Arial" w:cs="Arial"/>
          <w:bCs/>
          <w:iCs/>
          <w:sz w:val="26"/>
          <w:szCs w:val="26"/>
          <w:lang w:eastAsia="es-ES"/>
        </w:rPr>
        <w:t xml:space="preserve">expediente </w:t>
      </w:r>
      <w:r w:rsidR="00177F0E" w:rsidRPr="00A04ADC">
        <w:rPr>
          <w:rFonts w:ascii="Arial" w:hAnsi="Arial" w:cs="Arial"/>
          <w:b/>
          <w:bCs/>
          <w:iCs/>
          <w:sz w:val="26"/>
          <w:szCs w:val="26"/>
          <w:lang w:eastAsia="es-ES"/>
        </w:rPr>
        <w:t>0</w:t>
      </w:r>
      <w:r w:rsidR="00177F0E">
        <w:rPr>
          <w:rFonts w:ascii="Arial" w:hAnsi="Arial" w:cs="Arial"/>
          <w:b/>
          <w:bCs/>
          <w:iCs/>
          <w:sz w:val="26"/>
          <w:szCs w:val="26"/>
          <w:lang w:eastAsia="es-ES"/>
        </w:rPr>
        <w:t>021</w:t>
      </w:r>
      <w:r w:rsidR="00177F0E" w:rsidRPr="00A04ADC">
        <w:rPr>
          <w:rFonts w:ascii="Arial" w:hAnsi="Arial" w:cs="Arial"/>
          <w:b/>
          <w:bCs/>
          <w:iCs/>
          <w:sz w:val="26"/>
          <w:szCs w:val="26"/>
          <w:lang w:eastAsia="es-ES"/>
        </w:rPr>
        <w:t>/201</w:t>
      </w:r>
      <w:r w:rsidR="00177F0E">
        <w:rPr>
          <w:rFonts w:ascii="Arial" w:hAnsi="Arial" w:cs="Arial"/>
          <w:b/>
          <w:bCs/>
          <w:iCs/>
          <w:sz w:val="26"/>
          <w:szCs w:val="26"/>
          <w:lang w:eastAsia="es-ES"/>
        </w:rPr>
        <w:t>7</w:t>
      </w:r>
      <w:r w:rsidR="00177F0E" w:rsidRPr="00A04ADC">
        <w:rPr>
          <w:rFonts w:ascii="Arial" w:hAnsi="Arial" w:cs="Arial"/>
          <w:b/>
          <w:bCs/>
          <w:iCs/>
          <w:sz w:val="26"/>
          <w:szCs w:val="26"/>
          <w:lang w:eastAsia="es-ES"/>
        </w:rPr>
        <w:t>.</w:t>
      </w:r>
    </w:p>
    <w:p w:rsidR="00730DEA" w:rsidRDefault="00177F0E" w:rsidP="00730DEA">
      <w:pPr>
        <w:spacing w:before="240" w:line="360" w:lineRule="auto"/>
        <w:ind w:firstLine="708"/>
        <w:jc w:val="both"/>
        <w:rPr>
          <w:rFonts w:ascii="Arial" w:hAnsi="Arial" w:cs="Arial"/>
          <w:sz w:val="26"/>
          <w:szCs w:val="26"/>
        </w:rPr>
      </w:pPr>
      <w:r w:rsidRPr="00A04ADC">
        <w:rPr>
          <w:rFonts w:ascii="Arial" w:hAnsi="Arial" w:cs="Arial"/>
          <w:b/>
          <w:bCs/>
          <w:sz w:val="26"/>
          <w:szCs w:val="26"/>
          <w:lang w:val="es-MX"/>
        </w:rPr>
        <w:t>SEGUNDO.</w:t>
      </w:r>
      <w:r w:rsidRPr="00A04ADC">
        <w:rPr>
          <w:rFonts w:ascii="Arial" w:hAnsi="Arial" w:cs="Arial"/>
          <w:bCs/>
          <w:sz w:val="26"/>
          <w:szCs w:val="26"/>
          <w:lang w:val="es-MX"/>
        </w:rPr>
        <w:t xml:space="preserve"> </w:t>
      </w:r>
      <w:r w:rsidRPr="006E349D">
        <w:rPr>
          <w:rFonts w:ascii="Arial" w:hAnsi="Arial" w:cs="Arial"/>
          <w:bCs/>
          <w:sz w:val="26"/>
          <w:szCs w:val="26"/>
          <w:lang w:val="es-MX"/>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lang w:val="es-MX"/>
        </w:rPr>
        <w:t>.</w:t>
      </w:r>
    </w:p>
    <w:p w:rsidR="005F0FF0" w:rsidRDefault="00730DEA" w:rsidP="00730DEA">
      <w:pPr>
        <w:spacing w:line="360" w:lineRule="auto"/>
        <w:ind w:firstLine="709"/>
        <w:jc w:val="both"/>
        <w:rPr>
          <w:rFonts w:ascii="Arial" w:eastAsia="Calibri" w:hAnsi="Arial" w:cs="Arial"/>
          <w:bCs/>
          <w:sz w:val="26"/>
          <w:szCs w:val="26"/>
        </w:rPr>
      </w:pPr>
      <w:r>
        <w:rPr>
          <w:rFonts w:ascii="Arial" w:eastAsia="Calibri" w:hAnsi="Arial" w:cs="Arial"/>
          <w:b/>
          <w:bCs/>
          <w:sz w:val="26"/>
          <w:szCs w:val="26"/>
        </w:rPr>
        <w:lastRenderedPageBreak/>
        <w:t>TERCERO</w:t>
      </w:r>
      <w:r>
        <w:rPr>
          <w:rFonts w:ascii="Arial" w:eastAsia="Calibri" w:hAnsi="Arial" w:cs="Arial"/>
          <w:bCs/>
          <w:sz w:val="26"/>
          <w:szCs w:val="26"/>
        </w:rPr>
        <w:t xml:space="preserve">. </w:t>
      </w:r>
      <w:r w:rsidR="00A56C3B">
        <w:rPr>
          <w:rFonts w:ascii="Arial" w:eastAsia="Calibri" w:hAnsi="Arial" w:cs="Arial"/>
          <w:bCs/>
          <w:sz w:val="26"/>
          <w:szCs w:val="26"/>
        </w:rPr>
        <w:t>Señala la recurrente le causa agravios el considerando quinto de la resolución impugnada</w:t>
      </w:r>
      <w:r w:rsidR="005D6C61">
        <w:rPr>
          <w:rFonts w:ascii="Arial" w:eastAsia="Calibri" w:hAnsi="Arial" w:cs="Arial"/>
          <w:bCs/>
          <w:sz w:val="26"/>
          <w:szCs w:val="26"/>
        </w:rPr>
        <w:t xml:space="preserve">, porque la primera instancia indica que la fijación de la litis se basa en que la parte actora demandó la ilegalidad del acto impugnado contenido en el oficio SSP/OM/DRH/0235/2017, </w:t>
      </w:r>
      <w:r w:rsidR="005F0FF0">
        <w:rPr>
          <w:rFonts w:ascii="Arial" w:eastAsia="Calibri" w:hAnsi="Arial" w:cs="Arial"/>
          <w:bCs/>
          <w:sz w:val="26"/>
          <w:szCs w:val="26"/>
        </w:rPr>
        <w:t>al considerar que carece de elementos que debe reunir todo acto administrativo, aduciendo que le niega el derecho a que tenga una pensión suficiente para una vejez decorosa.</w:t>
      </w:r>
    </w:p>
    <w:p w:rsidR="008C6559" w:rsidRDefault="005F0FF0" w:rsidP="00730DEA">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Refiere </w:t>
      </w:r>
      <w:r w:rsidR="0064503A">
        <w:rPr>
          <w:rFonts w:ascii="Arial" w:eastAsia="Calibri" w:hAnsi="Arial" w:cs="Arial"/>
          <w:bCs/>
          <w:sz w:val="26"/>
          <w:szCs w:val="26"/>
        </w:rPr>
        <w:t xml:space="preserve">que </w:t>
      </w:r>
      <w:r>
        <w:rPr>
          <w:rFonts w:ascii="Arial" w:eastAsia="Calibri" w:hAnsi="Arial" w:cs="Arial"/>
          <w:bCs/>
          <w:sz w:val="26"/>
          <w:szCs w:val="26"/>
        </w:rPr>
        <w:t>es falso se haya realizado mal el cálculo del porcentaje de la pensión decretada</w:t>
      </w:r>
      <w:r w:rsidR="00A56C3B">
        <w:rPr>
          <w:rFonts w:ascii="Arial" w:eastAsia="Calibri" w:hAnsi="Arial" w:cs="Arial"/>
          <w:bCs/>
          <w:sz w:val="26"/>
          <w:szCs w:val="26"/>
        </w:rPr>
        <w:t xml:space="preserve"> </w:t>
      </w:r>
      <w:r w:rsidR="00293B6F">
        <w:rPr>
          <w:rFonts w:ascii="Arial" w:eastAsia="Calibri" w:hAnsi="Arial" w:cs="Arial"/>
          <w:bCs/>
          <w:sz w:val="26"/>
          <w:szCs w:val="26"/>
        </w:rPr>
        <w:t>a favor del actor</w:t>
      </w:r>
      <w:r w:rsidR="0073416D">
        <w:rPr>
          <w:rFonts w:ascii="Arial" w:eastAsia="Calibri" w:hAnsi="Arial" w:cs="Arial"/>
          <w:bCs/>
          <w:sz w:val="26"/>
          <w:szCs w:val="26"/>
        </w:rPr>
        <w:t>, atendiendo a que no se puede realizar un cálculo superior a lo decretado en el acuerdo de pensión publicado en el Periódico Oficial de 5 cinco de diciembre de 2015 dos mil quince</w:t>
      </w:r>
      <w:r w:rsidR="004D637B">
        <w:rPr>
          <w:rFonts w:ascii="Arial" w:eastAsia="Calibri" w:hAnsi="Arial" w:cs="Arial"/>
          <w:bCs/>
          <w:sz w:val="26"/>
          <w:szCs w:val="26"/>
        </w:rPr>
        <w:t>, no pudiéndose alterar los acuerdos decretados, ya que los acuerdos primero, segundo y tercero, textualmente dice</w:t>
      </w:r>
      <w:r w:rsidR="00297B24">
        <w:rPr>
          <w:rFonts w:ascii="Arial" w:eastAsia="Calibri" w:hAnsi="Arial" w:cs="Arial"/>
          <w:bCs/>
          <w:sz w:val="26"/>
          <w:szCs w:val="26"/>
        </w:rPr>
        <w:t>n</w:t>
      </w:r>
      <w:r w:rsidR="004D637B">
        <w:rPr>
          <w:rFonts w:ascii="Arial" w:eastAsia="Calibri" w:hAnsi="Arial" w:cs="Arial"/>
          <w:bCs/>
          <w:sz w:val="26"/>
          <w:szCs w:val="26"/>
        </w:rPr>
        <w:t xml:space="preserve"> que el porcentaje de pensión decretado a favor de </w:t>
      </w:r>
      <w:r w:rsidR="00EF33EC">
        <w:rPr>
          <w:rFonts w:ascii="Arial" w:eastAsia="Calibri" w:hAnsi="Arial" w:cs="Arial"/>
          <w:bCs/>
          <w:sz w:val="26"/>
          <w:szCs w:val="26"/>
        </w:rPr>
        <w:t>**********</w:t>
      </w:r>
      <w:r w:rsidR="004D637B">
        <w:rPr>
          <w:rFonts w:ascii="Arial" w:eastAsia="Calibri" w:hAnsi="Arial" w:cs="Arial"/>
          <w:bCs/>
          <w:sz w:val="26"/>
          <w:szCs w:val="26"/>
        </w:rPr>
        <w:t xml:space="preserve"> es del 75% setenta y cinco por ciento sobre el concepto de haberes, y no como pretende el resolutor </w:t>
      </w:r>
      <w:r w:rsidR="00A313FB">
        <w:rPr>
          <w:rFonts w:ascii="Arial" w:eastAsia="Calibri" w:hAnsi="Arial" w:cs="Arial"/>
          <w:bCs/>
          <w:sz w:val="26"/>
          <w:szCs w:val="26"/>
        </w:rPr>
        <w:t>que se haga</w:t>
      </w:r>
      <w:r w:rsidR="00297B24">
        <w:rPr>
          <w:rFonts w:ascii="Arial" w:eastAsia="Calibri" w:hAnsi="Arial" w:cs="Arial"/>
          <w:bCs/>
          <w:sz w:val="26"/>
          <w:szCs w:val="26"/>
        </w:rPr>
        <w:t>,</w:t>
      </w:r>
      <w:r w:rsidR="00A313FB">
        <w:rPr>
          <w:rFonts w:ascii="Arial" w:eastAsia="Calibri" w:hAnsi="Arial" w:cs="Arial"/>
          <w:bCs/>
          <w:sz w:val="26"/>
          <w:szCs w:val="26"/>
        </w:rPr>
        <w:t xml:space="preserve"> e interpreta que dicho porcentaje </w:t>
      </w:r>
      <w:r w:rsidR="0031543B">
        <w:rPr>
          <w:rFonts w:ascii="Arial" w:eastAsia="Calibri" w:hAnsi="Arial" w:cs="Arial"/>
          <w:bCs/>
          <w:sz w:val="26"/>
          <w:szCs w:val="26"/>
        </w:rPr>
        <w:t>debe calcularse sobre todos los conceptos que percibía el actor al momento en que se decretó la pensión</w:t>
      </w:r>
      <w:r w:rsidR="00985FFB">
        <w:rPr>
          <w:rFonts w:ascii="Arial" w:eastAsia="Calibri" w:hAnsi="Arial" w:cs="Arial"/>
          <w:bCs/>
          <w:sz w:val="26"/>
          <w:szCs w:val="26"/>
        </w:rPr>
        <w:t>, ordenando el dictado de un nuevo acuerdo.</w:t>
      </w:r>
    </w:p>
    <w:p w:rsidR="00985FFB" w:rsidRDefault="00985FFB" w:rsidP="00730DEA">
      <w:pPr>
        <w:spacing w:line="360" w:lineRule="auto"/>
        <w:ind w:firstLine="709"/>
        <w:jc w:val="both"/>
        <w:rPr>
          <w:rFonts w:ascii="Arial" w:eastAsia="Calibri" w:hAnsi="Arial" w:cs="Arial"/>
          <w:bCs/>
          <w:sz w:val="26"/>
          <w:szCs w:val="26"/>
        </w:rPr>
      </w:pPr>
      <w:r>
        <w:rPr>
          <w:rFonts w:ascii="Arial" w:eastAsia="Calibri" w:hAnsi="Arial" w:cs="Arial"/>
          <w:bCs/>
          <w:sz w:val="26"/>
          <w:szCs w:val="26"/>
        </w:rPr>
        <w:t>Así mismo, refiere le causa agravio el considerando sexto de la resolución</w:t>
      </w:r>
      <w:r w:rsidR="00A36422">
        <w:rPr>
          <w:rFonts w:ascii="Arial" w:eastAsia="Calibri" w:hAnsi="Arial" w:cs="Arial"/>
          <w:bCs/>
          <w:sz w:val="26"/>
          <w:szCs w:val="26"/>
        </w:rPr>
        <w:t xml:space="preserve">, porque el Magistrado hace una interpretación distinta </w:t>
      </w:r>
      <w:r w:rsidR="00D129F5">
        <w:rPr>
          <w:rFonts w:ascii="Arial" w:eastAsia="Calibri" w:hAnsi="Arial" w:cs="Arial"/>
          <w:bCs/>
          <w:sz w:val="26"/>
          <w:szCs w:val="26"/>
        </w:rPr>
        <w:t>a la literalidad del decreto de pensión publicado en el Periódico Oficial de fecha 5 cinco de diciembre de 2015 dos mil quince a favor del actor, ya que indica que la razón toral de la negativa para obsequiar la petición de la actora, consiste en que se realiz</w:t>
      </w:r>
      <w:r w:rsidR="00E63F5D">
        <w:rPr>
          <w:rFonts w:ascii="Arial" w:eastAsia="Calibri" w:hAnsi="Arial" w:cs="Arial"/>
          <w:bCs/>
          <w:sz w:val="26"/>
          <w:szCs w:val="26"/>
        </w:rPr>
        <w:t>ó un mal cá</w:t>
      </w:r>
      <w:r w:rsidR="00D129F5">
        <w:rPr>
          <w:rFonts w:ascii="Arial" w:eastAsia="Calibri" w:hAnsi="Arial" w:cs="Arial"/>
          <w:bCs/>
          <w:sz w:val="26"/>
          <w:szCs w:val="26"/>
        </w:rPr>
        <w:t>lculo en la pensión decretada</w:t>
      </w:r>
      <w:r w:rsidR="00E63F5D">
        <w:rPr>
          <w:rFonts w:ascii="Arial" w:eastAsia="Calibri" w:hAnsi="Arial" w:cs="Arial"/>
          <w:bCs/>
          <w:sz w:val="26"/>
          <w:szCs w:val="26"/>
        </w:rPr>
        <w:t>, considerando que lo que debió haber hecho el actor era combatir el decreto donde se publicó su pensión.</w:t>
      </w:r>
    </w:p>
    <w:p w:rsidR="00297B24" w:rsidRDefault="00297B24" w:rsidP="00297B24">
      <w:pPr>
        <w:spacing w:after="0" w:line="360" w:lineRule="auto"/>
        <w:ind w:firstLine="708"/>
        <w:jc w:val="both"/>
        <w:rPr>
          <w:rFonts w:ascii="Arial" w:eastAsia="Times New Roman" w:hAnsi="Arial" w:cs="Arial"/>
          <w:color w:val="000000"/>
          <w:sz w:val="26"/>
          <w:szCs w:val="26"/>
          <w:lang w:val="es-MX"/>
        </w:rPr>
      </w:pPr>
      <w:r>
        <w:rPr>
          <w:rFonts w:ascii="Arial" w:hAnsi="Arial" w:cs="Arial"/>
          <w:sz w:val="26"/>
          <w:szCs w:val="26"/>
        </w:rPr>
        <w:t xml:space="preserve">De las constancias de autos remitidas para la resolución del presente asunto, que hacen prueba plena en términos del artículo 173, fracción I, de la Ley de Justicia Administrativa para el Estado de Oaxaca,  se advierte que los argumentos expresados por la recurrente son inoperantes, al no controvertir las consideraciones torales de la resolución alzada; ello es así, dado que con sus manifestaciones no controvierte las consideraciones en que funda su determinación el Magistrado de Primera Instancia; de donde resulta que los agravios expresados son inoperantes, al no exponer razonamientos lógico jurídicos que controviertan las consideraciones en que se sustenta el </w:t>
      </w:r>
      <w:r>
        <w:rPr>
          <w:rFonts w:ascii="Arial" w:hAnsi="Arial" w:cs="Arial"/>
          <w:sz w:val="26"/>
          <w:szCs w:val="26"/>
        </w:rPr>
        <w:lastRenderedPageBreak/>
        <w:t xml:space="preserve">fallo alzado, </w:t>
      </w:r>
      <w:r w:rsidRPr="00C636AB">
        <w:rPr>
          <w:rFonts w:ascii="Arial" w:eastAsia="Times New Roman" w:hAnsi="Arial" w:cs="Arial"/>
          <w:color w:val="000000"/>
          <w:sz w:val="26"/>
          <w:szCs w:val="26"/>
          <w:lang w:val="es-MX"/>
        </w:rPr>
        <w:t xml:space="preserve">sin que </w:t>
      </w:r>
      <w:r>
        <w:rPr>
          <w:rFonts w:ascii="Arial" w:eastAsia="Times New Roman" w:hAnsi="Arial" w:cs="Arial"/>
          <w:color w:val="000000"/>
          <w:sz w:val="26"/>
          <w:szCs w:val="26"/>
          <w:lang w:val="es-MX"/>
        </w:rPr>
        <w:t>en el recurso en estudio se</w:t>
      </w:r>
      <w:r w:rsidRPr="00C636AB">
        <w:rPr>
          <w:rFonts w:ascii="Arial" w:eastAsia="Times New Roman" w:hAnsi="Arial" w:cs="Arial"/>
          <w:color w:val="000000"/>
          <w:sz w:val="26"/>
          <w:szCs w:val="26"/>
          <w:lang w:val="es-MX"/>
        </w:rPr>
        <w:t xml:space="preserve"> </w:t>
      </w:r>
      <w:r>
        <w:rPr>
          <w:rFonts w:ascii="Arial" w:eastAsia="Times New Roman" w:hAnsi="Arial" w:cs="Arial"/>
          <w:color w:val="000000"/>
          <w:sz w:val="26"/>
          <w:szCs w:val="26"/>
          <w:lang w:val="es-MX"/>
        </w:rPr>
        <w:t xml:space="preserve">precise </w:t>
      </w:r>
      <w:r w:rsidRPr="00C636AB">
        <w:rPr>
          <w:rFonts w:ascii="Arial" w:eastAsia="Times New Roman" w:hAnsi="Arial" w:cs="Arial"/>
          <w:color w:val="000000"/>
          <w:sz w:val="26"/>
          <w:szCs w:val="26"/>
          <w:lang w:val="es-MX"/>
        </w:rPr>
        <w:t xml:space="preserve">argumentos tendentes a </w:t>
      </w:r>
      <w:r>
        <w:rPr>
          <w:rFonts w:ascii="Arial" w:eastAsia="Times New Roman" w:hAnsi="Arial" w:cs="Arial"/>
          <w:color w:val="000000"/>
          <w:sz w:val="26"/>
          <w:szCs w:val="26"/>
          <w:lang w:val="es-MX"/>
        </w:rPr>
        <w:t>evidenciar</w:t>
      </w:r>
      <w:r w:rsidRPr="00C636AB">
        <w:rPr>
          <w:rFonts w:ascii="Arial" w:eastAsia="Times New Roman" w:hAnsi="Arial" w:cs="Arial"/>
          <w:color w:val="000000"/>
          <w:sz w:val="26"/>
          <w:szCs w:val="26"/>
          <w:lang w:val="es-MX"/>
        </w:rPr>
        <w:t xml:space="preserve"> la ilegalidad de la sentencia recurrida</w:t>
      </w:r>
      <w:r>
        <w:rPr>
          <w:rFonts w:ascii="Arial" w:eastAsia="Times New Roman" w:hAnsi="Arial" w:cs="Arial"/>
          <w:color w:val="000000"/>
          <w:sz w:val="26"/>
          <w:szCs w:val="26"/>
          <w:lang w:val="es-MX"/>
        </w:rPr>
        <w:t xml:space="preserve">, pues no se combaten </w:t>
      </w:r>
      <w:r w:rsidRPr="00C636AB">
        <w:rPr>
          <w:rFonts w:ascii="Arial" w:eastAsia="Times New Roman" w:hAnsi="Arial" w:cs="Arial"/>
          <w:color w:val="000000"/>
          <w:sz w:val="26"/>
          <w:szCs w:val="26"/>
          <w:lang w:val="es-MX"/>
        </w:rPr>
        <w:t>los fundamentos legales y consideraciones</w:t>
      </w:r>
      <w:r>
        <w:rPr>
          <w:rFonts w:ascii="Arial" w:eastAsia="Times New Roman" w:hAnsi="Arial" w:cs="Arial"/>
          <w:color w:val="000000"/>
          <w:sz w:val="26"/>
          <w:szCs w:val="26"/>
          <w:lang w:val="es-MX"/>
        </w:rPr>
        <w:t xml:space="preserve"> torales</w:t>
      </w:r>
      <w:r w:rsidRPr="00C636AB">
        <w:rPr>
          <w:rFonts w:ascii="Arial" w:eastAsia="Times New Roman" w:hAnsi="Arial" w:cs="Arial"/>
          <w:color w:val="000000"/>
          <w:sz w:val="26"/>
          <w:szCs w:val="26"/>
          <w:lang w:val="es-MX"/>
        </w:rPr>
        <w:t xml:space="preserve"> en que se </w:t>
      </w:r>
      <w:r w:rsidRPr="006433D1">
        <w:rPr>
          <w:rFonts w:ascii="Arial" w:eastAsia="Times New Roman" w:hAnsi="Arial" w:cs="Arial"/>
          <w:color w:val="000000"/>
          <w:sz w:val="26"/>
          <w:szCs w:val="26"/>
          <w:lang w:val="es-MX"/>
        </w:rPr>
        <w:t>sustenta el fallo.</w:t>
      </w:r>
    </w:p>
    <w:p w:rsidR="00297B24" w:rsidRDefault="00297B24" w:rsidP="00297B24">
      <w:pPr>
        <w:spacing w:before="240" w:after="0" w:line="360" w:lineRule="auto"/>
        <w:ind w:firstLine="708"/>
        <w:jc w:val="both"/>
        <w:rPr>
          <w:rFonts w:ascii="Arial" w:hAnsi="Arial" w:cs="Arial"/>
          <w:bCs/>
          <w:sz w:val="26"/>
          <w:szCs w:val="26"/>
          <w:lang w:val="es-MX"/>
        </w:rPr>
      </w:pPr>
      <w:r>
        <w:rPr>
          <w:rFonts w:ascii="Arial" w:hAnsi="Arial" w:cs="Arial"/>
          <w:bCs/>
          <w:sz w:val="26"/>
          <w:szCs w:val="26"/>
          <w:lang w:val="es-MX"/>
        </w:rPr>
        <w:t xml:space="preserve">Los anteriores argumentos son </w:t>
      </w:r>
      <w:r w:rsidRPr="004B6223">
        <w:rPr>
          <w:rFonts w:ascii="Arial" w:hAnsi="Arial" w:cs="Arial"/>
          <w:b/>
          <w:bCs/>
          <w:sz w:val="26"/>
          <w:szCs w:val="26"/>
          <w:lang w:val="es-MX"/>
        </w:rPr>
        <w:t>inoperantes</w:t>
      </w:r>
      <w:r>
        <w:rPr>
          <w:rFonts w:ascii="Arial" w:hAnsi="Arial" w:cs="Arial"/>
          <w:bCs/>
          <w:sz w:val="26"/>
          <w:szCs w:val="26"/>
          <w:lang w:val="es-MX"/>
        </w:rPr>
        <w:t>, pues no se destinan a combatir la materia del presente recurso de revisión, esto es, los motivos y fundamentos dados por la primera instancia para DECLARAR LA VALIDEZ DEL ACTO, consistentes en:</w:t>
      </w:r>
    </w:p>
    <w:p w:rsidR="0057517B" w:rsidRDefault="00297B24" w:rsidP="00297B24">
      <w:pPr>
        <w:spacing w:before="240" w:after="0" w:line="360" w:lineRule="auto"/>
        <w:ind w:firstLine="708"/>
        <w:jc w:val="both"/>
        <w:rPr>
          <w:rFonts w:cs="Calibri"/>
          <w:bCs/>
          <w:i/>
          <w:sz w:val="24"/>
          <w:szCs w:val="24"/>
          <w:lang w:val="es-MX"/>
        </w:rPr>
      </w:pPr>
      <w:r w:rsidRPr="00F754BA">
        <w:rPr>
          <w:rFonts w:cs="Calibri"/>
          <w:bCs/>
          <w:i/>
          <w:sz w:val="24"/>
          <w:szCs w:val="24"/>
          <w:lang w:val="es-MX"/>
        </w:rPr>
        <w:t>“</w:t>
      </w:r>
      <w:r>
        <w:rPr>
          <w:rFonts w:cs="Calibri"/>
          <w:bCs/>
          <w:i/>
          <w:sz w:val="24"/>
          <w:szCs w:val="24"/>
          <w:lang w:val="es-MX"/>
        </w:rPr>
        <w:t xml:space="preserve">… </w:t>
      </w:r>
      <w:r w:rsidR="006D5675">
        <w:rPr>
          <w:rFonts w:cs="Calibri"/>
          <w:bCs/>
          <w:i/>
          <w:sz w:val="24"/>
          <w:szCs w:val="24"/>
          <w:lang w:val="es-MX"/>
        </w:rPr>
        <w:t xml:space="preserve">como lo alega la parte actora, dicho cálculo del monto de la pensión, se realizó interpretando el contenido del acuerdo del Gobernador incorrectamente, pues en el mismo, publicado el 5 cinco de diciembre de  año 2015 dos mil quince, en el Periódico Oficial del Gobierno del Estado de Oaxaca, </w:t>
      </w:r>
      <w:r w:rsidR="000D2065">
        <w:rPr>
          <w:rFonts w:cs="Calibri"/>
          <w:bCs/>
          <w:i/>
          <w:sz w:val="24"/>
          <w:szCs w:val="24"/>
          <w:lang w:val="es-MX"/>
        </w:rPr>
        <w:t xml:space="preserve">el Titular del Ejecutivo Estatal concedió a </w:t>
      </w:r>
      <w:r w:rsidR="00EF33EC">
        <w:rPr>
          <w:rFonts w:cs="Calibri"/>
          <w:bCs/>
          <w:i/>
          <w:sz w:val="24"/>
          <w:szCs w:val="24"/>
          <w:lang w:val="es-MX"/>
        </w:rPr>
        <w:t>**********</w:t>
      </w:r>
      <w:r w:rsidR="000D2065">
        <w:rPr>
          <w:rFonts w:cs="Calibri"/>
          <w:bCs/>
          <w:i/>
          <w:sz w:val="24"/>
          <w:szCs w:val="24"/>
          <w:lang w:val="es-MX"/>
        </w:rPr>
        <w:t xml:space="preserve">, debido a los </w:t>
      </w:r>
      <w:r w:rsidR="00EF33EC">
        <w:rPr>
          <w:rFonts w:cs="Calibri"/>
          <w:bCs/>
          <w:i/>
          <w:sz w:val="24"/>
          <w:szCs w:val="24"/>
          <w:lang w:val="es-MX"/>
        </w:rPr>
        <w:t>**********</w:t>
      </w:r>
      <w:r w:rsidR="000D2065">
        <w:rPr>
          <w:rFonts w:cs="Calibri"/>
          <w:bCs/>
          <w:i/>
          <w:sz w:val="24"/>
          <w:szCs w:val="24"/>
          <w:lang w:val="es-MX"/>
        </w:rPr>
        <w:t xml:space="preserve"> años de servicio permanentes como elemento del </w:t>
      </w:r>
      <w:r w:rsidR="00EF33EC">
        <w:rPr>
          <w:rFonts w:cs="Calibri"/>
          <w:bCs/>
          <w:i/>
          <w:sz w:val="24"/>
          <w:szCs w:val="24"/>
          <w:lang w:val="es-MX"/>
        </w:rPr>
        <w:t>**********</w:t>
      </w:r>
      <w:r w:rsidR="000D2065">
        <w:rPr>
          <w:rFonts w:cs="Calibri"/>
          <w:bCs/>
          <w:i/>
          <w:sz w:val="24"/>
          <w:szCs w:val="24"/>
          <w:lang w:val="es-MX"/>
        </w:rPr>
        <w:t xml:space="preserve">, de la </w:t>
      </w:r>
      <w:r w:rsidR="00EF33EC">
        <w:rPr>
          <w:rFonts w:cs="Calibri"/>
          <w:bCs/>
          <w:i/>
          <w:sz w:val="24"/>
          <w:szCs w:val="24"/>
          <w:lang w:val="es-MX"/>
        </w:rPr>
        <w:t>**********</w:t>
      </w:r>
      <w:r w:rsidR="000D2065">
        <w:rPr>
          <w:rFonts w:cs="Calibri"/>
          <w:bCs/>
          <w:i/>
          <w:sz w:val="24"/>
          <w:szCs w:val="24"/>
          <w:lang w:val="es-MX"/>
        </w:rPr>
        <w:t xml:space="preserve">, </w:t>
      </w:r>
      <w:r w:rsidR="000D2065">
        <w:rPr>
          <w:rFonts w:cs="Calibri"/>
          <w:b/>
          <w:bCs/>
          <w:i/>
          <w:sz w:val="24"/>
          <w:szCs w:val="24"/>
          <w:lang w:val="es-MX"/>
        </w:rPr>
        <w:t>pensión vitalicia mensual;</w:t>
      </w:r>
      <w:r w:rsidR="000D2065">
        <w:rPr>
          <w:rFonts w:cs="Calibri"/>
          <w:bCs/>
          <w:i/>
          <w:sz w:val="24"/>
          <w:szCs w:val="24"/>
          <w:lang w:val="es-MX"/>
        </w:rPr>
        <w:t xml:space="preserve"> con una cuantía del 75% de los haberes mensuales; en el entendido de que para fijar el monto de la misma, se tomarían en consideración precisamente los haberes mensuales percibidos por el beneficiario al momento de su baja</w:t>
      </w:r>
      <w:r w:rsidR="000D2065">
        <w:rPr>
          <w:rFonts w:cs="Calibri"/>
          <w:bCs/>
          <w:i/>
          <w:sz w:val="24"/>
          <w:szCs w:val="24"/>
          <w:vertAlign w:val="superscript"/>
          <w:lang w:val="es-MX"/>
        </w:rPr>
        <w:t>2</w:t>
      </w:r>
      <w:r w:rsidR="000D2065">
        <w:rPr>
          <w:rFonts w:cs="Calibri"/>
          <w:bCs/>
          <w:i/>
          <w:sz w:val="24"/>
          <w:szCs w:val="24"/>
          <w:lang w:val="es-MX"/>
        </w:rPr>
        <w:t xml:space="preserve">. </w:t>
      </w:r>
    </w:p>
    <w:p w:rsidR="00AD2BCF" w:rsidRDefault="000D2065" w:rsidP="00297B24">
      <w:pPr>
        <w:spacing w:before="240" w:after="0" w:line="360" w:lineRule="auto"/>
        <w:ind w:firstLine="708"/>
        <w:jc w:val="both"/>
        <w:rPr>
          <w:rFonts w:cs="Calibri"/>
          <w:bCs/>
          <w:i/>
          <w:sz w:val="24"/>
          <w:szCs w:val="24"/>
          <w:lang w:val="es-MX"/>
        </w:rPr>
      </w:pPr>
      <w:r>
        <w:rPr>
          <w:rFonts w:cs="Calibri"/>
          <w:bCs/>
          <w:i/>
          <w:sz w:val="24"/>
          <w:szCs w:val="24"/>
          <w:lang w:val="es-MX"/>
        </w:rPr>
        <w:t xml:space="preserve">Ahora bien, los haberes mensuales, implican de acuerdo al diccionario de la Lengua Española de la Real Academia Española, toda ´cantidad que se devenga periódicamente en la retribución de servicios personales´, que en el caso lo es el derecho de la parte actora sobre las percepciones </w:t>
      </w:r>
      <w:r w:rsidR="00AD2BCF">
        <w:rPr>
          <w:rFonts w:cs="Calibri"/>
          <w:bCs/>
          <w:i/>
          <w:sz w:val="24"/>
          <w:szCs w:val="24"/>
          <w:lang w:val="es-MX"/>
        </w:rPr>
        <w:t>o retribuciones por razones de trabajo; como lo establece el artículo 127 de la Constitución Política de los Estados Unidos Mexicanos al señalar que:</w:t>
      </w:r>
    </w:p>
    <w:p w:rsidR="00AD2BCF" w:rsidRDefault="00AC073E" w:rsidP="00BD7F04">
      <w:pPr>
        <w:spacing w:before="240" w:after="0" w:line="360" w:lineRule="auto"/>
        <w:ind w:left="709" w:right="709" w:firstLine="709"/>
        <w:jc w:val="both"/>
        <w:rPr>
          <w:rFonts w:cs="Calibri"/>
          <w:bCs/>
          <w:i/>
          <w:sz w:val="24"/>
          <w:szCs w:val="24"/>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395345C6" wp14:editId="4AA89B44">
                <wp:simplePos x="0" y="0"/>
                <wp:positionH relativeFrom="column">
                  <wp:posOffset>5709285</wp:posOffset>
                </wp:positionH>
                <wp:positionV relativeFrom="paragraph">
                  <wp:posOffset>982345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C073E" w:rsidRDefault="00AC073E" w:rsidP="00AC073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49.55pt;margin-top:77.3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DG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">
                <v:textbox>
                  <w:txbxContent>
                    <w:p w:rsidR="00AC073E" w:rsidRDefault="00AC073E" w:rsidP="00AC073E">
                      <w:pPr>
                        <w:rPr>
                          <w:sz w:val="16"/>
                          <w:szCs w:val="16"/>
                        </w:rPr>
                      </w:pPr>
                      <w:r>
                        <w:rPr>
                          <w:sz w:val="16"/>
                          <w:szCs w:val="16"/>
                        </w:rPr>
                        <w:t>Datos personales protegidos por el Art. 116 de la LGTAIP y el Art. 56 de la LTAIPEO</w:t>
                      </w:r>
                    </w:p>
                  </w:txbxContent>
                </v:textbox>
              </v:shape>
            </w:pict>
          </mc:Fallback>
        </mc:AlternateContent>
      </w:r>
      <w:r w:rsidR="00AD2BCF">
        <w:rPr>
          <w:rFonts w:cs="Calibri"/>
          <w:bCs/>
          <w:i/>
          <w:sz w:val="24"/>
          <w:szCs w:val="24"/>
          <w:lang w:val="es-MX"/>
        </w:rPr>
        <w:t xml:space="preserve">´Los servicios públicos de la Federación, de las entidades federativas, de los </w:t>
      </w:r>
      <w:proofErr w:type="gramStart"/>
      <w:r w:rsidR="00AD2BCF">
        <w:rPr>
          <w:rFonts w:cs="Calibri"/>
          <w:bCs/>
          <w:i/>
          <w:sz w:val="24"/>
          <w:szCs w:val="24"/>
          <w:lang w:val="es-MX"/>
        </w:rPr>
        <w:t>Municipios …</w:t>
      </w:r>
      <w:proofErr w:type="gramEnd"/>
      <w:r w:rsidR="00AD2BCF">
        <w:rPr>
          <w:rFonts w:cs="Calibri"/>
          <w:bCs/>
          <w:i/>
          <w:sz w:val="24"/>
          <w:szCs w:val="24"/>
          <w:lang w:val="es-MX"/>
        </w:rPr>
        <w:t xml:space="preserve"> recibirán una remuneración adecuada e irrenunciable por el desempeño de su función, empleo, cargo o comisión que deberá ser proporcional a sus responsabilidades.</w:t>
      </w:r>
    </w:p>
    <w:p w:rsidR="00297B24" w:rsidRDefault="00297B24" w:rsidP="00BD7F04">
      <w:pPr>
        <w:spacing w:before="240" w:after="0" w:line="360" w:lineRule="auto"/>
        <w:ind w:left="709" w:right="709" w:firstLine="709"/>
        <w:jc w:val="both"/>
        <w:rPr>
          <w:rFonts w:cs="Calibri"/>
          <w:i/>
          <w:sz w:val="24"/>
          <w:szCs w:val="24"/>
        </w:rPr>
      </w:pPr>
      <w:r>
        <w:rPr>
          <w:rFonts w:cs="Calibri"/>
          <w:i/>
          <w:sz w:val="24"/>
          <w:szCs w:val="24"/>
        </w:rPr>
        <w:t xml:space="preserve"> </w:t>
      </w:r>
      <w:r w:rsidR="00AD2BCF">
        <w:rPr>
          <w:rFonts w:cs="Calibri"/>
          <w:i/>
          <w:sz w:val="24"/>
          <w:szCs w:val="24"/>
        </w:rPr>
        <w:t>Dicha remuneración será determinada anual y equitativamente en los presupuestos de egresos correspondientes, bajo las siguientes bases:</w:t>
      </w:r>
    </w:p>
    <w:p w:rsidR="00BB7CD5" w:rsidRDefault="00BB7CD5" w:rsidP="00BD7F04">
      <w:pPr>
        <w:spacing w:before="240" w:after="0" w:line="360" w:lineRule="auto"/>
        <w:ind w:left="709" w:right="709" w:firstLine="709"/>
        <w:jc w:val="both"/>
        <w:rPr>
          <w:rFonts w:cs="Calibri"/>
          <w:i/>
          <w:sz w:val="24"/>
          <w:szCs w:val="24"/>
        </w:rPr>
      </w:pPr>
      <w:r>
        <w:rPr>
          <w:rFonts w:cs="Calibri"/>
          <w:i/>
          <w:sz w:val="24"/>
          <w:szCs w:val="24"/>
        </w:rPr>
        <w:t xml:space="preserve">I. </w:t>
      </w:r>
      <w:r w:rsidR="00AD2BCF" w:rsidRPr="00BB7CD5">
        <w:rPr>
          <w:rFonts w:cs="Calibri"/>
          <w:i/>
          <w:sz w:val="24"/>
          <w:szCs w:val="24"/>
        </w:rPr>
        <w:t xml:space="preserve">Se considera remuneración o retribución </w:t>
      </w:r>
      <w:r w:rsidRPr="00BB7CD5">
        <w:rPr>
          <w:rFonts w:cs="Calibri"/>
          <w:i/>
          <w:sz w:val="24"/>
          <w:szCs w:val="24"/>
        </w:rPr>
        <w:t>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BB7CD5" w:rsidRDefault="00BB7CD5" w:rsidP="00BD7F04">
      <w:pPr>
        <w:spacing w:after="0" w:line="360" w:lineRule="auto"/>
        <w:jc w:val="both"/>
        <w:rPr>
          <w:rFonts w:cs="Calibri"/>
          <w:i/>
          <w:sz w:val="24"/>
          <w:szCs w:val="24"/>
        </w:rPr>
      </w:pPr>
      <w:r>
        <w:rPr>
          <w:rFonts w:cs="Calibri"/>
          <w:i/>
          <w:sz w:val="24"/>
          <w:szCs w:val="24"/>
        </w:rPr>
        <w:lastRenderedPageBreak/>
        <w:t>…</w:t>
      </w:r>
    </w:p>
    <w:p w:rsidR="00AE471F" w:rsidRDefault="00F52B04" w:rsidP="00BD7F04">
      <w:pPr>
        <w:spacing w:after="0" w:line="360" w:lineRule="auto"/>
        <w:jc w:val="both"/>
        <w:rPr>
          <w:rFonts w:cs="Calibri"/>
          <w:i/>
          <w:sz w:val="24"/>
          <w:szCs w:val="24"/>
        </w:rPr>
      </w:pPr>
      <w:r>
        <w:rPr>
          <w:rFonts w:cs="Calibri"/>
          <w:i/>
          <w:sz w:val="24"/>
          <w:szCs w:val="24"/>
        </w:rPr>
        <w:tab/>
        <w:t>En ese orden de ideas cabe destacar que el considerando tercero del acuerdo arriba mencionado dice ´Que el artículo 98 de la Ley Orgánica de la Policía del estado de Oaxaca</w:t>
      </w:r>
      <w:r w:rsidR="00BD7F04">
        <w:rPr>
          <w:rFonts w:cs="Calibri"/>
          <w:i/>
          <w:sz w:val="24"/>
          <w:szCs w:val="24"/>
        </w:rPr>
        <w:t>, dispone: El miembro de la Policía, cualquiera que sea su categoría que cumpla veinticinco años de servicio permanentes en la Corporación, tendrá derecho a que se le conceda una pensión del 50% del sueldo que perciba; y si se retira a los 30 años, tendr</w:t>
      </w:r>
      <w:r w:rsidR="00591A66">
        <w:rPr>
          <w:rFonts w:cs="Calibri"/>
          <w:i/>
          <w:sz w:val="24"/>
          <w:szCs w:val="24"/>
        </w:rPr>
        <w:t>á derecho al 75% de su sueldo percibido. Si un miembro de la policía falleciere cumpliendo actos del servicio, se pensionará a la viuda e hijos</w:t>
      </w:r>
      <w:r w:rsidR="00AE471F">
        <w:rPr>
          <w:rFonts w:cs="Calibri"/>
          <w:i/>
          <w:sz w:val="24"/>
          <w:szCs w:val="24"/>
        </w:rPr>
        <w:t>, o en su defecto, a la madre o hermanos que dependan de él, como si hubiera cumplido treinta años de servicios.´- - - -</w:t>
      </w:r>
    </w:p>
    <w:p w:rsidR="0057517B" w:rsidRDefault="00AE471F" w:rsidP="00BD7F04">
      <w:pPr>
        <w:spacing w:after="0" w:line="360" w:lineRule="auto"/>
        <w:jc w:val="both"/>
        <w:rPr>
          <w:rFonts w:cs="Calibri"/>
          <w:b/>
          <w:i/>
          <w:sz w:val="24"/>
          <w:szCs w:val="24"/>
        </w:rPr>
      </w:pPr>
      <w:r>
        <w:rPr>
          <w:rFonts w:cs="Calibri"/>
          <w:i/>
          <w:sz w:val="24"/>
          <w:szCs w:val="24"/>
        </w:rPr>
        <w:tab/>
        <w:t xml:space="preserve">Dicha disposición que transcribió el Gobernador Constitucional del Estado, se actualiza para el caso que nos ocupa, al tratarse de una pensión vitalicia del 75% sobre el </w:t>
      </w:r>
      <w:r>
        <w:rPr>
          <w:rFonts w:cs="Calibri"/>
          <w:b/>
          <w:i/>
          <w:sz w:val="24"/>
          <w:szCs w:val="24"/>
        </w:rPr>
        <w:t>sueldo percibido. Así en los puntos Segundo y Tercero de dicho acuerdo reitera que ´La cuantía de la pensión será del 75%</w:t>
      </w:r>
      <w:r w:rsidR="00E866C2">
        <w:rPr>
          <w:rFonts w:cs="Calibri"/>
          <w:b/>
          <w:i/>
          <w:sz w:val="24"/>
          <w:szCs w:val="24"/>
        </w:rPr>
        <w:t xml:space="preserve"> de los haberes mensuales que por derecho le corresponde como elemento del </w:t>
      </w:r>
      <w:r w:rsidR="00EF33EC">
        <w:rPr>
          <w:rFonts w:cs="Calibri"/>
          <w:bCs/>
          <w:i/>
          <w:sz w:val="24"/>
          <w:szCs w:val="24"/>
          <w:lang w:val="es-MX"/>
        </w:rPr>
        <w:t>**********</w:t>
      </w:r>
      <w:r w:rsidR="00E866C2">
        <w:rPr>
          <w:rFonts w:cs="Calibri"/>
          <w:b/>
          <w:i/>
          <w:sz w:val="24"/>
          <w:szCs w:val="24"/>
        </w:rPr>
        <w:t xml:space="preserve">, de la </w:t>
      </w:r>
      <w:r w:rsidR="00EF33EC">
        <w:rPr>
          <w:rFonts w:cs="Calibri"/>
          <w:bCs/>
          <w:i/>
          <w:sz w:val="24"/>
          <w:szCs w:val="24"/>
          <w:lang w:val="es-MX"/>
        </w:rPr>
        <w:t>**********</w:t>
      </w:r>
      <w:r w:rsidR="00E866C2">
        <w:rPr>
          <w:rFonts w:cs="Calibri"/>
          <w:b/>
          <w:i/>
          <w:sz w:val="24"/>
          <w:szCs w:val="24"/>
        </w:rPr>
        <w:t>.´ Y que ´Para fijar el monto de la pensión vitalicia, se tomarán en consideración los haberes mensuales que percibía el beneficiario al momento de su baja para gozar de la pensión´.”</w:t>
      </w:r>
    </w:p>
    <w:p w:rsidR="0057517B" w:rsidRDefault="0057517B" w:rsidP="00BD7F04">
      <w:pPr>
        <w:spacing w:after="0" w:line="360" w:lineRule="auto"/>
        <w:jc w:val="both"/>
        <w:rPr>
          <w:rFonts w:cs="Calibri"/>
          <w:b/>
          <w:i/>
          <w:sz w:val="24"/>
          <w:szCs w:val="24"/>
        </w:rPr>
      </w:pPr>
    </w:p>
    <w:p w:rsidR="00485E6A" w:rsidRDefault="00485E6A" w:rsidP="00485E6A">
      <w:pPr>
        <w:spacing w:before="240" w:after="0" w:line="360" w:lineRule="auto"/>
        <w:ind w:firstLine="708"/>
        <w:jc w:val="both"/>
        <w:rPr>
          <w:rFonts w:ascii="Arial" w:hAnsi="Arial" w:cs="Arial"/>
          <w:bCs/>
          <w:sz w:val="26"/>
          <w:szCs w:val="26"/>
        </w:rPr>
      </w:pPr>
      <w:r>
        <w:rPr>
          <w:rFonts w:ascii="Arial" w:hAnsi="Arial" w:cs="Arial"/>
          <w:bCs/>
          <w:sz w:val="26"/>
          <w:szCs w:val="26"/>
          <w:lang w:val="es-MX"/>
        </w:rPr>
        <w:t xml:space="preserve">Ante tal situación, </w:t>
      </w:r>
      <w:r>
        <w:rPr>
          <w:rFonts w:ascii="Arial" w:hAnsi="Arial" w:cs="Arial"/>
          <w:sz w:val="26"/>
          <w:szCs w:val="26"/>
        </w:rPr>
        <w:t>lo determinado por la primera instancia sigue rigiendo el sentido de la sentencia recurrida, porque la demandada con sus manifestaciones no destruye esas consideraciones, lo que era menester que hiciera ya que fue precisamente en atención a ellas que el Magistrado determinó declarar la NULIDAD PARA EL EFECTO; de ahí que los motivos de inconformidad expresados son jurídicamente ineficaces.</w:t>
      </w:r>
    </w:p>
    <w:p w:rsidR="00297B24" w:rsidRDefault="00297B24" w:rsidP="00297B24">
      <w:pPr>
        <w:spacing w:before="240" w:after="0" w:line="360" w:lineRule="auto"/>
        <w:ind w:firstLine="709"/>
        <w:jc w:val="both"/>
        <w:rPr>
          <w:rFonts w:ascii="Arial" w:hAnsi="Arial" w:cs="Arial"/>
          <w:sz w:val="26"/>
          <w:szCs w:val="26"/>
        </w:rPr>
      </w:pPr>
      <w:r>
        <w:rPr>
          <w:rFonts w:ascii="Arial" w:hAnsi="Arial" w:cs="Arial"/>
          <w:sz w:val="26"/>
          <w:szCs w:val="26"/>
          <w:lang w:val="es-MX"/>
        </w:rPr>
        <w:t>Sirve de referencia por identidad jurídica</w:t>
      </w:r>
      <w:r>
        <w:rPr>
          <w:rFonts w:ascii="Arial" w:hAnsi="Arial" w:cs="Arial"/>
          <w:sz w:val="26"/>
          <w:szCs w:val="26"/>
        </w:rPr>
        <w:t xml:space="preserve"> la Jurisprudencia del Tercer Tribunal Colegiado del Cuarto Circuito, que aparece publicada en la página 57 de la Gaceta del Semanario Judicial de la Federación, Tomo  57, Septiembre de 1992, Materia Común, Octava Época, bajo el rubro y texto siguientes:</w:t>
      </w:r>
    </w:p>
    <w:p w:rsidR="00297B24" w:rsidRDefault="00297B24" w:rsidP="00297B24">
      <w:pPr>
        <w:spacing w:after="0" w:line="360" w:lineRule="auto"/>
        <w:ind w:firstLine="709"/>
        <w:jc w:val="both"/>
        <w:rPr>
          <w:rFonts w:ascii="Arial" w:eastAsia="Times New Roman" w:hAnsi="Arial" w:cs="Arial"/>
          <w:color w:val="000000"/>
          <w:sz w:val="24"/>
          <w:szCs w:val="24"/>
        </w:rPr>
      </w:pPr>
      <w:r>
        <w:rPr>
          <w:rFonts w:ascii="Arial" w:hAnsi="Arial" w:cs="Arial"/>
          <w:sz w:val="26"/>
          <w:szCs w:val="26"/>
        </w:rPr>
        <w:t xml:space="preserve">  </w:t>
      </w:r>
    </w:p>
    <w:p w:rsidR="00297B24" w:rsidRPr="0057517B" w:rsidRDefault="00297B24" w:rsidP="00297B24">
      <w:pPr>
        <w:spacing w:line="240" w:lineRule="auto"/>
        <w:ind w:left="709" w:right="709"/>
        <w:jc w:val="both"/>
        <w:rPr>
          <w:rFonts w:ascii="Arial" w:hAnsi="Arial" w:cs="Arial"/>
        </w:rPr>
      </w:pPr>
      <w:r w:rsidRPr="0057517B">
        <w:rPr>
          <w:rFonts w:ascii="Arial" w:hAnsi="Arial" w:cs="Arial"/>
        </w:rPr>
        <w:t>“</w:t>
      </w:r>
      <w:r w:rsidRPr="0057517B">
        <w:rPr>
          <w:rFonts w:cs="Arial"/>
          <w:b/>
          <w:i/>
        </w:rPr>
        <w:t>AGRAVIOS. DEBEN DE IMPUGNAR LA ILEGALIDAD DEL FALLO RECURRIDO</w:t>
      </w:r>
      <w:r w:rsidRPr="0057517B">
        <w:rPr>
          <w:rFonts w:cs="Arial"/>
          <w:i/>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sidRPr="0057517B">
        <w:rPr>
          <w:rFonts w:ascii="Arial" w:hAnsi="Arial" w:cs="Arial"/>
        </w:rPr>
        <w:t>”.</w:t>
      </w:r>
    </w:p>
    <w:p w:rsidR="00297B24" w:rsidRDefault="00297B24" w:rsidP="00297B24">
      <w:pPr>
        <w:spacing w:after="0" w:line="240" w:lineRule="auto"/>
        <w:ind w:firstLine="708"/>
        <w:jc w:val="both"/>
        <w:rPr>
          <w:rFonts w:ascii="Arial" w:hAnsi="Arial" w:cs="Arial"/>
          <w:bCs/>
          <w:sz w:val="26"/>
          <w:szCs w:val="26"/>
          <w:lang w:val="es-MX"/>
        </w:rPr>
      </w:pPr>
    </w:p>
    <w:p w:rsidR="00297B24" w:rsidRDefault="00485E6A" w:rsidP="00297B24">
      <w:pPr>
        <w:spacing w:after="0" w:line="360" w:lineRule="auto"/>
        <w:ind w:firstLine="708"/>
        <w:jc w:val="both"/>
        <w:rPr>
          <w:rFonts w:ascii="Arial" w:eastAsia="Times New Roman" w:hAnsi="Arial"/>
          <w:color w:val="000000"/>
          <w:sz w:val="26"/>
          <w:szCs w:val="26"/>
          <w:lang w:val="es-MX"/>
        </w:rPr>
      </w:pPr>
      <w:r>
        <w:rPr>
          <w:rFonts w:ascii="Arial" w:eastAsia="Times New Roman" w:hAnsi="Arial" w:cs="Arial"/>
          <w:color w:val="000000"/>
          <w:sz w:val="26"/>
          <w:szCs w:val="26"/>
          <w:lang w:val="es-MX"/>
        </w:rPr>
        <w:t>Así mismo, s</w:t>
      </w:r>
      <w:r w:rsidR="00297B24">
        <w:rPr>
          <w:rFonts w:ascii="Arial" w:eastAsia="Times New Roman" w:hAnsi="Arial" w:cs="Arial"/>
          <w:color w:val="000000"/>
          <w:sz w:val="26"/>
          <w:szCs w:val="26"/>
          <w:lang w:val="es-MX"/>
        </w:rPr>
        <w:t xml:space="preserve">irve de sustento legal la siguiente Jurisprudencia, Novena Época, </w:t>
      </w:r>
      <w:r w:rsidR="00297B24">
        <w:rPr>
          <w:rFonts w:ascii="Arial" w:eastAsia="Times New Roman" w:hAnsi="Arial"/>
          <w:color w:val="000000"/>
          <w:sz w:val="26"/>
          <w:szCs w:val="26"/>
          <w:lang w:val="es-MX"/>
        </w:rPr>
        <w:t>Registro: 188892, Instancia: Tribunales Colegiados de Circuito, Fuente: Semanario Judicial de la Federación y su Gaceta,  Tomo XIV, Septiembre de 2001, Materia(s): Común, Tesis: XXI.3o./J/2, Página: 1120.</w:t>
      </w:r>
    </w:p>
    <w:p w:rsidR="00297B24" w:rsidRDefault="00297B24" w:rsidP="00297B24">
      <w:pPr>
        <w:spacing w:line="240" w:lineRule="auto"/>
        <w:ind w:left="709" w:right="709"/>
        <w:jc w:val="both"/>
        <w:rPr>
          <w:rFonts w:ascii="Arial" w:eastAsia="Times New Roman" w:hAnsi="Arial" w:cs="Arial"/>
          <w:b/>
          <w:color w:val="000000"/>
        </w:rPr>
      </w:pPr>
    </w:p>
    <w:p w:rsidR="00297B24" w:rsidRDefault="00297B24" w:rsidP="00297B24">
      <w:pPr>
        <w:spacing w:line="360" w:lineRule="auto"/>
        <w:ind w:left="709" w:right="709"/>
        <w:jc w:val="both"/>
        <w:rPr>
          <w:rFonts w:ascii="Arial" w:eastAsia="Times New Roman" w:hAnsi="Arial" w:cs="Arial"/>
          <w:color w:val="000000"/>
        </w:rPr>
      </w:pPr>
      <w:r w:rsidRPr="002250D0">
        <w:rPr>
          <w:rFonts w:ascii="Arial" w:eastAsia="Times New Roman" w:hAnsi="Arial" w:cs="Arial"/>
          <w:b/>
          <w:color w:val="000000"/>
        </w:rPr>
        <w:t xml:space="preserve">AGRAVIOS EN LA RECLAMACIÓN. SON INOPERANTES CUANDO NO CONTROVIERTEN LAS CONSIDERACIONES QUE RIGEN EL AUTO COMBATIDO. </w:t>
      </w:r>
      <w:r w:rsidRPr="002250D0">
        <w:rPr>
          <w:rFonts w:ascii="Arial" w:eastAsia="Times New Roman" w:hAnsi="Arial" w:cs="Arial"/>
          <w:color w:val="000000"/>
        </w:rPr>
        <w:t>Si en la resolución recurrida el presidente de un Tribunal Colegiado sostiene diversas consideraciones para desechar el recurso de revisión de que se trata y el recurrente de la reclamación que se resuelve, lejos de combatirlas, se concreta a señalar una serie de razonamientos sin impugnar debidamente los argumentos expuestos por el presidente del órgano jurisdiccional en apoyo de su resolución, es evidente que los agravios resultan inoperantes.</w:t>
      </w:r>
    </w:p>
    <w:p w:rsidR="0057517B" w:rsidRPr="002250D0" w:rsidRDefault="0057517B" w:rsidP="00297B24">
      <w:pPr>
        <w:spacing w:line="360" w:lineRule="auto"/>
        <w:ind w:left="709" w:right="709"/>
        <w:jc w:val="both"/>
        <w:rPr>
          <w:rFonts w:ascii="Arial" w:hAnsi="Arial" w:cs="Arial"/>
          <w:bCs/>
        </w:rPr>
      </w:pPr>
    </w:p>
    <w:p w:rsidR="00297B24" w:rsidRDefault="00297B24" w:rsidP="00297B24">
      <w:pPr>
        <w:spacing w:line="360" w:lineRule="auto"/>
        <w:ind w:firstLine="709"/>
        <w:jc w:val="both"/>
        <w:rPr>
          <w:rFonts w:ascii="Arial" w:eastAsia="Calibri" w:hAnsi="Arial" w:cs="Arial"/>
          <w:bCs/>
          <w:sz w:val="26"/>
          <w:szCs w:val="26"/>
        </w:rPr>
      </w:pPr>
      <w:r>
        <w:rPr>
          <w:rFonts w:ascii="Arial" w:hAnsi="Arial" w:cs="Arial"/>
          <w:bCs/>
          <w:sz w:val="26"/>
          <w:szCs w:val="26"/>
        </w:rPr>
        <w:t xml:space="preserve">Por lo que, ante lo inoperante de los agravios expresados, lo procedente es  </w:t>
      </w:r>
      <w:r w:rsidRPr="00D25C20">
        <w:rPr>
          <w:rFonts w:ascii="Arial" w:hAnsi="Arial" w:cs="Arial"/>
          <w:b/>
          <w:bCs/>
          <w:sz w:val="26"/>
          <w:szCs w:val="26"/>
          <w:lang w:val="es-MX"/>
        </w:rPr>
        <w:t>CONFIRMAR</w:t>
      </w:r>
      <w:r>
        <w:rPr>
          <w:rFonts w:ascii="Arial" w:hAnsi="Arial" w:cs="Arial"/>
          <w:bCs/>
          <w:sz w:val="26"/>
          <w:szCs w:val="26"/>
          <w:lang w:val="es-MX"/>
        </w:rPr>
        <w:t xml:space="preserve"> </w:t>
      </w:r>
      <w:r w:rsidRPr="001B5D79">
        <w:rPr>
          <w:rFonts w:ascii="Arial" w:hAnsi="Arial" w:cs="Arial"/>
          <w:bCs/>
          <w:sz w:val="26"/>
          <w:szCs w:val="26"/>
          <w:lang w:val="es-MX"/>
        </w:rPr>
        <w:t xml:space="preserve">la </w:t>
      </w:r>
      <w:r>
        <w:rPr>
          <w:rFonts w:ascii="Arial" w:hAnsi="Arial" w:cs="Arial"/>
          <w:bCs/>
          <w:sz w:val="26"/>
          <w:szCs w:val="26"/>
          <w:lang w:val="es-MX"/>
        </w:rPr>
        <w:t>resolución</w:t>
      </w:r>
      <w:r w:rsidRPr="001B5D79">
        <w:rPr>
          <w:rFonts w:ascii="Arial" w:hAnsi="Arial" w:cs="Arial"/>
          <w:bCs/>
          <w:sz w:val="26"/>
          <w:szCs w:val="26"/>
          <w:lang w:val="es-MX"/>
        </w:rPr>
        <w:t xml:space="preserve"> </w:t>
      </w:r>
      <w:r>
        <w:rPr>
          <w:rFonts w:ascii="Arial" w:hAnsi="Arial" w:cs="Arial"/>
          <w:bCs/>
          <w:sz w:val="26"/>
          <w:szCs w:val="26"/>
          <w:lang w:val="es-MX"/>
        </w:rPr>
        <w:t>recurrida.</w:t>
      </w:r>
    </w:p>
    <w:p w:rsidR="00516635" w:rsidRPr="00516635" w:rsidRDefault="00730DEA" w:rsidP="00516635">
      <w:pPr>
        <w:spacing w:before="240" w:line="360" w:lineRule="auto"/>
        <w:ind w:firstLine="708"/>
        <w:jc w:val="both"/>
        <w:rPr>
          <w:rFonts w:ascii="Arial" w:hAnsi="Arial" w:cs="Arial"/>
          <w:sz w:val="26"/>
          <w:szCs w:val="26"/>
        </w:rPr>
      </w:pPr>
      <w:r>
        <w:rPr>
          <w:rFonts w:ascii="Arial" w:hAnsi="Arial" w:cs="Arial"/>
          <w:sz w:val="26"/>
          <w:szCs w:val="26"/>
        </w:rPr>
        <w:t xml:space="preserve">En mérito de lo anterior, </w:t>
      </w:r>
      <w:r w:rsidR="009C54AD">
        <w:rPr>
          <w:rFonts w:ascii="Arial" w:hAnsi="Arial" w:cs="Arial"/>
          <w:sz w:val="26"/>
          <w:szCs w:val="26"/>
        </w:rPr>
        <w:t xml:space="preserve">al no existir agravio que reparar, </w:t>
      </w:r>
      <w:r>
        <w:rPr>
          <w:rFonts w:ascii="Arial" w:hAnsi="Arial" w:cs="Arial"/>
          <w:sz w:val="26"/>
          <w:szCs w:val="26"/>
        </w:rPr>
        <w:t xml:space="preserve">con fundamento en los artículos 207 y 208 de la Ley de Justicia Administrativa para el Estado, </w:t>
      </w:r>
      <w:r w:rsidR="0057517B">
        <w:rPr>
          <w:rFonts w:ascii="Arial" w:hAnsi="Arial" w:cs="Arial"/>
          <w:sz w:val="26"/>
          <w:szCs w:val="26"/>
        </w:rPr>
        <w:t xml:space="preserve">vigente hasta el veinte de octubre de dos mil diecisiete, </w:t>
      </w:r>
      <w:r>
        <w:rPr>
          <w:rFonts w:ascii="Arial" w:hAnsi="Arial" w:cs="Arial"/>
          <w:sz w:val="26"/>
          <w:szCs w:val="26"/>
        </w:rPr>
        <w:t>se:</w:t>
      </w:r>
    </w:p>
    <w:p w:rsidR="00730DEA" w:rsidRDefault="00730DEA" w:rsidP="00730DEA">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730DEA" w:rsidRDefault="00AC073E" w:rsidP="00730DEA">
      <w:pPr>
        <w:spacing w:before="240"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66791DD9" wp14:editId="4F7AF4C8">
                <wp:simplePos x="0" y="0"/>
                <wp:positionH relativeFrom="column">
                  <wp:posOffset>5737860</wp:posOffset>
                </wp:positionH>
                <wp:positionV relativeFrom="paragraph">
                  <wp:posOffset>633730</wp:posOffset>
                </wp:positionV>
                <wp:extent cx="1076325" cy="657225"/>
                <wp:effectExtent l="0" t="0" r="28575"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C073E" w:rsidRDefault="00AC073E" w:rsidP="00AC073E">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1.8pt;margin-top:49.9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">
                <v:textbox>
                  <w:txbxContent>
                    <w:p w:rsidR="00AC073E" w:rsidRDefault="00AC073E" w:rsidP="00AC073E">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730DEA">
        <w:rPr>
          <w:rFonts w:ascii="Arial" w:hAnsi="Arial" w:cs="Arial"/>
          <w:b/>
          <w:sz w:val="26"/>
          <w:szCs w:val="26"/>
        </w:rPr>
        <w:t>PRIMERO</w:t>
      </w:r>
      <w:r w:rsidR="00730DEA">
        <w:rPr>
          <w:rFonts w:ascii="Arial" w:hAnsi="Arial" w:cs="Arial"/>
          <w:sz w:val="26"/>
          <w:szCs w:val="26"/>
        </w:rPr>
        <w:t xml:space="preserve">. Se </w:t>
      </w:r>
      <w:r w:rsidR="00730DEA">
        <w:rPr>
          <w:rFonts w:ascii="Arial" w:hAnsi="Arial" w:cs="Arial"/>
          <w:b/>
          <w:sz w:val="26"/>
          <w:szCs w:val="26"/>
        </w:rPr>
        <w:t xml:space="preserve">CONFIRMA </w:t>
      </w:r>
      <w:r w:rsidR="00730DEA">
        <w:rPr>
          <w:rFonts w:ascii="Arial" w:hAnsi="Arial" w:cs="Arial"/>
          <w:sz w:val="26"/>
          <w:szCs w:val="26"/>
        </w:rPr>
        <w:t xml:space="preserve">la sentencia recurrida, </w:t>
      </w:r>
      <w:r w:rsidR="00730DEA">
        <w:rPr>
          <w:rFonts w:ascii="Arial" w:hAnsi="Arial" w:cs="Arial"/>
          <w:sz w:val="26"/>
          <w:szCs w:val="26"/>
          <w:lang w:eastAsia="es-ES"/>
        </w:rPr>
        <w:t>por las razones expuestas en el considerando que antecede</w:t>
      </w:r>
      <w:r w:rsidR="00730DEA">
        <w:rPr>
          <w:rFonts w:ascii="Arial" w:hAnsi="Arial" w:cs="Arial"/>
          <w:sz w:val="26"/>
          <w:szCs w:val="26"/>
        </w:rPr>
        <w:t xml:space="preserve">. </w:t>
      </w:r>
    </w:p>
    <w:p w:rsidR="008138FC" w:rsidRDefault="002E5366" w:rsidP="008138FC">
      <w:pPr>
        <w:spacing w:before="240" w:line="360" w:lineRule="auto"/>
        <w:ind w:firstLine="708"/>
        <w:jc w:val="both"/>
        <w:rPr>
          <w:rFonts w:ascii="Arial" w:hAnsi="Arial" w:cs="Arial"/>
          <w:sz w:val="26"/>
          <w:szCs w:val="26"/>
        </w:rPr>
      </w:pPr>
      <w:r>
        <w:rPr>
          <w:rFonts w:ascii="Arial" w:hAnsi="Arial" w:cs="Arial"/>
          <w:b/>
          <w:sz w:val="26"/>
          <w:szCs w:val="26"/>
          <w:lang w:val="es-MX"/>
        </w:rPr>
        <w:t>SEGUNDO</w:t>
      </w:r>
      <w:r w:rsidR="00BC1172">
        <w:rPr>
          <w:rFonts w:ascii="Arial" w:hAnsi="Arial" w:cs="Arial"/>
          <w:sz w:val="26"/>
          <w:szCs w:val="26"/>
          <w:lang w:val="es-MX"/>
        </w:rPr>
        <w:t>.</w:t>
      </w:r>
      <w:r w:rsidR="008138FC">
        <w:rPr>
          <w:rFonts w:ascii="Arial" w:hAnsi="Arial" w:cs="Arial"/>
          <w:b/>
          <w:sz w:val="26"/>
          <w:szCs w:val="26"/>
        </w:rPr>
        <w:t xml:space="preserve"> </w:t>
      </w:r>
      <w:r w:rsidR="008138FC" w:rsidRPr="007B1E95">
        <w:rPr>
          <w:rFonts w:ascii="Arial" w:hAnsi="Arial" w:cs="Arial"/>
          <w:b/>
          <w:sz w:val="26"/>
          <w:szCs w:val="26"/>
        </w:rPr>
        <w:t>N</w:t>
      </w:r>
      <w:r w:rsidR="008138FC" w:rsidRPr="006E349D">
        <w:rPr>
          <w:rFonts w:ascii="Arial" w:hAnsi="Arial" w:cs="Arial"/>
          <w:b/>
          <w:sz w:val="26"/>
          <w:szCs w:val="26"/>
        </w:rPr>
        <w:t>OTIFÍQUESE</w:t>
      </w:r>
      <w:r w:rsidR="008138FC">
        <w:rPr>
          <w:rFonts w:ascii="Arial" w:hAnsi="Arial" w:cs="Arial"/>
          <w:b/>
          <w:sz w:val="26"/>
          <w:szCs w:val="26"/>
        </w:rPr>
        <w:t xml:space="preserve"> Y CÚMPLASE</w:t>
      </w:r>
      <w:r w:rsidR="008138FC" w:rsidRPr="006E349D">
        <w:rPr>
          <w:rFonts w:ascii="Arial" w:hAnsi="Arial" w:cs="Arial"/>
          <w:b/>
          <w:sz w:val="26"/>
          <w:szCs w:val="26"/>
        </w:rPr>
        <w:t>,</w:t>
      </w:r>
      <w:r w:rsidR="008138FC" w:rsidRPr="006E349D">
        <w:rPr>
          <w:rFonts w:ascii="Arial" w:hAnsi="Arial" w:cs="Arial"/>
          <w:sz w:val="26"/>
          <w:szCs w:val="26"/>
        </w:rPr>
        <w:t xml:space="preserve"> </w:t>
      </w:r>
      <w:r w:rsidR="008138FC">
        <w:rPr>
          <w:rFonts w:ascii="Arial" w:hAnsi="Arial" w:cs="Arial"/>
          <w:sz w:val="26"/>
          <w:szCs w:val="26"/>
        </w:rPr>
        <w:t xml:space="preserve">con copia certificada de la presente resolución, vuelvan las constancias remitidas a la </w:t>
      </w:r>
      <w:r w:rsidR="009C54AD">
        <w:rPr>
          <w:rFonts w:ascii="Arial" w:hAnsi="Arial" w:cs="Arial"/>
          <w:sz w:val="26"/>
          <w:szCs w:val="26"/>
        </w:rPr>
        <w:t>Se</w:t>
      </w:r>
      <w:r w:rsidR="00D55C90">
        <w:rPr>
          <w:rFonts w:ascii="Arial" w:hAnsi="Arial" w:cs="Arial"/>
          <w:sz w:val="26"/>
          <w:szCs w:val="26"/>
        </w:rPr>
        <w:t>xt</w:t>
      </w:r>
      <w:r w:rsidR="009C54AD">
        <w:rPr>
          <w:rFonts w:ascii="Arial" w:hAnsi="Arial" w:cs="Arial"/>
          <w:sz w:val="26"/>
          <w:szCs w:val="26"/>
        </w:rPr>
        <w:t xml:space="preserve">a </w:t>
      </w:r>
      <w:r w:rsidR="008138FC">
        <w:rPr>
          <w:rFonts w:ascii="Arial" w:hAnsi="Arial" w:cs="Arial"/>
          <w:sz w:val="26"/>
          <w:szCs w:val="26"/>
        </w:rPr>
        <w:t>Sala</w:t>
      </w:r>
      <w:r w:rsidR="00516635">
        <w:rPr>
          <w:rFonts w:ascii="Arial" w:hAnsi="Arial" w:cs="Arial"/>
          <w:sz w:val="26"/>
          <w:szCs w:val="26"/>
        </w:rPr>
        <w:t xml:space="preserve"> Unitaria de Primera Instancia </w:t>
      </w:r>
      <w:r w:rsidR="008138FC" w:rsidRPr="00D81DA7">
        <w:rPr>
          <w:rFonts w:ascii="Arial" w:hAnsi="Arial" w:cs="Arial"/>
          <w:sz w:val="26"/>
          <w:szCs w:val="26"/>
        </w:rPr>
        <w:t>y en su oportunidad archívese el cuade</w:t>
      </w:r>
      <w:r w:rsidR="00516635">
        <w:rPr>
          <w:rFonts w:ascii="Arial" w:hAnsi="Arial" w:cs="Arial"/>
          <w:sz w:val="26"/>
          <w:szCs w:val="26"/>
        </w:rPr>
        <w:t>rno de revisión como concluido.</w:t>
      </w:r>
      <w:r w:rsidR="008138FC">
        <w:rPr>
          <w:rFonts w:ascii="Arial" w:hAnsi="Arial" w:cs="Arial"/>
          <w:sz w:val="26"/>
          <w:szCs w:val="26"/>
        </w:rPr>
        <w:t xml:space="preserve"> </w:t>
      </w:r>
    </w:p>
    <w:p w:rsidR="0057517B" w:rsidRDefault="0057517B" w:rsidP="0057517B">
      <w:pPr>
        <w:spacing w:before="240" w:line="360" w:lineRule="auto"/>
        <w:ind w:firstLine="708"/>
        <w:jc w:val="both"/>
        <w:rPr>
          <w:rFonts w:ascii="Arial" w:hAnsi="Arial" w:cs="Arial"/>
          <w:bCs/>
          <w:sz w:val="26"/>
          <w:szCs w:val="26"/>
        </w:rPr>
      </w:pPr>
      <w:r w:rsidRPr="005A4A9B">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con la ausencia de la Magistrada María Elena Villa de Jarquín, quienes actúan con la Secretaria General de Acuerdos de este Tribunal, que autoriza y da fe.</w:t>
      </w:r>
    </w:p>
    <w:p w:rsidR="0057517B" w:rsidRDefault="0057517B" w:rsidP="0057517B">
      <w:pPr>
        <w:spacing w:line="360" w:lineRule="auto"/>
        <w:rPr>
          <w:rFonts w:ascii="Arial" w:hAnsi="Arial" w:cs="Arial"/>
          <w:sz w:val="26"/>
          <w:szCs w:val="26"/>
        </w:rPr>
      </w:pPr>
    </w:p>
    <w:p w:rsidR="0057517B" w:rsidRDefault="0057517B" w:rsidP="0057517B">
      <w:pPr>
        <w:spacing w:line="360" w:lineRule="auto"/>
        <w:rPr>
          <w:rFonts w:ascii="Arial" w:hAnsi="Arial" w:cs="Arial"/>
          <w:sz w:val="26"/>
          <w:szCs w:val="26"/>
        </w:rPr>
      </w:pPr>
    </w:p>
    <w:p w:rsidR="0057517B" w:rsidRDefault="0057517B" w:rsidP="0057517B">
      <w:pPr>
        <w:spacing w:after="0"/>
        <w:jc w:val="center"/>
        <w:rPr>
          <w:rFonts w:ascii="Arial" w:hAnsi="Arial" w:cs="Arial"/>
          <w:sz w:val="26"/>
          <w:szCs w:val="26"/>
        </w:rPr>
      </w:pPr>
      <w:r>
        <w:rPr>
          <w:rFonts w:ascii="Arial" w:hAnsi="Arial" w:cs="Arial"/>
          <w:sz w:val="26"/>
          <w:szCs w:val="26"/>
        </w:rPr>
        <w:t>MAGISTRADO ADRIÁN QUIROGA AVENDAÑO.</w:t>
      </w:r>
    </w:p>
    <w:p w:rsidR="0057517B" w:rsidRDefault="0057517B" w:rsidP="0057517B">
      <w:pPr>
        <w:spacing w:after="0"/>
        <w:jc w:val="center"/>
        <w:rPr>
          <w:rFonts w:ascii="Arial" w:hAnsi="Arial" w:cs="Arial"/>
          <w:sz w:val="26"/>
          <w:szCs w:val="26"/>
        </w:rPr>
      </w:pPr>
      <w:r>
        <w:rPr>
          <w:rFonts w:ascii="Arial" w:hAnsi="Arial" w:cs="Arial"/>
          <w:sz w:val="26"/>
          <w:szCs w:val="26"/>
        </w:rPr>
        <w:t>PRESIDENTE</w:t>
      </w:r>
    </w:p>
    <w:p w:rsidR="0057517B" w:rsidRDefault="0057517B" w:rsidP="0057517B">
      <w:pPr>
        <w:spacing w:line="360" w:lineRule="auto"/>
        <w:rPr>
          <w:rFonts w:ascii="Arial" w:hAnsi="Arial" w:cs="Arial"/>
          <w:sz w:val="26"/>
          <w:szCs w:val="26"/>
        </w:rPr>
      </w:pPr>
    </w:p>
    <w:p w:rsidR="0057517B" w:rsidRDefault="0057517B" w:rsidP="0057517B">
      <w:pPr>
        <w:spacing w:line="360" w:lineRule="auto"/>
        <w:rPr>
          <w:rFonts w:ascii="Arial" w:hAnsi="Arial" w:cs="Arial"/>
          <w:sz w:val="26"/>
          <w:szCs w:val="26"/>
        </w:rPr>
      </w:pPr>
    </w:p>
    <w:p w:rsidR="0057517B" w:rsidRDefault="0057517B" w:rsidP="0057517B">
      <w:pPr>
        <w:spacing w:line="360" w:lineRule="auto"/>
        <w:rPr>
          <w:rFonts w:ascii="Arial" w:hAnsi="Arial" w:cs="Arial"/>
          <w:sz w:val="26"/>
          <w:szCs w:val="26"/>
        </w:rPr>
      </w:pPr>
    </w:p>
    <w:p w:rsidR="0057517B" w:rsidRDefault="0057517B" w:rsidP="0057517B">
      <w:pPr>
        <w:spacing w:line="360" w:lineRule="auto"/>
        <w:jc w:val="center"/>
        <w:rPr>
          <w:rFonts w:ascii="Arial" w:hAnsi="Arial" w:cs="Arial"/>
          <w:sz w:val="26"/>
          <w:szCs w:val="26"/>
        </w:rPr>
      </w:pPr>
      <w:r>
        <w:rPr>
          <w:rFonts w:ascii="Arial" w:hAnsi="Arial" w:cs="Arial"/>
          <w:sz w:val="26"/>
          <w:szCs w:val="26"/>
        </w:rPr>
        <w:t>MAGISTRADO HUGO VILLEGAS AQUINO.</w:t>
      </w:r>
    </w:p>
    <w:p w:rsidR="0057517B" w:rsidRDefault="0057517B" w:rsidP="0057517B">
      <w:pPr>
        <w:spacing w:line="360" w:lineRule="auto"/>
        <w:rPr>
          <w:rFonts w:ascii="Arial" w:hAnsi="Arial" w:cs="Arial"/>
          <w:sz w:val="26"/>
          <w:szCs w:val="26"/>
        </w:rPr>
      </w:pPr>
    </w:p>
    <w:p w:rsidR="0057517B" w:rsidRDefault="0057517B" w:rsidP="0057517B">
      <w:pPr>
        <w:spacing w:line="360" w:lineRule="auto"/>
        <w:rPr>
          <w:rFonts w:ascii="Arial" w:hAnsi="Arial" w:cs="Arial"/>
          <w:sz w:val="26"/>
          <w:szCs w:val="26"/>
        </w:rPr>
      </w:pPr>
    </w:p>
    <w:p w:rsidR="0057517B" w:rsidRDefault="0057517B" w:rsidP="0057517B">
      <w:pPr>
        <w:spacing w:line="360" w:lineRule="auto"/>
        <w:rPr>
          <w:rFonts w:ascii="Arial" w:hAnsi="Arial" w:cs="Arial"/>
          <w:sz w:val="26"/>
          <w:szCs w:val="26"/>
        </w:rPr>
      </w:pPr>
    </w:p>
    <w:p w:rsidR="0057517B" w:rsidRDefault="0057517B" w:rsidP="0057517B">
      <w:pPr>
        <w:spacing w:line="360" w:lineRule="auto"/>
        <w:jc w:val="center"/>
        <w:rPr>
          <w:rFonts w:ascii="Arial" w:hAnsi="Arial" w:cs="Arial"/>
          <w:sz w:val="26"/>
          <w:szCs w:val="26"/>
        </w:rPr>
      </w:pPr>
      <w:r>
        <w:rPr>
          <w:rFonts w:ascii="Arial" w:hAnsi="Arial" w:cs="Arial"/>
          <w:sz w:val="26"/>
          <w:szCs w:val="26"/>
        </w:rPr>
        <w:t>MAGISTRADO ENRIQUE PACHECO MARTÍNEZ.</w:t>
      </w:r>
    </w:p>
    <w:p w:rsidR="0057517B" w:rsidRPr="005A4A9B" w:rsidRDefault="0057517B" w:rsidP="0057517B">
      <w:pPr>
        <w:rPr>
          <w:rFonts w:ascii="Arial" w:eastAsia="Times New Roman" w:hAnsi="Arial" w:cs="Arial"/>
          <w:sz w:val="26"/>
          <w:szCs w:val="26"/>
          <w:lang w:eastAsia="es-MX"/>
        </w:rPr>
      </w:pPr>
    </w:p>
    <w:p w:rsidR="0057517B" w:rsidRPr="005A4A9B" w:rsidRDefault="0057517B" w:rsidP="0057517B">
      <w:pPr>
        <w:jc w:val="center"/>
        <w:rPr>
          <w:rFonts w:ascii="Arial" w:eastAsia="Times New Roman" w:hAnsi="Arial" w:cs="Arial"/>
          <w:sz w:val="26"/>
          <w:szCs w:val="26"/>
          <w:lang w:eastAsia="es-MX"/>
        </w:rPr>
      </w:pPr>
    </w:p>
    <w:p w:rsidR="0057517B" w:rsidRPr="005A4A9B" w:rsidRDefault="0057517B" w:rsidP="0057517B">
      <w:pPr>
        <w:jc w:val="center"/>
        <w:rPr>
          <w:rFonts w:ascii="Arial" w:eastAsia="Times New Roman" w:hAnsi="Arial" w:cs="Arial"/>
          <w:sz w:val="26"/>
          <w:szCs w:val="26"/>
          <w:lang w:eastAsia="es-MX"/>
        </w:rPr>
      </w:pPr>
    </w:p>
    <w:p w:rsidR="0057517B" w:rsidRDefault="0057517B" w:rsidP="0057517B">
      <w:pPr>
        <w:jc w:val="center"/>
        <w:rPr>
          <w:rFonts w:ascii="Arial" w:hAnsi="Arial" w:cs="Arial"/>
          <w:sz w:val="26"/>
          <w:szCs w:val="26"/>
        </w:rPr>
      </w:pPr>
      <w:r w:rsidRPr="005A4A9B">
        <w:rPr>
          <w:rFonts w:ascii="Arial" w:eastAsia="Times New Roman" w:hAnsi="Arial" w:cs="Arial"/>
          <w:sz w:val="26"/>
          <w:szCs w:val="26"/>
          <w:lang w:eastAsia="es-MX"/>
        </w:rPr>
        <w:t>MAGISTRADO MANUEL VELASCO ALCÁNTARA</w:t>
      </w:r>
    </w:p>
    <w:p w:rsidR="0057517B" w:rsidRDefault="0057517B" w:rsidP="0057517B">
      <w:pPr>
        <w:rPr>
          <w:rFonts w:ascii="Arial" w:hAnsi="Arial" w:cs="Arial"/>
          <w:sz w:val="26"/>
          <w:szCs w:val="26"/>
        </w:rPr>
      </w:pPr>
    </w:p>
    <w:p w:rsidR="0057517B" w:rsidRDefault="0057517B" w:rsidP="0057517B">
      <w:pPr>
        <w:rPr>
          <w:rFonts w:ascii="Arial" w:hAnsi="Arial" w:cs="Arial"/>
          <w:sz w:val="26"/>
          <w:szCs w:val="26"/>
        </w:rPr>
      </w:pPr>
      <w:r>
        <w:rPr>
          <w:rFonts w:ascii="Arial" w:hAnsi="Arial" w:cs="Arial"/>
          <w:sz w:val="26"/>
          <w:szCs w:val="26"/>
        </w:rPr>
        <w:t xml:space="preserve"> </w:t>
      </w:r>
    </w:p>
    <w:p w:rsidR="0057517B" w:rsidRDefault="0057517B" w:rsidP="0057517B">
      <w:pPr>
        <w:rPr>
          <w:rFonts w:ascii="Arial" w:hAnsi="Arial" w:cs="Arial"/>
          <w:sz w:val="26"/>
          <w:szCs w:val="26"/>
        </w:rPr>
      </w:pPr>
    </w:p>
    <w:p w:rsidR="0057517B" w:rsidRDefault="0057517B" w:rsidP="0057517B">
      <w:pPr>
        <w:spacing w:after="0"/>
        <w:jc w:val="center"/>
        <w:rPr>
          <w:rFonts w:ascii="Arial" w:hAnsi="Arial" w:cs="Arial"/>
          <w:sz w:val="26"/>
          <w:szCs w:val="26"/>
        </w:rPr>
      </w:pPr>
      <w:r>
        <w:rPr>
          <w:rFonts w:ascii="Arial" w:hAnsi="Arial" w:cs="Arial"/>
          <w:sz w:val="26"/>
          <w:szCs w:val="26"/>
        </w:rPr>
        <w:t>LICENCIADA SANDRA PÉREZ CRUZ.</w:t>
      </w:r>
    </w:p>
    <w:p w:rsidR="0057517B" w:rsidRDefault="0057517B" w:rsidP="0057517B">
      <w:pPr>
        <w:spacing w:after="0"/>
        <w:jc w:val="center"/>
        <w:rPr>
          <w:rFonts w:ascii="Arial" w:hAnsi="Arial" w:cs="Arial"/>
          <w:sz w:val="26"/>
          <w:szCs w:val="26"/>
        </w:rPr>
      </w:pPr>
      <w:r>
        <w:rPr>
          <w:rFonts w:ascii="Arial" w:hAnsi="Arial" w:cs="Arial"/>
          <w:sz w:val="26"/>
          <w:szCs w:val="26"/>
        </w:rPr>
        <w:t>SECRETARIA GENERAL DE ACUERDOS.</w:t>
      </w:r>
    </w:p>
    <w:p w:rsidR="0057517B" w:rsidRPr="00A04ADC" w:rsidRDefault="0057517B" w:rsidP="0057517B">
      <w:pPr>
        <w:spacing w:after="160" w:line="360" w:lineRule="auto"/>
        <w:ind w:right="49"/>
        <w:jc w:val="both"/>
        <w:rPr>
          <w:rFonts w:ascii="Arial" w:hAnsi="Arial" w:cs="Arial"/>
          <w:sz w:val="26"/>
          <w:szCs w:val="26"/>
        </w:rPr>
      </w:pPr>
    </w:p>
    <w:p w:rsidR="00563B9C" w:rsidRPr="00CE5C32" w:rsidRDefault="00563B9C" w:rsidP="0057517B">
      <w:pPr>
        <w:spacing w:before="240" w:line="360" w:lineRule="auto"/>
        <w:jc w:val="both"/>
        <w:rPr>
          <w:sz w:val="26"/>
          <w:szCs w:val="26"/>
        </w:rPr>
      </w:pPr>
    </w:p>
    <w:sectPr w:rsidR="00563B9C" w:rsidRPr="00CE5C32" w:rsidSect="0057517B">
      <w:headerReference w:type="even" r:id="rId9"/>
      <w:headerReference w:type="default" r:id="rId10"/>
      <w:footerReference w:type="default" r:id="rId11"/>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7A2" w:rsidRDefault="00E767A2">
      <w:pPr>
        <w:spacing w:after="0" w:line="240" w:lineRule="auto"/>
      </w:pPr>
      <w:r>
        <w:separator/>
      </w:r>
    </w:p>
  </w:endnote>
  <w:endnote w:type="continuationSeparator" w:id="0">
    <w:p w:rsidR="00E767A2" w:rsidRDefault="00E76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E" w:rsidRDefault="00AC073E">
    <w:pPr>
      <w:pStyle w:val="Piedepgina"/>
    </w:pPr>
    <w:r>
      <w:rPr>
        <w:noProof/>
        <w:lang w:val="es-MX" w:eastAsia="es-MX"/>
      </w:rPr>
      <mc:AlternateContent>
        <mc:Choice Requires="wps">
          <w:drawing>
            <wp:anchor distT="0" distB="0" distL="114300" distR="114300" simplePos="0" relativeHeight="251658240" behindDoc="0" locked="0" layoutInCell="1" allowOverlap="1" wp14:anchorId="1FF148A8" wp14:editId="067D16E6">
              <wp:simplePos x="0" y="0"/>
              <wp:positionH relativeFrom="column">
                <wp:posOffset>-1638300</wp:posOffset>
              </wp:positionH>
              <wp:positionV relativeFrom="paragraph">
                <wp:posOffset>-4258310</wp:posOffset>
              </wp:positionV>
              <wp:extent cx="1076325" cy="657225"/>
              <wp:effectExtent l="0" t="0" r="2857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C073E" w:rsidRDefault="00AC073E" w:rsidP="00AC073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9" type="#_x0000_t202" style="position:absolute;margin-left:-129pt;margin-top:-335.3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">
              <v:textbox>
                <w:txbxContent>
                  <w:p w:rsidR="00AC073E" w:rsidRDefault="00AC073E" w:rsidP="00AC073E">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7A2" w:rsidRDefault="00E767A2">
      <w:pPr>
        <w:spacing w:after="0" w:line="240" w:lineRule="auto"/>
      </w:pPr>
      <w:r>
        <w:separator/>
      </w:r>
    </w:p>
  </w:footnote>
  <w:footnote w:type="continuationSeparator" w:id="0">
    <w:p w:rsidR="00E767A2" w:rsidRDefault="00E76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AD2BCF" w:rsidRDefault="00AD2BCF">
        <w:pPr>
          <w:pStyle w:val="Encabezado"/>
          <w:jc w:val="center"/>
        </w:pPr>
        <w:r>
          <w:fldChar w:fldCharType="begin"/>
        </w:r>
        <w:r>
          <w:instrText>PAGE   \* MERGEFORMAT</w:instrText>
        </w:r>
        <w:r>
          <w:fldChar w:fldCharType="separate"/>
        </w:r>
        <w:r w:rsidR="00AC073E">
          <w:rPr>
            <w:noProof/>
          </w:rPr>
          <w:t>6</w:t>
        </w:r>
        <w:r>
          <w:fldChar w:fldCharType="end"/>
        </w:r>
      </w:p>
    </w:sdtContent>
  </w:sdt>
  <w:p w:rsidR="00AD2BCF" w:rsidRDefault="00AD2BC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AD2BCF" w:rsidRDefault="00AD2BCF" w:rsidP="00206B99">
        <w:pPr>
          <w:pStyle w:val="Encabezado"/>
          <w:jc w:val="center"/>
          <w:rPr>
            <w:noProof/>
          </w:rPr>
        </w:pPr>
        <w:r>
          <w:fldChar w:fldCharType="begin"/>
        </w:r>
        <w:r>
          <w:instrText xml:space="preserve"> PAGE   \* MERGEFORMAT </w:instrText>
        </w:r>
        <w:r>
          <w:fldChar w:fldCharType="separate"/>
        </w:r>
        <w:r w:rsidR="00AC073E">
          <w:rPr>
            <w:noProof/>
          </w:rPr>
          <w:t>7</w:t>
        </w:r>
        <w:r>
          <w:rPr>
            <w:noProof/>
          </w:rPr>
          <w:fldChar w:fldCharType="end"/>
        </w:r>
      </w:p>
      <w:p w:rsidR="00AD2BCF" w:rsidRDefault="00AC073E" w:rsidP="00206B99">
        <w:pPr>
          <w:pStyle w:val="Encabezado"/>
          <w:jc w:val="center"/>
        </w:pPr>
      </w:p>
    </w:sdtContent>
  </w:sdt>
  <w:p w:rsidR="00AD2BCF" w:rsidRDefault="00AD2BCF"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4311634"/>
    <w:multiLevelType w:val="hybridMultilevel"/>
    <w:tmpl w:val="1A14C2FE"/>
    <w:lvl w:ilvl="0" w:tplc="146613C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325240A4"/>
    <w:multiLevelType w:val="hybridMultilevel"/>
    <w:tmpl w:val="96002298"/>
    <w:lvl w:ilvl="0" w:tplc="C02CC7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26C11"/>
    <w:rsid w:val="000330FB"/>
    <w:rsid w:val="00041E1D"/>
    <w:rsid w:val="000616B5"/>
    <w:rsid w:val="00070740"/>
    <w:rsid w:val="00070777"/>
    <w:rsid w:val="000715B6"/>
    <w:rsid w:val="000737BF"/>
    <w:rsid w:val="00075D16"/>
    <w:rsid w:val="00076CEA"/>
    <w:rsid w:val="00077745"/>
    <w:rsid w:val="00085132"/>
    <w:rsid w:val="000B1A06"/>
    <w:rsid w:val="000B2341"/>
    <w:rsid w:val="000B3B3B"/>
    <w:rsid w:val="000B50E0"/>
    <w:rsid w:val="000C4541"/>
    <w:rsid w:val="000D2065"/>
    <w:rsid w:val="000F05CA"/>
    <w:rsid w:val="000F54B0"/>
    <w:rsid w:val="000F62C3"/>
    <w:rsid w:val="001001C9"/>
    <w:rsid w:val="0010644A"/>
    <w:rsid w:val="00111BFC"/>
    <w:rsid w:val="00114AC5"/>
    <w:rsid w:val="00116579"/>
    <w:rsid w:val="00122F5E"/>
    <w:rsid w:val="00124515"/>
    <w:rsid w:val="00126F80"/>
    <w:rsid w:val="00130500"/>
    <w:rsid w:val="0013099F"/>
    <w:rsid w:val="00131CDF"/>
    <w:rsid w:val="00136897"/>
    <w:rsid w:val="001441D3"/>
    <w:rsid w:val="0014588F"/>
    <w:rsid w:val="00146509"/>
    <w:rsid w:val="0015351E"/>
    <w:rsid w:val="00161A5E"/>
    <w:rsid w:val="001656C7"/>
    <w:rsid w:val="00166D35"/>
    <w:rsid w:val="00172205"/>
    <w:rsid w:val="001761CB"/>
    <w:rsid w:val="00177F0E"/>
    <w:rsid w:val="00192287"/>
    <w:rsid w:val="001A3755"/>
    <w:rsid w:val="001D3B81"/>
    <w:rsid w:val="001D694C"/>
    <w:rsid w:val="001E3B11"/>
    <w:rsid w:val="001F72DF"/>
    <w:rsid w:val="0020247E"/>
    <w:rsid w:val="00203FD3"/>
    <w:rsid w:val="00206222"/>
    <w:rsid w:val="00206B01"/>
    <w:rsid w:val="00206B99"/>
    <w:rsid w:val="00214B96"/>
    <w:rsid w:val="00216595"/>
    <w:rsid w:val="00223F75"/>
    <w:rsid w:val="00231898"/>
    <w:rsid w:val="0024497C"/>
    <w:rsid w:val="00246915"/>
    <w:rsid w:val="00247875"/>
    <w:rsid w:val="00247D11"/>
    <w:rsid w:val="00262666"/>
    <w:rsid w:val="00263720"/>
    <w:rsid w:val="00263BE9"/>
    <w:rsid w:val="00273171"/>
    <w:rsid w:val="0027400F"/>
    <w:rsid w:val="002805AC"/>
    <w:rsid w:val="00283B3F"/>
    <w:rsid w:val="002844AF"/>
    <w:rsid w:val="00291333"/>
    <w:rsid w:val="00293B6F"/>
    <w:rsid w:val="00296748"/>
    <w:rsid w:val="00297B24"/>
    <w:rsid w:val="002A2985"/>
    <w:rsid w:val="002A4088"/>
    <w:rsid w:val="002A6EF0"/>
    <w:rsid w:val="002B0771"/>
    <w:rsid w:val="002B1441"/>
    <w:rsid w:val="002B5C82"/>
    <w:rsid w:val="002B79C4"/>
    <w:rsid w:val="002D11DC"/>
    <w:rsid w:val="002D1979"/>
    <w:rsid w:val="002E5366"/>
    <w:rsid w:val="002F1088"/>
    <w:rsid w:val="002F19AF"/>
    <w:rsid w:val="002F4F72"/>
    <w:rsid w:val="002F7173"/>
    <w:rsid w:val="002F7484"/>
    <w:rsid w:val="00300B3B"/>
    <w:rsid w:val="00304999"/>
    <w:rsid w:val="003054DB"/>
    <w:rsid w:val="00307E06"/>
    <w:rsid w:val="00312470"/>
    <w:rsid w:val="0031543B"/>
    <w:rsid w:val="00321CC2"/>
    <w:rsid w:val="003253CA"/>
    <w:rsid w:val="00331836"/>
    <w:rsid w:val="003350EA"/>
    <w:rsid w:val="00337583"/>
    <w:rsid w:val="0034180B"/>
    <w:rsid w:val="00342CE5"/>
    <w:rsid w:val="00355E72"/>
    <w:rsid w:val="00360B7B"/>
    <w:rsid w:val="003633B9"/>
    <w:rsid w:val="003646B9"/>
    <w:rsid w:val="00365E8F"/>
    <w:rsid w:val="003708D3"/>
    <w:rsid w:val="00376CBF"/>
    <w:rsid w:val="00381DC3"/>
    <w:rsid w:val="00386D9A"/>
    <w:rsid w:val="003B373B"/>
    <w:rsid w:val="003B3D48"/>
    <w:rsid w:val="003B4BAF"/>
    <w:rsid w:val="003B6C7E"/>
    <w:rsid w:val="003B70F8"/>
    <w:rsid w:val="003C5652"/>
    <w:rsid w:val="003D564F"/>
    <w:rsid w:val="003E0F2A"/>
    <w:rsid w:val="003E7801"/>
    <w:rsid w:val="00411707"/>
    <w:rsid w:val="0043753E"/>
    <w:rsid w:val="00463B93"/>
    <w:rsid w:val="004713AE"/>
    <w:rsid w:val="00485E6A"/>
    <w:rsid w:val="00486A51"/>
    <w:rsid w:val="004961AD"/>
    <w:rsid w:val="004A16F8"/>
    <w:rsid w:val="004A2326"/>
    <w:rsid w:val="004A319F"/>
    <w:rsid w:val="004B748E"/>
    <w:rsid w:val="004C015A"/>
    <w:rsid w:val="004D3ADD"/>
    <w:rsid w:val="004D5713"/>
    <w:rsid w:val="004D5934"/>
    <w:rsid w:val="004D637B"/>
    <w:rsid w:val="004E4456"/>
    <w:rsid w:val="004F5821"/>
    <w:rsid w:val="004F674E"/>
    <w:rsid w:val="00510956"/>
    <w:rsid w:val="005115C3"/>
    <w:rsid w:val="00513840"/>
    <w:rsid w:val="00514B2A"/>
    <w:rsid w:val="00516635"/>
    <w:rsid w:val="00521BC5"/>
    <w:rsid w:val="00526DC4"/>
    <w:rsid w:val="005300DF"/>
    <w:rsid w:val="00531B2A"/>
    <w:rsid w:val="0053715D"/>
    <w:rsid w:val="00541B18"/>
    <w:rsid w:val="00544CC9"/>
    <w:rsid w:val="00553578"/>
    <w:rsid w:val="00557727"/>
    <w:rsid w:val="005609AA"/>
    <w:rsid w:val="00563B9C"/>
    <w:rsid w:val="005707BD"/>
    <w:rsid w:val="005720EB"/>
    <w:rsid w:val="0057517B"/>
    <w:rsid w:val="005817AB"/>
    <w:rsid w:val="00581AD6"/>
    <w:rsid w:val="00586604"/>
    <w:rsid w:val="00591091"/>
    <w:rsid w:val="00591A66"/>
    <w:rsid w:val="00593333"/>
    <w:rsid w:val="005A118F"/>
    <w:rsid w:val="005A4480"/>
    <w:rsid w:val="005A493F"/>
    <w:rsid w:val="005B2365"/>
    <w:rsid w:val="005D0907"/>
    <w:rsid w:val="005D1708"/>
    <w:rsid w:val="005D4FEA"/>
    <w:rsid w:val="005D65FC"/>
    <w:rsid w:val="005D6C61"/>
    <w:rsid w:val="005E40A8"/>
    <w:rsid w:val="005F0FF0"/>
    <w:rsid w:val="005F2B81"/>
    <w:rsid w:val="006012BD"/>
    <w:rsid w:val="00602086"/>
    <w:rsid w:val="006031E8"/>
    <w:rsid w:val="00607309"/>
    <w:rsid w:val="00607F3D"/>
    <w:rsid w:val="00610C46"/>
    <w:rsid w:val="00621CC7"/>
    <w:rsid w:val="006257BB"/>
    <w:rsid w:val="00630C62"/>
    <w:rsid w:val="00633FA0"/>
    <w:rsid w:val="006418C8"/>
    <w:rsid w:val="006427D9"/>
    <w:rsid w:val="00643498"/>
    <w:rsid w:val="00644FDE"/>
    <w:rsid w:val="0064503A"/>
    <w:rsid w:val="00645E2A"/>
    <w:rsid w:val="00655BA3"/>
    <w:rsid w:val="00665723"/>
    <w:rsid w:val="0067297E"/>
    <w:rsid w:val="00674879"/>
    <w:rsid w:val="00676D68"/>
    <w:rsid w:val="0068325D"/>
    <w:rsid w:val="0068689E"/>
    <w:rsid w:val="00692778"/>
    <w:rsid w:val="00696616"/>
    <w:rsid w:val="00696F11"/>
    <w:rsid w:val="006A7ADC"/>
    <w:rsid w:val="006B0B08"/>
    <w:rsid w:val="006B10A8"/>
    <w:rsid w:val="006B4FD6"/>
    <w:rsid w:val="006C2F23"/>
    <w:rsid w:val="006D5675"/>
    <w:rsid w:val="006E6E6B"/>
    <w:rsid w:val="006F2412"/>
    <w:rsid w:val="006F2FA7"/>
    <w:rsid w:val="00700013"/>
    <w:rsid w:val="00702862"/>
    <w:rsid w:val="00707245"/>
    <w:rsid w:val="0072215B"/>
    <w:rsid w:val="00723EDE"/>
    <w:rsid w:val="007273A5"/>
    <w:rsid w:val="00727A65"/>
    <w:rsid w:val="00727C09"/>
    <w:rsid w:val="00730DEA"/>
    <w:rsid w:val="0073416D"/>
    <w:rsid w:val="007561B2"/>
    <w:rsid w:val="00766389"/>
    <w:rsid w:val="007758EE"/>
    <w:rsid w:val="007806D4"/>
    <w:rsid w:val="00782019"/>
    <w:rsid w:val="00792E46"/>
    <w:rsid w:val="00797FD4"/>
    <w:rsid w:val="007A0DD5"/>
    <w:rsid w:val="007B4DA5"/>
    <w:rsid w:val="007B57A7"/>
    <w:rsid w:val="007B6070"/>
    <w:rsid w:val="007C208F"/>
    <w:rsid w:val="007C4D7C"/>
    <w:rsid w:val="007D4645"/>
    <w:rsid w:val="007D6830"/>
    <w:rsid w:val="007E2547"/>
    <w:rsid w:val="007E32FC"/>
    <w:rsid w:val="007E716B"/>
    <w:rsid w:val="007F7F91"/>
    <w:rsid w:val="00801F35"/>
    <w:rsid w:val="00804535"/>
    <w:rsid w:val="008138FC"/>
    <w:rsid w:val="00831B55"/>
    <w:rsid w:val="0084114B"/>
    <w:rsid w:val="00846554"/>
    <w:rsid w:val="00864F72"/>
    <w:rsid w:val="00865CCC"/>
    <w:rsid w:val="00866BBE"/>
    <w:rsid w:val="00867705"/>
    <w:rsid w:val="00873D60"/>
    <w:rsid w:val="00875C51"/>
    <w:rsid w:val="008813B2"/>
    <w:rsid w:val="008946EA"/>
    <w:rsid w:val="00894D4A"/>
    <w:rsid w:val="008A0F21"/>
    <w:rsid w:val="008B1D4F"/>
    <w:rsid w:val="008B4EBC"/>
    <w:rsid w:val="008C508D"/>
    <w:rsid w:val="008C6559"/>
    <w:rsid w:val="008C7B57"/>
    <w:rsid w:val="008D1236"/>
    <w:rsid w:val="008D3F16"/>
    <w:rsid w:val="008F52F4"/>
    <w:rsid w:val="00903F1B"/>
    <w:rsid w:val="0091170B"/>
    <w:rsid w:val="009133A9"/>
    <w:rsid w:val="009139E9"/>
    <w:rsid w:val="00926FCD"/>
    <w:rsid w:val="00927607"/>
    <w:rsid w:val="009323EE"/>
    <w:rsid w:val="00947785"/>
    <w:rsid w:val="00964A87"/>
    <w:rsid w:val="00970C5E"/>
    <w:rsid w:val="00971C0C"/>
    <w:rsid w:val="00973D15"/>
    <w:rsid w:val="00974204"/>
    <w:rsid w:val="0097768E"/>
    <w:rsid w:val="00985FFB"/>
    <w:rsid w:val="009A33BE"/>
    <w:rsid w:val="009B1EAF"/>
    <w:rsid w:val="009B38C8"/>
    <w:rsid w:val="009C1C47"/>
    <w:rsid w:val="009C35AE"/>
    <w:rsid w:val="009C54AD"/>
    <w:rsid w:val="009D7058"/>
    <w:rsid w:val="009E0336"/>
    <w:rsid w:val="009E10EC"/>
    <w:rsid w:val="009F0779"/>
    <w:rsid w:val="00A022D9"/>
    <w:rsid w:val="00A0357E"/>
    <w:rsid w:val="00A20F43"/>
    <w:rsid w:val="00A21B13"/>
    <w:rsid w:val="00A27138"/>
    <w:rsid w:val="00A313FB"/>
    <w:rsid w:val="00A3359F"/>
    <w:rsid w:val="00A36422"/>
    <w:rsid w:val="00A36501"/>
    <w:rsid w:val="00A3690C"/>
    <w:rsid w:val="00A4105D"/>
    <w:rsid w:val="00A4628E"/>
    <w:rsid w:val="00A56C3B"/>
    <w:rsid w:val="00A61673"/>
    <w:rsid w:val="00A64CF4"/>
    <w:rsid w:val="00A72E07"/>
    <w:rsid w:val="00A8007D"/>
    <w:rsid w:val="00A83D36"/>
    <w:rsid w:val="00A87174"/>
    <w:rsid w:val="00A90E6E"/>
    <w:rsid w:val="00A91148"/>
    <w:rsid w:val="00A94E2C"/>
    <w:rsid w:val="00AB00F1"/>
    <w:rsid w:val="00AB628D"/>
    <w:rsid w:val="00AC073E"/>
    <w:rsid w:val="00AD06B2"/>
    <w:rsid w:val="00AD09A7"/>
    <w:rsid w:val="00AD2BCF"/>
    <w:rsid w:val="00AD2DDF"/>
    <w:rsid w:val="00AD38ED"/>
    <w:rsid w:val="00AD3F43"/>
    <w:rsid w:val="00AD4282"/>
    <w:rsid w:val="00AD77FD"/>
    <w:rsid w:val="00AD7F20"/>
    <w:rsid w:val="00AE3C7A"/>
    <w:rsid w:val="00AE471F"/>
    <w:rsid w:val="00AF7816"/>
    <w:rsid w:val="00B049EC"/>
    <w:rsid w:val="00B04DD6"/>
    <w:rsid w:val="00B10264"/>
    <w:rsid w:val="00B1212B"/>
    <w:rsid w:val="00B278D8"/>
    <w:rsid w:val="00B31114"/>
    <w:rsid w:val="00B314D2"/>
    <w:rsid w:val="00B37C1A"/>
    <w:rsid w:val="00B55C20"/>
    <w:rsid w:val="00B629CA"/>
    <w:rsid w:val="00B7058E"/>
    <w:rsid w:val="00B70EC1"/>
    <w:rsid w:val="00B7103E"/>
    <w:rsid w:val="00B72FDD"/>
    <w:rsid w:val="00B76804"/>
    <w:rsid w:val="00B87E94"/>
    <w:rsid w:val="00B90ED9"/>
    <w:rsid w:val="00B9364E"/>
    <w:rsid w:val="00BA42E0"/>
    <w:rsid w:val="00BB0E1B"/>
    <w:rsid w:val="00BB2686"/>
    <w:rsid w:val="00BB3A20"/>
    <w:rsid w:val="00BB5200"/>
    <w:rsid w:val="00BB7CD5"/>
    <w:rsid w:val="00BC1172"/>
    <w:rsid w:val="00BD0E39"/>
    <w:rsid w:val="00BD3656"/>
    <w:rsid w:val="00BD7F04"/>
    <w:rsid w:val="00BE1BBE"/>
    <w:rsid w:val="00BE315B"/>
    <w:rsid w:val="00BE4FDC"/>
    <w:rsid w:val="00BF2AD9"/>
    <w:rsid w:val="00C06502"/>
    <w:rsid w:val="00C07ADF"/>
    <w:rsid w:val="00C1180B"/>
    <w:rsid w:val="00C1415C"/>
    <w:rsid w:val="00C14B07"/>
    <w:rsid w:val="00C22D64"/>
    <w:rsid w:val="00C32FBE"/>
    <w:rsid w:val="00C360C6"/>
    <w:rsid w:val="00C41357"/>
    <w:rsid w:val="00C5439C"/>
    <w:rsid w:val="00C56885"/>
    <w:rsid w:val="00C57680"/>
    <w:rsid w:val="00C57997"/>
    <w:rsid w:val="00C6230B"/>
    <w:rsid w:val="00C74D1C"/>
    <w:rsid w:val="00C76A7C"/>
    <w:rsid w:val="00C80261"/>
    <w:rsid w:val="00C9510A"/>
    <w:rsid w:val="00C962CF"/>
    <w:rsid w:val="00CB0B6B"/>
    <w:rsid w:val="00CC610F"/>
    <w:rsid w:val="00CD1491"/>
    <w:rsid w:val="00CD64DE"/>
    <w:rsid w:val="00CE0E75"/>
    <w:rsid w:val="00CE5C32"/>
    <w:rsid w:val="00CF1602"/>
    <w:rsid w:val="00CF6971"/>
    <w:rsid w:val="00D00AC1"/>
    <w:rsid w:val="00D00E30"/>
    <w:rsid w:val="00D129F5"/>
    <w:rsid w:val="00D16547"/>
    <w:rsid w:val="00D20368"/>
    <w:rsid w:val="00D23422"/>
    <w:rsid w:val="00D24260"/>
    <w:rsid w:val="00D24335"/>
    <w:rsid w:val="00D3635F"/>
    <w:rsid w:val="00D4237E"/>
    <w:rsid w:val="00D42B66"/>
    <w:rsid w:val="00D52F8B"/>
    <w:rsid w:val="00D55C90"/>
    <w:rsid w:val="00D566F5"/>
    <w:rsid w:val="00D64959"/>
    <w:rsid w:val="00D718E2"/>
    <w:rsid w:val="00D7305D"/>
    <w:rsid w:val="00D74FDC"/>
    <w:rsid w:val="00D80D42"/>
    <w:rsid w:val="00D9154A"/>
    <w:rsid w:val="00D93271"/>
    <w:rsid w:val="00D96319"/>
    <w:rsid w:val="00DA0CA2"/>
    <w:rsid w:val="00DA158D"/>
    <w:rsid w:val="00DA16B7"/>
    <w:rsid w:val="00DA4B87"/>
    <w:rsid w:val="00DB0766"/>
    <w:rsid w:val="00DB4D86"/>
    <w:rsid w:val="00DB573A"/>
    <w:rsid w:val="00DB748A"/>
    <w:rsid w:val="00DC5269"/>
    <w:rsid w:val="00DD1BAF"/>
    <w:rsid w:val="00DD4E98"/>
    <w:rsid w:val="00DD58B8"/>
    <w:rsid w:val="00DD7B1B"/>
    <w:rsid w:val="00DE1224"/>
    <w:rsid w:val="00DE5048"/>
    <w:rsid w:val="00DF6B72"/>
    <w:rsid w:val="00E013E9"/>
    <w:rsid w:val="00E02932"/>
    <w:rsid w:val="00E12B19"/>
    <w:rsid w:val="00E136F3"/>
    <w:rsid w:val="00E16654"/>
    <w:rsid w:val="00E2021C"/>
    <w:rsid w:val="00E21CDD"/>
    <w:rsid w:val="00E33520"/>
    <w:rsid w:val="00E3623E"/>
    <w:rsid w:val="00E37775"/>
    <w:rsid w:val="00E43435"/>
    <w:rsid w:val="00E63F5D"/>
    <w:rsid w:val="00E659F7"/>
    <w:rsid w:val="00E67D3C"/>
    <w:rsid w:val="00E75BB5"/>
    <w:rsid w:val="00E767A2"/>
    <w:rsid w:val="00E80A78"/>
    <w:rsid w:val="00E836C7"/>
    <w:rsid w:val="00E83BCE"/>
    <w:rsid w:val="00E866C2"/>
    <w:rsid w:val="00E90E54"/>
    <w:rsid w:val="00E92F27"/>
    <w:rsid w:val="00E94929"/>
    <w:rsid w:val="00EA2C19"/>
    <w:rsid w:val="00EA31F3"/>
    <w:rsid w:val="00EA4F63"/>
    <w:rsid w:val="00EB0DD5"/>
    <w:rsid w:val="00EC45FC"/>
    <w:rsid w:val="00EC4A4E"/>
    <w:rsid w:val="00EC6A8E"/>
    <w:rsid w:val="00EC6BCB"/>
    <w:rsid w:val="00ED073E"/>
    <w:rsid w:val="00ED12AC"/>
    <w:rsid w:val="00ED315C"/>
    <w:rsid w:val="00EE2755"/>
    <w:rsid w:val="00EF33EC"/>
    <w:rsid w:val="00F02DE0"/>
    <w:rsid w:val="00F053FC"/>
    <w:rsid w:val="00F079CC"/>
    <w:rsid w:val="00F26CE1"/>
    <w:rsid w:val="00F30F7B"/>
    <w:rsid w:val="00F313C9"/>
    <w:rsid w:val="00F35DBE"/>
    <w:rsid w:val="00F4377C"/>
    <w:rsid w:val="00F52B04"/>
    <w:rsid w:val="00F52C3B"/>
    <w:rsid w:val="00F551B0"/>
    <w:rsid w:val="00F6398A"/>
    <w:rsid w:val="00F73072"/>
    <w:rsid w:val="00F83AFB"/>
    <w:rsid w:val="00F83C99"/>
    <w:rsid w:val="00F92334"/>
    <w:rsid w:val="00F92DF2"/>
    <w:rsid w:val="00FA0211"/>
    <w:rsid w:val="00FA12FB"/>
    <w:rsid w:val="00FA3C84"/>
    <w:rsid w:val="00FA5808"/>
    <w:rsid w:val="00FC1289"/>
    <w:rsid w:val="00FC1EB5"/>
    <w:rsid w:val="00FC7940"/>
    <w:rsid w:val="00FD0CFA"/>
    <w:rsid w:val="00FD3D56"/>
    <w:rsid w:val="00FD46BA"/>
    <w:rsid w:val="00FD59C6"/>
    <w:rsid w:val="00FD5D4A"/>
    <w:rsid w:val="00FE1243"/>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96306">
      <w:bodyDiv w:val="1"/>
      <w:marLeft w:val="0"/>
      <w:marRight w:val="0"/>
      <w:marTop w:val="0"/>
      <w:marBottom w:val="0"/>
      <w:divBdr>
        <w:top w:val="none" w:sz="0" w:space="0" w:color="auto"/>
        <w:left w:val="none" w:sz="0" w:space="0" w:color="auto"/>
        <w:bottom w:val="none" w:sz="0" w:space="0" w:color="auto"/>
        <w:right w:val="none" w:sz="0" w:space="0" w:color="auto"/>
      </w:divBdr>
    </w:div>
    <w:div w:id="1007367363">
      <w:bodyDiv w:val="1"/>
      <w:marLeft w:val="0"/>
      <w:marRight w:val="0"/>
      <w:marTop w:val="0"/>
      <w:marBottom w:val="0"/>
      <w:divBdr>
        <w:top w:val="none" w:sz="0" w:space="0" w:color="auto"/>
        <w:left w:val="none" w:sz="0" w:space="0" w:color="auto"/>
        <w:bottom w:val="none" w:sz="0" w:space="0" w:color="auto"/>
        <w:right w:val="none" w:sz="0" w:space="0" w:color="auto"/>
      </w:divBdr>
    </w:div>
    <w:div w:id="197069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3A692-D140-49EC-8F45-686B5BA9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4865</TotalTime>
  <Pages>7</Pages>
  <Words>2096</Words>
  <Characters>11530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26</cp:revision>
  <cp:lastPrinted>2017-02-02T19:21:00Z</cp:lastPrinted>
  <dcterms:created xsi:type="dcterms:W3CDTF">2017-01-13T20:21:00Z</dcterms:created>
  <dcterms:modified xsi:type="dcterms:W3CDTF">2018-12-10T19:07:00Z</dcterms:modified>
</cp:coreProperties>
</file>