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w:t>
      </w:r>
      <w:r w:rsidR="00CF1602">
        <w:rPr>
          <w:rFonts w:ascii="Arial" w:hAnsi="Arial" w:cs="Arial"/>
          <w:b/>
          <w:sz w:val="26"/>
          <w:szCs w:val="26"/>
        </w:rPr>
        <w:t xml:space="preserve"> DE OAXACA</w:t>
      </w:r>
    </w:p>
    <w:p w:rsidR="008138FC" w:rsidRDefault="00234B43"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0407</w:t>
      </w:r>
      <w:r w:rsidR="00C32FBE">
        <w:rPr>
          <w:rFonts w:ascii="Arial" w:hAnsi="Arial" w:cs="Arial"/>
          <w:b/>
          <w:sz w:val="26"/>
          <w:szCs w:val="26"/>
        </w:rPr>
        <w:t>/</w:t>
      </w:r>
      <w:r>
        <w:rPr>
          <w:rFonts w:ascii="Arial" w:hAnsi="Arial" w:cs="Arial"/>
          <w:b/>
          <w:sz w:val="26"/>
          <w:szCs w:val="26"/>
        </w:rPr>
        <w:t>2016</w:t>
      </w:r>
    </w:p>
    <w:p w:rsidR="008138FC" w:rsidRDefault="004B5940"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234B43">
        <w:rPr>
          <w:rFonts w:ascii="Arial" w:hAnsi="Arial" w:cs="Arial"/>
          <w:b/>
          <w:sz w:val="26"/>
          <w:szCs w:val="26"/>
        </w:rPr>
        <w:t>0358</w:t>
      </w:r>
      <w:r w:rsidR="00F27BD1" w:rsidRPr="00F27BD1">
        <w:rPr>
          <w:rFonts w:ascii="Arial" w:hAnsi="Arial" w:cs="Arial"/>
          <w:b/>
          <w:sz w:val="26"/>
          <w:szCs w:val="26"/>
        </w:rPr>
        <w:t xml:space="preserve">/2016 DE LA </w:t>
      </w:r>
      <w:r w:rsidR="00234B43">
        <w:rPr>
          <w:rFonts w:ascii="Arial" w:hAnsi="Arial" w:cs="Arial"/>
          <w:b/>
          <w:sz w:val="26"/>
          <w:szCs w:val="26"/>
        </w:rPr>
        <w:t>SEXTA</w:t>
      </w:r>
      <w:r w:rsidR="00F27BD1" w:rsidRPr="00F27BD1">
        <w:rPr>
          <w:rFonts w:ascii="Arial" w:hAnsi="Arial" w:cs="Arial"/>
          <w:b/>
          <w:sz w:val="26"/>
          <w:szCs w:val="26"/>
        </w:rPr>
        <w:t xml:space="preserve"> SALA UNITARIA DE PRIMERA INSTANCIA</w:t>
      </w:r>
    </w:p>
    <w:p w:rsidR="008138FC" w:rsidRDefault="00F27BD1" w:rsidP="00E2412D">
      <w:pPr>
        <w:spacing w:line="240" w:lineRule="auto"/>
        <w:ind w:left="2124"/>
        <w:jc w:val="both"/>
        <w:rPr>
          <w:rFonts w:ascii="Arial" w:hAnsi="Arial" w:cs="Arial"/>
          <w:b/>
          <w:sz w:val="26"/>
          <w:szCs w:val="26"/>
        </w:rPr>
      </w:pPr>
      <w:r>
        <w:rPr>
          <w:rFonts w:ascii="Arial" w:hAnsi="Arial" w:cs="Arial"/>
          <w:b/>
          <w:sz w:val="26"/>
          <w:szCs w:val="26"/>
        </w:rPr>
        <w:t xml:space="preserve">PONENTE: MAGISTRADO </w:t>
      </w:r>
      <w:r w:rsidRPr="00F27BD1">
        <w:rPr>
          <w:rFonts w:ascii="Arial" w:hAnsi="Arial" w:cs="Arial"/>
          <w:b/>
          <w:sz w:val="26"/>
          <w:szCs w:val="26"/>
        </w:rPr>
        <w:t>ADRIÁN QUIROGA AVENDAÑO</w:t>
      </w:r>
      <w:r w:rsidR="008138FC">
        <w:rPr>
          <w:rFonts w:ascii="Arial" w:hAnsi="Arial" w:cs="Arial"/>
          <w:b/>
          <w:sz w:val="26"/>
          <w:szCs w:val="26"/>
        </w:rPr>
        <w:t>.</w:t>
      </w:r>
    </w:p>
    <w:p w:rsidR="00F27BD1" w:rsidRDefault="00F27BD1" w:rsidP="009C15F4">
      <w:pPr>
        <w:spacing w:before="240" w:line="360" w:lineRule="auto"/>
        <w:jc w:val="both"/>
        <w:rPr>
          <w:rFonts w:ascii="Arial" w:hAnsi="Arial" w:cs="Arial"/>
          <w:b/>
          <w:sz w:val="26"/>
          <w:szCs w:val="26"/>
        </w:rPr>
      </w:pPr>
    </w:p>
    <w:p w:rsidR="0084263B" w:rsidRDefault="008138FC" w:rsidP="00F27BD1">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84263B">
        <w:rPr>
          <w:rFonts w:ascii="Arial" w:hAnsi="Arial" w:cs="Arial"/>
          <w:b/>
          <w:sz w:val="26"/>
          <w:szCs w:val="26"/>
        </w:rPr>
        <w:t>22 DE ENERO</w:t>
      </w:r>
      <w:r w:rsidR="00C3398D">
        <w:rPr>
          <w:rFonts w:ascii="Arial" w:hAnsi="Arial" w:cs="Arial"/>
          <w:b/>
          <w:sz w:val="26"/>
          <w:szCs w:val="26"/>
        </w:rPr>
        <w:t xml:space="preserve"> </w:t>
      </w:r>
      <w:r>
        <w:rPr>
          <w:rFonts w:ascii="Arial" w:hAnsi="Arial" w:cs="Arial"/>
          <w:b/>
          <w:sz w:val="26"/>
          <w:szCs w:val="26"/>
        </w:rPr>
        <w:t xml:space="preserve">DE </w:t>
      </w:r>
      <w:r w:rsidRPr="006E349D">
        <w:rPr>
          <w:rFonts w:ascii="Arial" w:hAnsi="Arial" w:cs="Arial"/>
          <w:b/>
          <w:sz w:val="26"/>
          <w:szCs w:val="26"/>
        </w:rPr>
        <w:t>201</w:t>
      </w:r>
      <w:r w:rsidR="00234B43">
        <w:rPr>
          <w:rFonts w:ascii="Arial" w:hAnsi="Arial" w:cs="Arial"/>
          <w:b/>
          <w:sz w:val="26"/>
          <w:szCs w:val="26"/>
        </w:rPr>
        <w:t>8</w:t>
      </w:r>
      <w:r>
        <w:rPr>
          <w:rFonts w:ascii="Arial" w:hAnsi="Arial" w:cs="Arial"/>
          <w:b/>
          <w:sz w:val="26"/>
          <w:szCs w:val="26"/>
        </w:rPr>
        <w:t xml:space="preserve"> </w:t>
      </w:r>
      <w:r w:rsidRPr="006E349D">
        <w:rPr>
          <w:rFonts w:ascii="Arial" w:hAnsi="Arial" w:cs="Arial"/>
          <w:b/>
          <w:sz w:val="26"/>
          <w:szCs w:val="26"/>
        </w:rPr>
        <w:t xml:space="preserve">DOS MIL </w:t>
      </w:r>
      <w:r w:rsidR="00234B43">
        <w:rPr>
          <w:rFonts w:ascii="Arial" w:hAnsi="Arial" w:cs="Arial"/>
          <w:b/>
          <w:sz w:val="26"/>
          <w:szCs w:val="26"/>
        </w:rPr>
        <w:t>DIECIOCHO</w:t>
      </w:r>
      <w:r w:rsidR="004B5940">
        <w:rPr>
          <w:rFonts w:ascii="Arial" w:hAnsi="Arial" w:cs="Arial"/>
          <w:b/>
          <w:sz w:val="26"/>
          <w:szCs w:val="26"/>
        </w:rPr>
        <w:t>.</w:t>
      </w:r>
      <w:r w:rsidR="0084263B">
        <w:rPr>
          <w:rFonts w:ascii="Arial" w:hAnsi="Arial" w:cs="Arial"/>
          <w:b/>
          <w:sz w:val="26"/>
          <w:szCs w:val="26"/>
        </w:rPr>
        <w:t xml:space="preserve"> </w:t>
      </w:r>
    </w:p>
    <w:p w:rsidR="0084263B" w:rsidRDefault="004B5940" w:rsidP="0084263B">
      <w:pPr>
        <w:spacing w:before="240" w:line="360" w:lineRule="auto"/>
        <w:ind w:firstLine="567"/>
        <w:jc w:val="both"/>
        <w:rPr>
          <w:rFonts w:ascii="Arial" w:hAnsi="Arial" w:cs="Arial"/>
          <w:sz w:val="26"/>
          <w:szCs w:val="26"/>
        </w:rPr>
      </w:pPr>
      <w:r w:rsidRPr="00693F05">
        <w:rPr>
          <w:rFonts w:ascii="Arial" w:hAnsi="Arial" w:cs="Arial"/>
          <w:color w:val="000000" w:themeColor="text1"/>
          <w:sz w:val="26"/>
          <w:szCs w:val="26"/>
        </w:rPr>
        <w:t xml:space="preserve">Por recibido el Cuaderno de Revisión </w:t>
      </w:r>
      <w:r w:rsidR="00234B43">
        <w:rPr>
          <w:rFonts w:ascii="Arial" w:hAnsi="Arial" w:cs="Arial"/>
          <w:b/>
          <w:color w:val="000000" w:themeColor="text1"/>
          <w:sz w:val="26"/>
          <w:szCs w:val="26"/>
        </w:rPr>
        <w:t>0407</w:t>
      </w:r>
      <w:r w:rsidR="00F27BD1">
        <w:rPr>
          <w:rFonts w:ascii="Arial" w:hAnsi="Arial" w:cs="Arial"/>
          <w:b/>
          <w:color w:val="000000" w:themeColor="text1"/>
          <w:sz w:val="26"/>
          <w:szCs w:val="26"/>
        </w:rPr>
        <w:t>/201</w:t>
      </w:r>
      <w:r w:rsidR="00234B43">
        <w:rPr>
          <w:rFonts w:ascii="Arial" w:hAnsi="Arial" w:cs="Arial"/>
          <w:b/>
          <w:color w:val="000000" w:themeColor="text1"/>
          <w:sz w:val="26"/>
          <w:szCs w:val="26"/>
        </w:rPr>
        <w:t>6</w:t>
      </w:r>
      <w:r w:rsidRPr="004D43B5">
        <w:rPr>
          <w:rFonts w:ascii="Arial" w:hAnsi="Arial" w:cs="Arial"/>
          <w:sz w:val="26"/>
          <w:szCs w:val="26"/>
        </w:rPr>
        <w:t>,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sidRPr="004D43B5">
        <w:rPr>
          <w:rFonts w:ascii="Arial" w:hAnsi="Arial" w:cs="Arial"/>
          <w:sz w:val="26"/>
          <w:szCs w:val="26"/>
        </w:rPr>
        <w:t xml:space="preserve"> Juicio de Amparo promovido por </w:t>
      </w:r>
      <w:r w:rsidR="000D7253">
        <w:rPr>
          <w:rFonts w:ascii="Arial" w:hAnsi="Arial" w:cs="Arial"/>
          <w:b/>
          <w:sz w:val="26"/>
          <w:szCs w:val="26"/>
        </w:rPr>
        <w:t>***********</w:t>
      </w:r>
      <w:r w:rsidRPr="004D43B5">
        <w:rPr>
          <w:rFonts w:ascii="Arial" w:hAnsi="Arial" w:cs="Arial"/>
          <w:b/>
          <w:sz w:val="26"/>
          <w:szCs w:val="26"/>
        </w:rPr>
        <w:t xml:space="preserve">, </w:t>
      </w:r>
      <w:r>
        <w:rPr>
          <w:rFonts w:ascii="Arial" w:hAnsi="Arial" w:cs="Arial"/>
          <w:sz w:val="26"/>
          <w:szCs w:val="26"/>
        </w:rPr>
        <w:t xml:space="preserve">en contra de la resolución </w:t>
      </w:r>
      <w:r w:rsidR="00234B43">
        <w:rPr>
          <w:rFonts w:ascii="Arial" w:hAnsi="Arial" w:cs="Arial"/>
          <w:sz w:val="26"/>
          <w:szCs w:val="26"/>
        </w:rPr>
        <w:t>de</w:t>
      </w:r>
      <w:r>
        <w:rPr>
          <w:rFonts w:ascii="Arial" w:hAnsi="Arial" w:cs="Arial"/>
          <w:sz w:val="26"/>
          <w:szCs w:val="26"/>
        </w:rPr>
        <w:t xml:space="preserve"> </w:t>
      </w:r>
      <w:r w:rsidR="00234B43">
        <w:rPr>
          <w:rFonts w:ascii="Arial" w:hAnsi="Arial" w:cs="Arial"/>
          <w:sz w:val="26"/>
          <w:szCs w:val="26"/>
        </w:rPr>
        <w:t>23 veintitrés de febrero de 2017 dos mil diecisiete,</w:t>
      </w:r>
      <w:r w:rsidR="00F27BD1">
        <w:rPr>
          <w:rFonts w:ascii="Arial" w:hAnsi="Arial" w:cs="Arial"/>
          <w:sz w:val="26"/>
          <w:szCs w:val="26"/>
        </w:rPr>
        <w:t xml:space="preserve"> </w:t>
      </w:r>
      <w:r w:rsidR="00234B43">
        <w:rPr>
          <w:rFonts w:ascii="Arial" w:hAnsi="Arial" w:cs="Arial"/>
          <w:sz w:val="26"/>
          <w:szCs w:val="26"/>
        </w:rPr>
        <w:t xml:space="preserve">dictada </w:t>
      </w:r>
      <w:r>
        <w:rPr>
          <w:rFonts w:ascii="Arial" w:hAnsi="Arial" w:cs="Arial"/>
          <w:sz w:val="26"/>
          <w:szCs w:val="26"/>
        </w:rPr>
        <w:t xml:space="preserve">por la Sala Superior del Tribunal de lo Contencioso Administrativo y de </w:t>
      </w:r>
      <w:r w:rsidR="00F27BD1">
        <w:rPr>
          <w:rFonts w:ascii="Arial" w:hAnsi="Arial" w:cs="Arial"/>
          <w:sz w:val="26"/>
          <w:szCs w:val="26"/>
        </w:rPr>
        <w:t>Cuentas del Poder Judicial del E</w:t>
      </w:r>
      <w:r>
        <w:rPr>
          <w:rFonts w:ascii="Arial" w:hAnsi="Arial" w:cs="Arial"/>
          <w:sz w:val="26"/>
          <w:szCs w:val="26"/>
        </w:rPr>
        <w:t xml:space="preserve">stado de Oaxaca, </w:t>
      </w:r>
      <w:r w:rsidR="00234B43">
        <w:rPr>
          <w:rFonts w:ascii="Arial" w:hAnsi="Arial" w:cs="Arial"/>
          <w:sz w:val="26"/>
          <w:szCs w:val="26"/>
        </w:rPr>
        <w:t>relativa al cumplimiento de este órgano jurisdiccional respecto a la ejecutoria de amparo 1253/2017, dictada por el Juzgado Decimoprimero de Distrito, con r</w:t>
      </w:r>
      <w:r w:rsidR="00234B43" w:rsidRPr="004D43B5">
        <w:rPr>
          <w:rFonts w:ascii="Arial" w:hAnsi="Arial" w:cs="Arial"/>
          <w:sz w:val="26"/>
          <w:szCs w:val="26"/>
        </w:rPr>
        <w:t>esidencia en</w:t>
      </w:r>
      <w:r w:rsidR="00234B43">
        <w:rPr>
          <w:rFonts w:ascii="Arial" w:hAnsi="Arial" w:cs="Arial"/>
          <w:sz w:val="26"/>
          <w:szCs w:val="26"/>
        </w:rPr>
        <w:t xml:space="preserve"> San Bartolo </w:t>
      </w:r>
      <w:proofErr w:type="spellStart"/>
      <w:r w:rsidR="00234B43">
        <w:rPr>
          <w:rFonts w:ascii="Arial" w:hAnsi="Arial" w:cs="Arial"/>
          <w:sz w:val="26"/>
          <w:szCs w:val="26"/>
        </w:rPr>
        <w:t>Coyotepec</w:t>
      </w:r>
      <w:proofErr w:type="spellEnd"/>
      <w:r w:rsidR="00234B43">
        <w:rPr>
          <w:rFonts w:ascii="Arial" w:hAnsi="Arial" w:cs="Arial"/>
          <w:sz w:val="26"/>
          <w:szCs w:val="26"/>
        </w:rPr>
        <w:t>, Oaxaca</w:t>
      </w:r>
      <w:r w:rsidR="00234B43" w:rsidRPr="004D43B5">
        <w:rPr>
          <w:rFonts w:ascii="Arial" w:hAnsi="Arial" w:cs="Arial"/>
          <w:sz w:val="26"/>
          <w:szCs w:val="26"/>
        </w:rPr>
        <w:t xml:space="preserve">, de </w:t>
      </w:r>
      <w:r w:rsidR="00234B43">
        <w:rPr>
          <w:rFonts w:ascii="Arial" w:hAnsi="Arial" w:cs="Arial"/>
          <w:sz w:val="26"/>
          <w:szCs w:val="26"/>
        </w:rPr>
        <w:t xml:space="preserve">05 cinco de diciembre de 2017 dos mil </w:t>
      </w:r>
      <w:r w:rsidR="00C46651">
        <w:rPr>
          <w:rFonts w:ascii="Arial" w:hAnsi="Arial" w:cs="Arial"/>
          <w:sz w:val="26"/>
          <w:szCs w:val="26"/>
        </w:rPr>
        <w:t>diecisiete</w:t>
      </w:r>
      <w:r w:rsidR="00234B43" w:rsidRPr="004D43B5">
        <w:rPr>
          <w:rFonts w:ascii="Arial" w:hAnsi="Arial" w:cs="Arial"/>
          <w:sz w:val="26"/>
          <w:szCs w:val="26"/>
        </w:rPr>
        <w:t>, se procede a dictar nueva resoluc</w:t>
      </w:r>
      <w:r w:rsidR="00234B43">
        <w:rPr>
          <w:rFonts w:ascii="Arial" w:hAnsi="Arial" w:cs="Arial"/>
          <w:sz w:val="26"/>
          <w:szCs w:val="26"/>
        </w:rPr>
        <w:t>ión en los siguientes términos</w:t>
      </w:r>
      <w:r w:rsidR="00F27BD1">
        <w:rPr>
          <w:rFonts w:ascii="Arial" w:hAnsi="Arial" w:cs="Arial"/>
          <w:sz w:val="26"/>
          <w:szCs w:val="26"/>
        </w:rPr>
        <w:t>:</w:t>
      </w:r>
      <w:r w:rsidR="0084263B">
        <w:rPr>
          <w:rFonts w:ascii="Arial" w:hAnsi="Arial" w:cs="Arial"/>
          <w:sz w:val="26"/>
          <w:szCs w:val="26"/>
        </w:rPr>
        <w:t xml:space="preserve"> </w:t>
      </w:r>
    </w:p>
    <w:p w:rsidR="0084263B" w:rsidRDefault="004B5940" w:rsidP="0084263B">
      <w:pPr>
        <w:spacing w:before="240" w:line="360" w:lineRule="auto"/>
        <w:ind w:firstLine="567"/>
        <w:jc w:val="center"/>
        <w:rPr>
          <w:rFonts w:ascii="Arial" w:hAnsi="Arial" w:cs="Arial"/>
          <w:b/>
          <w:bCs/>
          <w:sz w:val="26"/>
          <w:szCs w:val="26"/>
        </w:rPr>
      </w:pPr>
      <w:r w:rsidRPr="004D43B5">
        <w:rPr>
          <w:rFonts w:ascii="Arial" w:hAnsi="Arial" w:cs="Arial"/>
          <w:b/>
          <w:bCs/>
          <w:sz w:val="26"/>
          <w:szCs w:val="26"/>
        </w:rPr>
        <w:t xml:space="preserve">R E S U L T A N D </w:t>
      </w:r>
      <w:r w:rsidR="0084263B">
        <w:rPr>
          <w:rFonts w:ascii="Arial" w:hAnsi="Arial" w:cs="Arial"/>
          <w:b/>
          <w:bCs/>
          <w:sz w:val="26"/>
          <w:szCs w:val="26"/>
        </w:rPr>
        <w:t>O</w:t>
      </w:r>
    </w:p>
    <w:p w:rsidR="004B5940" w:rsidRPr="00F27BD1" w:rsidRDefault="004B5940" w:rsidP="0084263B">
      <w:pPr>
        <w:spacing w:before="240" w:line="360" w:lineRule="auto"/>
        <w:ind w:firstLine="567"/>
        <w:jc w:val="both"/>
        <w:rPr>
          <w:rFonts w:ascii="Arial" w:hAnsi="Arial" w:cs="Arial"/>
          <w:b/>
          <w:sz w:val="26"/>
          <w:szCs w:val="26"/>
        </w:rPr>
      </w:pPr>
      <w:r w:rsidRPr="004D43B5">
        <w:rPr>
          <w:rFonts w:ascii="Arial" w:hAnsi="Arial" w:cs="Arial"/>
          <w:b/>
          <w:bCs/>
          <w:sz w:val="26"/>
          <w:szCs w:val="26"/>
        </w:rPr>
        <w:t xml:space="preserve">PRIMERO. </w:t>
      </w:r>
      <w:r>
        <w:rPr>
          <w:rFonts w:ascii="Arial" w:hAnsi="Arial" w:cs="Arial"/>
          <w:sz w:val="26"/>
          <w:szCs w:val="26"/>
        </w:rPr>
        <w:t xml:space="preserve">La Sala Superior del </w:t>
      </w:r>
      <w:r w:rsidRPr="004D43B5">
        <w:rPr>
          <w:rFonts w:ascii="Arial" w:hAnsi="Arial" w:cs="Arial"/>
          <w:sz w:val="26"/>
          <w:szCs w:val="26"/>
        </w:rPr>
        <w:t>Tribunal</w:t>
      </w:r>
      <w:r>
        <w:rPr>
          <w:rFonts w:ascii="Arial" w:hAnsi="Arial" w:cs="Arial"/>
          <w:sz w:val="26"/>
          <w:szCs w:val="26"/>
        </w:rPr>
        <w:t xml:space="preserve"> de lo Contencioso Administrativo</w:t>
      </w:r>
      <w:r w:rsidRPr="00B3066D">
        <w:rPr>
          <w:rFonts w:ascii="Arial" w:hAnsi="Arial" w:cs="Arial"/>
          <w:sz w:val="26"/>
          <w:szCs w:val="26"/>
        </w:rPr>
        <w:t xml:space="preserve"> </w:t>
      </w:r>
      <w:r>
        <w:rPr>
          <w:rFonts w:ascii="Arial" w:hAnsi="Arial" w:cs="Arial"/>
          <w:sz w:val="26"/>
          <w:szCs w:val="26"/>
        </w:rPr>
        <w:t>y de Cuentas</w:t>
      </w:r>
      <w:r w:rsidRPr="004D43B5">
        <w:rPr>
          <w:rFonts w:ascii="Arial" w:hAnsi="Arial" w:cs="Arial"/>
          <w:sz w:val="26"/>
          <w:szCs w:val="26"/>
        </w:rPr>
        <w:t xml:space="preserve">, </w:t>
      </w:r>
      <w:r>
        <w:rPr>
          <w:rFonts w:ascii="Arial" w:hAnsi="Arial" w:cs="Arial"/>
          <w:sz w:val="26"/>
          <w:szCs w:val="26"/>
        </w:rPr>
        <w:t xml:space="preserve">el </w:t>
      </w:r>
      <w:r w:rsidR="00F209A9" w:rsidRPr="00F209A9">
        <w:rPr>
          <w:rFonts w:ascii="Arial" w:hAnsi="Arial" w:cs="Arial"/>
          <w:sz w:val="26"/>
          <w:szCs w:val="26"/>
        </w:rPr>
        <w:t>23 veintitrés de febrero de 2017 dos mil diecisiete</w:t>
      </w:r>
      <w:r w:rsidRPr="004D43B5">
        <w:rPr>
          <w:rFonts w:ascii="Arial" w:hAnsi="Arial" w:cs="Arial"/>
          <w:sz w:val="26"/>
          <w:szCs w:val="26"/>
        </w:rPr>
        <w:t>, dictó resolución, en cuyos puntos resolutivos determinó:</w:t>
      </w:r>
      <w:r w:rsidR="0084263B">
        <w:rPr>
          <w:rFonts w:ascii="Arial" w:hAnsi="Arial" w:cs="Arial"/>
          <w:sz w:val="26"/>
          <w:szCs w:val="26"/>
        </w:rPr>
        <w:t xml:space="preserve"> </w:t>
      </w:r>
    </w:p>
    <w:p w:rsidR="008D20C1" w:rsidRPr="005755A6" w:rsidRDefault="004B5940" w:rsidP="005755A6">
      <w:pPr>
        <w:pStyle w:val="Textoindependiente21"/>
        <w:spacing w:line="360" w:lineRule="auto"/>
        <w:ind w:left="851" w:right="616" w:firstLine="0"/>
        <w:rPr>
          <w:rFonts w:ascii="Arial" w:hAnsi="Arial" w:cs="Arial"/>
          <w:i/>
          <w:sz w:val="22"/>
          <w:szCs w:val="22"/>
        </w:rPr>
      </w:pPr>
      <w:r w:rsidRPr="005755A6">
        <w:rPr>
          <w:rFonts w:ascii="Arial" w:hAnsi="Arial" w:cs="Arial"/>
          <w:b/>
          <w:i/>
          <w:sz w:val="22"/>
          <w:szCs w:val="22"/>
        </w:rPr>
        <w:t>“</w:t>
      </w:r>
      <w:r w:rsidR="00F209A9" w:rsidRPr="005755A6">
        <w:rPr>
          <w:rFonts w:ascii="Arial" w:hAnsi="Arial" w:cs="Arial"/>
          <w:b/>
          <w:i/>
          <w:sz w:val="22"/>
          <w:szCs w:val="22"/>
        </w:rPr>
        <w:t>PRIMERO.</w:t>
      </w:r>
      <w:r w:rsidR="005068B9" w:rsidRPr="005755A6">
        <w:rPr>
          <w:rFonts w:ascii="Arial" w:hAnsi="Arial" w:cs="Arial"/>
          <w:b/>
          <w:sz w:val="22"/>
          <w:szCs w:val="22"/>
        </w:rPr>
        <w:t xml:space="preserve"> </w:t>
      </w:r>
      <w:r w:rsidR="005068B9" w:rsidRPr="005755A6">
        <w:rPr>
          <w:rFonts w:ascii="Arial" w:hAnsi="Arial" w:cs="Arial"/>
          <w:i/>
          <w:sz w:val="22"/>
          <w:szCs w:val="22"/>
        </w:rPr>
        <w:t xml:space="preserve">Se </w:t>
      </w:r>
      <w:r w:rsidR="005068B9" w:rsidRPr="005755A6">
        <w:rPr>
          <w:rFonts w:ascii="Arial" w:hAnsi="Arial" w:cs="Arial"/>
          <w:b/>
          <w:i/>
          <w:sz w:val="22"/>
          <w:szCs w:val="22"/>
        </w:rPr>
        <w:t xml:space="preserve">CONFIRMA </w:t>
      </w:r>
      <w:r w:rsidR="005068B9" w:rsidRPr="005755A6">
        <w:rPr>
          <w:rFonts w:ascii="Arial" w:hAnsi="Arial" w:cs="Arial"/>
          <w:i/>
          <w:sz w:val="22"/>
          <w:szCs w:val="22"/>
        </w:rPr>
        <w:t xml:space="preserve">el acuerdo de 25 veinticinco de agosto de 2016 dos mil dieciséis, tal como quedó precisado en el </w:t>
      </w:r>
      <w:r w:rsidR="005068B9" w:rsidRPr="005755A6">
        <w:rPr>
          <w:rFonts w:ascii="Arial" w:hAnsi="Arial" w:cs="Arial"/>
          <w:i/>
          <w:sz w:val="22"/>
          <w:szCs w:val="22"/>
          <w:lang w:val="es-MX"/>
        </w:rPr>
        <w:t>Considerando Tercero.- - -</w:t>
      </w:r>
      <w:r w:rsidR="005068B9" w:rsidRPr="005755A6">
        <w:rPr>
          <w:rFonts w:ascii="Arial" w:hAnsi="Arial" w:cs="Arial"/>
          <w:sz w:val="22"/>
          <w:szCs w:val="22"/>
          <w:lang w:val="es-MX"/>
        </w:rPr>
        <w:t xml:space="preserve"> - - - - - - - - - - - - - - - - - - - - - - - - - - - - - - -  </w:t>
      </w:r>
      <w:r w:rsidR="00F209A9" w:rsidRPr="005755A6">
        <w:rPr>
          <w:rFonts w:ascii="Arial" w:hAnsi="Arial" w:cs="Arial"/>
          <w:b/>
          <w:i/>
          <w:sz w:val="22"/>
          <w:szCs w:val="22"/>
        </w:rPr>
        <w:t xml:space="preserve"> </w:t>
      </w:r>
    </w:p>
    <w:p w:rsidR="004B5940" w:rsidRDefault="004B5940" w:rsidP="005755A6">
      <w:pPr>
        <w:pStyle w:val="Textoindependiente21"/>
        <w:tabs>
          <w:tab w:val="left" w:pos="7938"/>
        </w:tabs>
        <w:spacing w:line="360" w:lineRule="auto"/>
        <w:ind w:left="851" w:right="616" w:firstLine="0"/>
        <w:rPr>
          <w:rFonts w:ascii="Arial" w:hAnsi="Arial" w:cs="Arial"/>
          <w:i/>
          <w:sz w:val="22"/>
          <w:szCs w:val="22"/>
        </w:rPr>
      </w:pPr>
      <w:r w:rsidRPr="005755A6">
        <w:rPr>
          <w:rFonts w:ascii="Arial" w:hAnsi="Arial" w:cs="Arial"/>
          <w:b/>
          <w:i/>
          <w:sz w:val="22"/>
          <w:szCs w:val="22"/>
        </w:rPr>
        <w:t xml:space="preserve">SEGUNDO. </w:t>
      </w:r>
      <w:r w:rsidR="00F209A9" w:rsidRPr="005755A6">
        <w:rPr>
          <w:rFonts w:ascii="Arial" w:hAnsi="Arial" w:cs="Arial"/>
          <w:b/>
          <w:i/>
          <w:sz w:val="22"/>
          <w:szCs w:val="22"/>
        </w:rPr>
        <w:t>NOTIFÍQUESE Y CÚMPLASE</w:t>
      </w:r>
      <w:r w:rsidR="00F209A9" w:rsidRPr="005755A6">
        <w:rPr>
          <w:rFonts w:ascii="Arial" w:hAnsi="Arial" w:cs="Arial"/>
          <w:i/>
          <w:sz w:val="22"/>
          <w:szCs w:val="22"/>
        </w:rPr>
        <w:t>, remítase copia certificada de la presente resolución a la Séptima Sala Unitaria de Primera Instancia de este Tribunal y en su oportunidad archívese el presente cuaderno de revisión como asunto concluido</w:t>
      </w:r>
      <w:r w:rsidRPr="005755A6">
        <w:rPr>
          <w:rFonts w:ascii="Arial" w:hAnsi="Arial" w:cs="Arial"/>
          <w:sz w:val="22"/>
          <w:szCs w:val="22"/>
        </w:rPr>
        <w:t xml:space="preserve">. </w:t>
      </w:r>
      <w:r w:rsidRPr="005755A6">
        <w:rPr>
          <w:rFonts w:ascii="Arial" w:hAnsi="Arial" w:cs="Arial"/>
          <w:i/>
          <w:sz w:val="22"/>
          <w:szCs w:val="22"/>
        </w:rPr>
        <w:t>.</w:t>
      </w:r>
      <w:r w:rsidR="00F209A9" w:rsidRPr="005755A6">
        <w:rPr>
          <w:rFonts w:ascii="Arial" w:hAnsi="Arial" w:cs="Arial"/>
          <w:i/>
          <w:sz w:val="22"/>
          <w:szCs w:val="22"/>
        </w:rPr>
        <w:t xml:space="preserve">…”- - - </w:t>
      </w:r>
      <w:r w:rsidR="005755A6">
        <w:rPr>
          <w:rFonts w:ascii="Arial" w:hAnsi="Arial" w:cs="Arial"/>
          <w:i/>
          <w:sz w:val="22"/>
          <w:szCs w:val="22"/>
        </w:rPr>
        <w:t xml:space="preserve">- - - - - </w:t>
      </w:r>
    </w:p>
    <w:p w:rsidR="005755A6" w:rsidRPr="005755A6" w:rsidRDefault="005755A6" w:rsidP="005755A6">
      <w:pPr>
        <w:pStyle w:val="Textoindependiente21"/>
        <w:tabs>
          <w:tab w:val="left" w:pos="7938"/>
        </w:tabs>
        <w:spacing w:line="360" w:lineRule="auto"/>
        <w:ind w:left="851" w:right="616" w:firstLine="0"/>
        <w:rPr>
          <w:rFonts w:ascii="Arial" w:hAnsi="Arial" w:cs="Arial"/>
          <w:i/>
          <w:sz w:val="22"/>
          <w:szCs w:val="22"/>
        </w:rPr>
      </w:pPr>
    </w:p>
    <w:p w:rsidR="00B83594" w:rsidRPr="004D43B5" w:rsidRDefault="00B83594" w:rsidP="0084263B">
      <w:pPr>
        <w:spacing w:line="360" w:lineRule="auto"/>
        <w:ind w:firstLine="567"/>
        <w:jc w:val="both"/>
        <w:rPr>
          <w:rFonts w:ascii="Arial" w:hAnsi="Arial" w:cs="Arial"/>
          <w:bCs/>
          <w:sz w:val="26"/>
          <w:szCs w:val="26"/>
        </w:rPr>
      </w:pPr>
      <w:r w:rsidRPr="004D43B5">
        <w:rPr>
          <w:rFonts w:ascii="Arial" w:hAnsi="Arial" w:cs="Arial"/>
          <w:b/>
          <w:bCs/>
          <w:sz w:val="26"/>
          <w:szCs w:val="26"/>
        </w:rPr>
        <w:t>SEGUNDO</w:t>
      </w:r>
      <w:r>
        <w:rPr>
          <w:rFonts w:ascii="Arial" w:hAnsi="Arial" w:cs="Arial"/>
          <w:bCs/>
          <w:sz w:val="26"/>
          <w:szCs w:val="26"/>
        </w:rPr>
        <w:t xml:space="preserve"> En contra de dicha resolución el actor</w:t>
      </w:r>
      <w:r w:rsidRPr="004D43B5">
        <w:rPr>
          <w:rFonts w:ascii="Arial" w:hAnsi="Arial" w:cs="Arial"/>
          <w:bCs/>
          <w:sz w:val="26"/>
          <w:szCs w:val="26"/>
        </w:rPr>
        <w:t xml:space="preserve"> promovió amparo ante el</w:t>
      </w:r>
      <w:r>
        <w:rPr>
          <w:rFonts w:ascii="Arial" w:hAnsi="Arial" w:cs="Arial"/>
          <w:bCs/>
          <w:sz w:val="26"/>
          <w:szCs w:val="26"/>
        </w:rPr>
        <w:t xml:space="preserve"> Tribunal Colegiado en Materias </w:t>
      </w:r>
      <w:r w:rsidR="002265A4">
        <w:rPr>
          <w:rFonts w:ascii="Arial" w:hAnsi="Arial" w:cs="Arial"/>
          <w:bCs/>
          <w:sz w:val="26"/>
          <w:szCs w:val="26"/>
        </w:rPr>
        <w:t xml:space="preserve">de Trabajo </w:t>
      </w:r>
      <w:r>
        <w:rPr>
          <w:rFonts w:ascii="Arial" w:hAnsi="Arial" w:cs="Arial"/>
          <w:bCs/>
          <w:sz w:val="26"/>
          <w:szCs w:val="26"/>
        </w:rPr>
        <w:t xml:space="preserve"> y Administrativa del Decimotercer Circuito, sin embargo dicho Tribunal</w:t>
      </w:r>
      <w:r w:rsidR="002265A4">
        <w:rPr>
          <w:rFonts w:ascii="Arial" w:hAnsi="Arial" w:cs="Arial"/>
          <w:bCs/>
          <w:sz w:val="26"/>
          <w:szCs w:val="26"/>
        </w:rPr>
        <w:t xml:space="preserve"> </w:t>
      </w:r>
      <w:r>
        <w:rPr>
          <w:rFonts w:ascii="Arial" w:hAnsi="Arial" w:cs="Arial"/>
          <w:bCs/>
          <w:sz w:val="26"/>
          <w:szCs w:val="26"/>
        </w:rPr>
        <w:lastRenderedPageBreak/>
        <w:t>determinó carecer de competencia para conocer de la aludida demanda de amparo</w:t>
      </w:r>
      <w:r>
        <w:rPr>
          <w:rFonts w:ascii="Arial" w:hAnsi="Arial" w:cs="Arial"/>
          <w:sz w:val="26"/>
          <w:szCs w:val="26"/>
        </w:rPr>
        <w:t xml:space="preserve">, por lo que ordenó su remisión al Juez de Distrito en el Estado; tocando por razón de turno al Juzgado </w:t>
      </w:r>
      <w:r w:rsidR="002265A4">
        <w:rPr>
          <w:rFonts w:ascii="Arial" w:hAnsi="Arial" w:cs="Arial"/>
          <w:sz w:val="26"/>
          <w:szCs w:val="26"/>
        </w:rPr>
        <w:t>Decimop</w:t>
      </w:r>
      <w:r>
        <w:rPr>
          <w:rFonts w:ascii="Arial" w:hAnsi="Arial" w:cs="Arial"/>
          <w:sz w:val="26"/>
          <w:szCs w:val="26"/>
        </w:rPr>
        <w:t>rimero de Distrito</w:t>
      </w:r>
      <w:r w:rsidRPr="004D43B5">
        <w:rPr>
          <w:rFonts w:ascii="Arial" w:hAnsi="Arial" w:cs="Arial"/>
          <w:sz w:val="26"/>
          <w:szCs w:val="26"/>
        </w:rPr>
        <w:t xml:space="preserve">, con residencia en </w:t>
      </w:r>
      <w:r>
        <w:rPr>
          <w:rFonts w:ascii="Arial" w:hAnsi="Arial" w:cs="Arial"/>
          <w:sz w:val="26"/>
          <w:szCs w:val="26"/>
        </w:rPr>
        <w:t xml:space="preserve">San Bartolo </w:t>
      </w:r>
      <w:proofErr w:type="spellStart"/>
      <w:r>
        <w:rPr>
          <w:rFonts w:ascii="Arial" w:hAnsi="Arial" w:cs="Arial"/>
          <w:sz w:val="26"/>
          <w:szCs w:val="26"/>
        </w:rPr>
        <w:t>Coyotepec</w:t>
      </w:r>
      <w:proofErr w:type="spellEnd"/>
      <w:r>
        <w:rPr>
          <w:rFonts w:ascii="Arial" w:hAnsi="Arial" w:cs="Arial"/>
          <w:sz w:val="26"/>
          <w:szCs w:val="26"/>
        </w:rPr>
        <w:t>, Oaxaca</w:t>
      </w:r>
      <w:r w:rsidRPr="004D43B5">
        <w:rPr>
          <w:rFonts w:ascii="Arial" w:hAnsi="Arial" w:cs="Arial"/>
          <w:bCs/>
          <w:sz w:val="26"/>
          <w:szCs w:val="26"/>
        </w:rPr>
        <w:t>, el cual, concedió el AMPARO Y PROTECCIÓN DE LA JUSTICIA FEDERAL a</w:t>
      </w:r>
      <w:r>
        <w:rPr>
          <w:rFonts w:ascii="Arial" w:hAnsi="Arial" w:cs="Arial"/>
          <w:bCs/>
          <w:sz w:val="26"/>
          <w:szCs w:val="26"/>
        </w:rPr>
        <w:t>l quejoso</w:t>
      </w:r>
      <w:r w:rsidRPr="004D43B5">
        <w:rPr>
          <w:rFonts w:ascii="Arial" w:hAnsi="Arial" w:cs="Arial"/>
          <w:bCs/>
          <w:sz w:val="26"/>
          <w:szCs w:val="26"/>
        </w:rPr>
        <w:t xml:space="preserve"> mediante </w:t>
      </w:r>
      <w:r>
        <w:rPr>
          <w:rFonts w:ascii="Arial" w:hAnsi="Arial" w:cs="Arial"/>
          <w:bCs/>
          <w:sz w:val="26"/>
          <w:szCs w:val="26"/>
        </w:rPr>
        <w:t xml:space="preserve">resolución de </w:t>
      </w:r>
      <w:r w:rsidR="002265A4">
        <w:rPr>
          <w:rFonts w:ascii="Arial" w:hAnsi="Arial" w:cs="Arial"/>
          <w:sz w:val="26"/>
          <w:szCs w:val="26"/>
        </w:rPr>
        <w:t xml:space="preserve">05 cinco de </w:t>
      </w:r>
      <w:r>
        <w:rPr>
          <w:rFonts w:ascii="Arial" w:hAnsi="Arial" w:cs="Arial"/>
          <w:sz w:val="26"/>
          <w:szCs w:val="26"/>
        </w:rPr>
        <w:t>diciembre de 2017 dos mil diecisiete</w:t>
      </w:r>
      <w:r w:rsidRPr="004D43B5">
        <w:rPr>
          <w:rFonts w:ascii="Arial" w:hAnsi="Arial" w:cs="Arial"/>
          <w:bCs/>
          <w:sz w:val="26"/>
          <w:szCs w:val="26"/>
        </w:rPr>
        <w:t>,</w:t>
      </w:r>
      <w:r>
        <w:rPr>
          <w:rFonts w:ascii="Arial" w:hAnsi="Arial" w:cs="Arial"/>
          <w:bCs/>
          <w:sz w:val="26"/>
          <w:szCs w:val="26"/>
        </w:rPr>
        <w:t xml:space="preserve"> </w:t>
      </w:r>
      <w:r w:rsidRPr="004D43B5">
        <w:rPr>
          <w:rFonts w:ascii="Arial" w:hAnsi="Arial" w:cs="Arial"/>
          <w:bCs/>
          <w:sz w:val="26"/>
          <w:szCs w:val="26"/>
        </w:rPr>
        <w:t>al considerar:</w:t>
      </w:r>
      <w:r w:rsidR="0084263B">
        <w:rPr>
          <w:rFonts w:ascii="Arial" w:hAnsi="Arial" w:cs="Arial"/>
          <w:bCs/>
          <w:sz w:val="26"/>
          <w:szCs w:val="26"/>
        </w:rPr>
        <w:t xml:space="preserve"> </w:t>
      </w:r>
    </w:p>
    <w:p w:rsidR="00834B29" w:rsidRPr="00834B29" w:rsidRDefault="00B83594" w:rsidP="00EE3B8C">
      <w:pPr>
        <w:spacing w:after="0" w:line="360" w:lineRule="auto"/>
        <w:ind w:left="1134" w:right="1041" w:firstLine="565"/>
        <w:jc w:val="both"/>
        <w:rPr>
          <w:rFonts w:ascii="Arial" w:hAnsi="Arial" w:cs="Arial"/>
          <w:i/>
        </w:rPr>
      </w:pPr>
      <w:r>
        <w:rPr>
          <w:rFonts w:ascii="Arial" w:hAnsi="Arial" w:cs="Arial"/>
          <w:i/>
        </w:rPr>
        <w:t xml:space="preserve"> </w:t>
      </w:r>
      <w:r w:rsidR="00DF61AD">
        <w:rPr>
          <w:rFonts w:ascii="Arial" w:hAnsi="Arial" w:cs="Arial"/>
          <w:i/>
        </w:rPr>
        <w:t>“</w:t>
      </w:r>
      <w:r w:rsidR="00DF61AD">
        <w:rPr>
          <w:rFonts w:ascii="Arial" w:hAnsi="Arial" w:cs="Arial"/>
          <w:b/>
          <w:i/>
        </w:rPr>
        <w:t xml:space="preserve">CUARTO. </w:t>
      </w:r>
      <w:r w:rsidR="00834B29">
        <w:rPr>
          <w:rFonts w:ascii="Arial" w:hAnsi="Arial" w:cs="Arial"/>
          <w:i/>
        </w:rPr>
        <w:t>[…]</w:t>
      </w:r>
    </w:p>
    <w:p w:rsidR="000D1F8C" w:rsidRDefault="000D1F8C" w:rsidP="00EE3B8C">
      <w:pPr>
        <w:pStyle w:val="Prrafodelista"/>
        <w:spacing w:after="0" w:line="360" w:lineRule="auto"/>
        <w:ind w:left="1134" w:right="1041" w:firstLine="567"/>
        <w:jc w:val="both"/>
        <w:rPr>
          <w:rFonts w:ascii="Arial" w:hAnsi="Arial" w:cs="Arial"/>
          <w:i/>
        </w:rPr>
      </w:pPr>
      <w:r>
        <w:rPr>
          <w:rFonts w:ascii="Arial" w:hAnsi="Arial" w:cs="Arial"/>
          <w:i/>
        </w:rPr>
        <w:t>Al respecto, resultan inoperantes los conceptos de violación en lo que el quejoso controvierte la incompetencia legal del secretario de Vialidad y Transporte en el Estado de Oaxaca, se constriñe al examen del auto dictado por el titular de la Sexta Sala Unitaria de Primera Instancia de ese Tribunal, relativo a la declaratoria de cumplimiento de la sentencia dictada en el juicio contencioso administrativo 358/2016, en relación con la determinación de la única autoridad demandada; director de concesiones de la Secretaría de Vialidad y Transporte  del Estado, respecto del acuerdo emitido el dieciocho de abril de dos mil dieciséis.</w:t>
      </w:r>
    </w:p>
    <w:p w:rsidR="00A2319C" w:rsidRDefault="00A2319C" w:rsidP="00EE3B8C">
      <w:pPr>
        <w:pStyle w:val="Prrafodelista"/>
        <w:spacing w:after="0" w:line="360" w:lineRule="auto"/>
        <w:ind w:left="1134" w:right="1041" w:firstLine="567"/>
        <w:jc w:val="both"/>
        <w:rPr>
          <w:rFonts w:ascii="Arial" w:hAnsi="Arial" w:cs="Arial"/>
          <w:i/>
        </w:rPr>
      </w:pPr>
      <w:r>
        <w:rPr>
          <w:rFonts w:ascii="Arial" w:hAnsi="Arial" w:cs="Arial"/>
          <w:i/>
        </w:rPr>
        <w:t>Lo anterior, debido a que la materia de la resolución reclamada de la Sala Superior del Tribunal de lo Contencioso Administrativo y de Cuentas del Poder Judicial del Estado de Oaxaca, se constriñe al examen del auto dictado por el titular de la Sexta Sala Unitaria de Primera Instancia de ese Tribunal, relativo a la declaratoria de cumplimiento de la sentencia dictada en el juicio contencioso administrativo 358/2016, en relación con la determinación de la única autoridad demandada: director de concesiones de la Secretaría de Vialidad y Transporte del Estado, respecto del acuerdo emitido el dieciocho de abril de dos mil dieciséis.</w:t>
      </w:r>
    </w:p>
    <w:p w:rsidR="00A2319C" w:rsidRDefault="00F23799" w:rsidP="00EE3B8C">
      <w:pPr>
        <w:pStyle w:val="Prrafodelista"/>
        <w:spacing w:after="0" w:line="360" w:lineRule="auto"/>
        <w:ind w:left="1134" w:right="1041" w:firstLine="567"/>
        <w:jc w:val="both"/>
        <w:rPr>
          <w:rFonts w:ascii="Arial" w:hAnsi="Arial" w:cs="Arial"/>
          <w:i/>
        </w:rPr>
      </w:pPr>
      <w:r>
        <w:rPr>
          <w:noProof/>
        </w:rPr>
        <mc:AlternateContent>
          <mc:Choice Requires="wps">
            <w:drawing>
              <wp:anchor distT="0" distB="0" distL="114300" distR="114300" simplePos="0" relativeHeight="251659264" behindDoc="0" locked="0" layoutInCell="1" allowOverlap="1" wp14:anchorId="50006361" wp14:editId="39F15761">
                <wp:simplePos x="0" y="0"/>
                <wp:positionH relativeFrom="column">
                  <wp:posOffset>5163185</wp:posOffset>
                </wp:positionH>
                <wp:positionV relativeFrom="paragraph">
                  <wp:posOffset>593090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6.55pt;margin-top:46.7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">
                <v:textbox>
                  <w:txbxContent>
                    <w:p w:rsidR="00F23799" w:rsidRPr="00A6596B" w:rsidRDefault="00F23799" w:rsidP="00F23799">
                      <w:pPr>
                        <w:rPr>
                          <w:sz w:val="16"/>
                          <w:szCs w:val="16"/>
                        </w:rPr>
                      </w:pPr>
                      <w:r>
                        <w:rPr>
                          <w:sz w:val="16"/>
                          <w:szCs w:val="16"/>
                        </w:rPr>
                        <w:t>Datos personales protegidos por el Art. 116 de la LGTAIP y el Art. 56 de la LTAIPEO</w:t>
                      </w:r>
                    </w:p>
                  </w:txbxContent>
                </v:textbox>
              </v:shape>
            </w:pict>
          </mc:Fallback>
        </mc:AlternateContent>
      </w:r>
      <w:r w:rsidR="00A2319C">
        <w:rPr>
          <w:rFonts w:ascii="Arial" w:hAnsi="Arial" w:cs="Arial"/>
          <w:i/>
        </w:rPr>
        <w:t xml:space="preserve">Es oportuno señalar que la sentencia dictada el quince de noviembre de dos mil trece, dictada en el juicio de nulidad 319/2013, declaró la nulidad del acuerdo contenido en el oficio SEVITRA/DC/DCR/516/2013, de dieciséis de mayo de dos mil </w:t>
      </w:r>
      <w:r w:rsidR="00827161">
        <w:rPr>
          <w:rFonts w:ascii="Arial" w:hAnsi="Arial" w:cs="Arial"/>
          <w:i/>
        </w:rPr>
        <w:t xml:space="preserve">trece “para el efecto de que la DIRECTORA DE CONCESIONES DE LA SECRETARÍA DE VIALIDAD Y TRANSPORTE DEL ESTADO dicte otro debidamente fundado y motivado”, pues en el considerando tercero de ese fallo, se dijo que la autoridad demandada </w:t>
      </w:r>
      <w:r w:rsidR="009D031D">
        <w:rPr>
          <w:rFonts w:ascii="Arial" w:hAnsi="Arial" w:cs="Arial"/>
          <w:i/>
        </w:rPr>
        <w:t>no precisó el precepto legal que le otorgaba competencia para emitir el oficio cuya nulidad se reclamó.</w:t>
      </w:r>
    </w:p>
    <w:p w:rsidR="009D031D" w:rsidRDefault="009D031D" w:rsidP="00EE3B8C">
      <w:pPr>
        <w:pStyle w:val="Prrafodelista"/>
        <w:spacing w:after="0" w:line="360" w:lineRule="auto"/>
        <w:ind w:left="1134" w:right="1041" w:firstLine="284"/>
        <w:jc w:val="both"/>
        <w:rPr>
          <w:rFonts w:ascii="Arial" w:hAnsi="Arial" w:cs="Arial"/>
          <w:i/>
        </w:rPr>
      </w:pPr>
      <w:r>
        <w:rPr>
          <w:rFonts w:ascii="Arial" w:hAnsi="Arial" w:cs="Arial"/>
          <w:i/>
        </w:rPr>
        <w:t xml:space="preserve">Así, en la sentencia se dijo: “Del análisis al reseñado oficio se advierte que la Directora de Concesiones de la Secretaría de vialidad y Transporte del Estado citó como fundamento de </w:t>
      </w:r>
      <w:r>
        <w:rPr>
          <w:rFonts w:ascii="Arial" w:hAnsi="Arial" w:cs="Arial"/>
          <w:i/>
        </w:rPr>
        <w:lastRenderedPageBreak/>
        <w:t>la facultad que dice tener para dar respuesta a las peticiones formuladas al Secretario de Vialidad y Transporte del Estado, el artículo Segundo del Acuerdo mediante el cual el citado Secretario delega facultades a los titulares de la Dirección Jurídica y de la Dirección de Concesiones de la misma Dependencia; sin precisar los datos de localización del citado Acuerdo; lo que dejó al aquí actor en estado de indefensión porque lo obliga a buscar entre un cúmulo de acuerdos…”</w:t>
      </w:r>
      <w:r w:rsidR="007B3B2D">
        <w:rPr>
          <w:rFonts w:ascii="Arial" w:hAnsi="Arial" w:cs="Arial"/>
          <w:i/>
        </w:rPr>
        <w:t xml:space="preserve"> (</w:t>
      </w:r>
      <w:proofErr w:type="gramStart"/>
      <w:r w:rsidR="007B3B2D">
        <w:rPr>
          <w:rFonts w:ascii="Arial" w:hAnsi="Arial" w:cs="Arial"/>
          <w:i/>
        </w:rPr>
        <w:t>fojas</w:t>
      </w:r>
      <w:proofErr w:type="gramEnd"/>
      <w:r w:rsidR="007B3B2D">
        <w:rPr>
          <w:rFonts w:ascii="Arial" w:hAnsi="Arial" w:cs="Arial"/>
          <w:i/>
        </w:rPr>
        <w:t xml:space="preserve"> 34 y 35, tomo II</w:t>
      </w:r>
      <w:r>
        <w:rPr>
          <w:rFonts w:ascii="Arial" w:hAnsi="Arial" w:cs="Arial"/>
          <w:i/>
        </w:rPr>
        <w:t xml:space="preserve"> de pruebas).</w:t>
      </w:r>
    </w:p>
    <w:p w:rsidR="007B3B2D" w:rsidRDefault="007B3B2D" w:rsidP="00EE3B8C">
      <w:pPr>
        <w:pStyle w:val="Prrafodelista"/>
        <w:spacing w:after="0" w:line="360" w:lineRule="auto"/>
        <w:ind w:left="1134" w:right="1041" w:firstLine="567"/>
        <w:jc w:val="both"/>
        <w:rPr>
          <w:rFonts w:ascii="Arial" w:hAnsi="Arial" w:cs="Arial"/>
          <w:i/>
        </w:rPr>
      </w:pPr>
      <w:r>
        <w:rPr>
          <w:rFonts w:ascii="Arial" w:hAnsi="Arial" w:cs="Arial"/>
          <w:i/>
        </w:rPr>
        <w:t>En esa medida, resultan inatendibles los argumentos del peticionario del amparo en los que en esta instancia constitucional pretende combatir la ilegalidad de una autoridad que no fue llamada al juicio de nulidad, pues no es posible para este juzgado de distrito analizar la inconstitucionalidad de la competencia legal de una autoridad que no forma parte de la controversia en el juicio natural, lo que constituye un obstáculo en el examen de fondo.</w:t>
      </w:r>
    </w:p>
    <w:p w:rsidR="00DA2051" w:rsidRDefault="00DD02F0" w:rsidP="00EE3B8C">
      <w:pPr>
        <w:pStyle w:val="Prrafodelista"/>
        <w:spacing w:after="0" w:line="360" w:lineRule="auto"/>
        <w:ind w:left="1134" w:right="1041" w:firstLine="284"/>
        <w:jc w:val="both"/>
        <w:rPr>
          <w:rFonts w:ascii="Arial" w:hAnsi="Arial" w:cs="Arial"/>
          <w:i/>
        </w:rPr>
      </w:pPr>
      <w:r>
        <w:rPr>
          <w:rFonts w:ascii="Arial" w:hAnsi="Arial" w:cs="Arial"/>
          <w:i/>
        </w:rPr>
        <w:t xml:space="preserve"> </w:t>
      </w:r>
      <w:r w:rsidR="00DA2051">
        <w:rPr>
          <w:rFonts w:ascii="Arial" w:hAnsi="Arial" w:cs="Arial"/>
          <w:i/>
        </w:rPr>
        <w:t>[…]</w:t>
      </w:r>
    </w:p>
    <w:p w:rsidR="00DA2051" w:rsidRDefault="00DA2051" w:rsidP="00EE3B8C">
      <w:pPr>
        <w:pStyle w:val="Prrafodelista"/>
        <w:spacing w:after="0" w:line="360" w:lineRule="auto"/>
        <w:ind w:left="1134" w:right="1041" w:firstLine="567"/>
        <w:jc w:val="both"/>
        <w:rPr>
          <w:rFonts w:ascii="Arial" w:hAnsi="Arial" w:cs="Arial"/>
          <w:i/>
        </w:rPr>
      </w:pPr>
      <w:r>
        <w:rPr>
          <w:rFonts w:ascii="Arial" w:hAnsi="Arial" w:cs="Arial"/>
          <w:i/>
        </w:rPr>
        <w:t>Sobre el particular, son pertinentes dos aclaraciones:</w:t>
      </w:r>
    </w:p>
    <w:p w:rsidR="00DA2051" w:rsidRDefault="00DA2051" w:rsidP="00EE3B8C">
      <w:pPr>
        <w:pStyle w:val="Prrafodelista"/>
        <w:spacing w:after="0" w:line="360" w:lineRule="auto"/>
        <w:ind w:left="1134" w:right="1041" w:firstLine="567"/>
        <w:jc w:val="both"/>
        <w:rPr>
          <w:rFonts w:ascii="Arial" w:hAnsi="Arial" w:cs="Arial"/>
          <w:i/>
        </w:rPr>
      </w:pPr>
      <w:r>
        <w:rPr>
          <w:rFonts w:ascii="Arial" w:hAnsi="Arial" w:cs="Arial"/>
          <w:i/>
        </w:rPr>
        <w:t>En primer lugar, no es inadvertido que en la resolución reclamada, la sala responsable introduce como argumento para sostener el cumplimiento de la sentencia del juicio contencioso de origen, que en la resolución de diez de marzo de dos mil dieciséis resolvió que la autoridad competente para resolver lo relativo a la renovación de la concesión solicitada, es el secretario de Vialidad y Transporte del Estado de Oaxaca, lo que evidentemente constituye un exceso en el análisis de la controversia, pues esa autoridad ni fue llamada al juicio de nulidad, ni en la sentencia se estableció la obligación de concluir a qué autoridad le resultaba competencia para resolver sobre la solicitud de renovación de la concesión.</w:t>
      </w:r>
    </w:p>
    <w:p w:rsidR="00F91E0B" w:rsidRDefault="00F91E0B" w:rsidP="00EE3B8C">
      <w:pPr>
        <w:pStyle w:val="Prrafodelista"/>
        <w:spacing w:after="0" w:line="360" w:lineRule="auto"/>
        <w:ind w:left="1134" w:right="1041" w:firstLine="567"/>
        <w:jc w:val="both"/>
        <w:rPr>
          <w:rFonts w:ascii="Arial" w:hAnsi="Arial" w:cs="Arial"/>
          <w:i/>
        </w:rPr>
      </w:pPr>
      <w:r>
        <w:rPr>
          <w:rFonts w:ascii="Arial" w:hAnsi="Arial" w:cs="Arial"/>
          <w:i/>
        </w:rPr>
        <w:t xml:space="preserve">Tampoco pasa desapercibido que el quejoso no impugnó esta resolución de diez de marzo de dos mil dieciséis, en la que la misma sala se pronunció sobre la autoridad, que en su parecer, es la competente para atender la petición del actor. </w:t>
      </w:r>
    </w:p>
    <w:p w:rsidR="00DD02F0" w:rsidRDefault="00DD02F0" w:rsidP="00EE3B8C">
      <w:pPr>
        <w:pStyle w:val="Prrafodelista"/>
        <w:spacing w:after="0" w:line="360" w:lineRule="auto"/>
        <w:ind w:left="1134" w:right="1041" w:firstLine="567"/>
        <w:jc w:val="both"/>
        <w:rPr>
          <w:rFonts w:ascii="Arial" w:hAnsi="Arial" w:cs="Arial"/>
          <w:i/>
        </w:rPr>
      </w:pPr>
      <w:r>
        <w:rPr>
          <w:rFonts w:ascii="Arial" w:hAnsi="Arial" w:cs="Arial"/>
          <w:i/>
        </w:rPr>
        <w:t xml:space="preserve">Por tanto, con independencia del exceso cometido por la autoridad responsable, resulta fundado el concepto de violación en el que el </w:t>
      </w:r>
      <w:proofErr w:type="spellStart"/>
      <w:r>
        <w:rPr>
          <w:rFonts w:ascii="Arial" w:hAnsi="Arial" w:cs="Arial"/>
          <w:i/>
        </w:rPr>
        <w:t>promovente</w:t>
      </w:r>
      <w:proofErr w:type="spellEnd"/>
      <w:r>
        <w:rPr>
          <w:rFonts w:ascii="Arial" w:hAnsi="Arial" w:cs="Arial"/>
          <w:i/>
        </w:rPr>
        <w:t xml:space="preserve"> del amparo esencialmente sostiene que en la resolución que aquí se impugna, no se realizó un análisis detall</w:t>
      </w:r>
      <w:r w:rsidR="0000437C">
        <w:rPr>
          <w:rFonts w:ascii="Arial" w:hAnsi="Arial" w:cs="Arial"/>
          <w:i/>
        </w:rPr>
        <w:t>ado</w:t>
      </w:r>
      <w:r>
        <w:rPr>
          <w:rFonts w:ascii="Arial" w:hAnsi="Arial" w:cs="Arial"/>
          <w:i/>
        </w:rPr>
        <w:t xml:space="preserve"> de la fundamentación de la competencia </w:t>
      </w:r>
      <w:r>
        <w:rPr>
          <w:rFonts w:ascii="Arial" w:hAnsi="Arial" w:cs="Arial"/>
          <w:b/>
          <w:i/>
        </w:rPr>
        <w:t xml:space="preserve">de la autoridad demandada </w:t>
      </w:r>
      <w:r>
        <w:rPr>
          <w:rFonts w:ascii="Arial" w:hAnsi="Arial" w:cs="Arial"/>
          <w:i/>
        </w:rPr>
        <w:t xml:space="preserve">para conocer y resolver respecto de su petición de renovación de concesión de transporte público, lo que es </w:t>
      </w:r>
      <w:r>
        <w:rPr>
          <w:rFonts w:ascii="Arial" w:hAnsi="Arial" w:cs="Arial"/>
          <w:b/>
          <w:i/>
        </w:rPr>
        <w:t xml:space="preserve">conforme a lo dictado en la </w:t>
      </w:r>
      <w:r>
        <w:rPr>
          <w:rFonts w:ascii="Arial" w:hAnsi="Arial" w:cs="Arial"/>
          <w:b/>
          <w:i/>
        </w:rPr>
        <w:lastRenderedPageBreak/>
        <w:t xml:space="preserve">sentencia emitida el quince de noviembre  de dos mil trece, </w:t>
      </w:r>
      <w:r w:rsidRPr="00DD02F0">
        <w:rPr>
          <w:rFonts w:ascii="Arial" w:hAnsi="Arial" w:cs="Arial"/>
          <w:i/>
        </w:rPr>
        <w:t>lo que de suyo implica, que la resolución que constituye el acto reclamado no se encuentre motivada.</w:t>
      </w:r>
    </w:p>
    <w:p w:rsidR="005F3543" w:rsidRDefault="005F3543" w:rsidP="00EE3B8C">
      <w:pPr>
        <w:pStyle w:val="Prrafodelista"/>
        <w:tabs>
          <w:tab w:val="left" w:pos="2977"/>
        </w:tabs>
        <w:spacing w:after="0" w:line="360" w:lineRule="auto"/>
        <w:ind w:left="1701" w:right="1041" w:firstLine="567"/>
        <w:jc w:val="both"/>
        <w:rPr>
          <w:rFonts w:ascii="Arial" w:hAnsi="Arial" w:cs="Arial"/>
          <w:i/>
        </w:rPr>
      </w:pPr>
      <w:r>
        <w:rPr>
          <w:rFonts w:ascii="Arial" w:hAnsi="Arial" w:cs="Arial"/>
          <w:i/>
        </w:rPr>
        <w:t>[…]</w:t>
      </w:r>
    </w:p>
    <w:p w:rsidR="007B3B2D" w:rsidRDefault="005F3543" w:rsidP="00EE3B8C">
      <w:pPr>
        <w:pStyle w:val="Prrafodelista"/>
        <w:tabs>
          <w:tab w:val="left" w:pos="2977"/>
        </w:tabs>
        <w:spacing w:after="0" w:line="360" w:lineRule="auto"/>
        <w:ind w:left="1134" w:right="1041" w:firstLine="567"/>
        <w:jc w:val="both"/>
        <w:rPr>
          <w:rFonts w:ascii="Arial" w:hAnsi="Arial" w:cs="Arial"/>
          <w:b/>
          <w:i/>
        </w:rPr>
      </w:pPr>
      <w:r>
        <w:rPr>
          <w:rFonts w:ascii="Arial" w:hAnsi="Arial" w:cs="Arial"/>
          <w:i/>
        </w:rPr>
        <w:t xml:space="preserve">En el caso, </w:t>
      </w:r>
      <w:r w:rsidR="00104BA8">
        <w:rPr>
          <w:rFonts w:ascii="Arial" w:hAnsi="Arial" w:cs="Arial"/>
          <w:i/>
        </w:rPr>
        <w:t xml:space="preserve">en su primer agravio (foja 3, tomo I de pruebas), el quejoso, como actor en el juicio de nulidad, expresó que el magistrado de la Sexta Sala Unitaria, </w:t>
      </w:r>
      <w:r w:rsidR="00104BA8">
        <w:rPr>
          <w:rFonts w:ascii="Arial" w:hAnsi="Arial" w:cs="Arial"/>
          <w:b/>
          <w:i/>
        </w:rPr>
        <w:t xml:space="preserve">sin realizar ningún análisis de la resolución de dieciocho de abril de dos mil dieciséis, dictada por el director de Concesiones de la Secretaría de Vialidad y Transporte del Estado de Oaxaca </w:t>
      </w:r>
      <w:r w:rsidR="00104BA8">
        <w:rPr>
          <w:rFonts w:ascii="Arial" w:hAnsi="Arial" w:cs="Arial"/>
          <w:i/>
        </w:rPr>
        <w:t xml:space="preserve">y de la resolución también dictada por el secretario de Vialidad y Transporte del Estado de Oaxaca (este último que negó la renovación de la concesión para prestar el servicio público de transporte en la modalidad de taxi), </w:t>
      </w:r>
      <w:r w:rsidR="00104BA8">
        <w:rPr>
          <w:rFonts w:ascii="Arial" w:hAnsi="Arial" w:cs="Arial"/>
          <w:b/>
          <w:i/>
        </w:rPr>
        <w:t>declaró cumplida la sentencia pronunciada el quince de noviembre de dos mil trece.</w:t>
      </w:r>
    </w:p>
    <w:p w:rsidR="00104BA8" w:rsidRDefault="00104BA8" w:rsidP="00EE3B8C">
      <w:pPr>
        <w:pStyle w:val="Prrafodelista"/>
        <w:spacing w:after="0" w:line="360" w:lineRule="auto"/>
        <w:ind w:left="1134" w:right="900" w:firstLine="567"/>
        <w:jc w:val="both"/>
        <w:rPr>
          <w:rFonts w:ascii="Arial" w:hAnsi="Arial" w:cs="Arial"/>
          <w:i/>
        </w:rPr>
      </w:pPr>
      <w:r>
        <w:rPr>
          <w:rFonts w:ascii="Arial" w:hAnsi="Arial" w:cs="Arial"/>
          <w:i/>
        </w:rPr>
        <w:t>No obstante, la sala responsable solo consideró y declaró inatendibles los agravios dirigidos a controvertir la ilegalidad (por incompetencia legal) del turno que se hizo (de la solicitud para la renovación de la concesión solicitada) al secretario de Vialidad y Transporte en el Estado de Oaxaca, sin que en efecto, la sala superior se pronunciara en relación con el agravio formulado respecto de que el magistrado de la Sexta Sala Unitaria no hizo pronunciamiento alguno en cuanto a su resolución de dieciocho de abril de dos mil dieciséis.</w:t>
      </w:r>
    </w:p>
    <w:p w:rsidR="00104BA8" w:rsidRDefault="007B60EE" w:rsidP="00EE3B8C">
      <w:pPr>
        <w:pStyle w:val="Prrafodelista"/>
        <w:spacing w:after="0" w:line="360" w:lineRule="auto"/>
        <w:ind w:left="1134" w:right="900" w:firstLine="567"/>
        <w:jc w:val="both"/>
        <w:rPr>
          <w:rFonts w:ascii="Arial" w:hAnsi="Arial" w:cs="Arial"/>
          <w:i/>
        </w:rPr>
      </w:pPr>
      <w:r>
        <w:rPr>
          <w:rFonts w:ascii="Arial" w:hAnsi="Arial" w:cs="Arial"/>
          <w:i/>
        </w:rPr>
        <w:t xml:space="preserve">Cabe señalar, que la sentencia emitida por el magistrado de la </w:t>
      </w:r>
      <w:proofErr w:type="gramStart"/>
      <w:r>
        <w:rPr>
          <w:rFonts w:ascii="Arial" w:hAnsi="Arial" w:cs="Arial"/>
          <w:i/>
        </w:rPr>
        <w:t>Segunda</w:t>
      </w:r>
      <w:r w:rsidR="00760541">
        <w:rPr>
          <w:rFonts w:ascii="Arial" w:hAnsi="Arial" w:cs="Arial"/>
          <w:i/>
        </w:rPr>
        <w:t>(</w:t>
      </w:r>
      <w:proofErr w:type="gramEnd"/>
      <w:r w:rsidR="00760541">
        <w:rPr>
          <w:rFonts w:ascii="Arial" w:hAnsi="Arial" w:cs="Arial"/>
          <w:i/>
        </w:rPr>
        <w:t>sic)</w:t>
      </w:r>
      <w:r>
        <w:rPr>
          <w:rFonts w:ascii="Arial" w:hAnsi="Arial" w:cs="Arial"/>
          <w:i/>
        </w:rPr>
        <w:t xml:space="preserve"> Sala de Primera Instancia del Tribunal de lo Contencioso Administrativo para el Estado de Oaxaca, constituye autoridad de cosa juzgada, y como tal, es el resultado y fin último de la impartición de justicia a cargo del Estado.</w:t>
      </w:r>
    </w:p>
    <w:p w:rsidR="007B60EE" w:rsidRDefault="00F23799" w:rsidP="00EE3B8C">
      <w:pPr>
        <w:pStyle w:val="Prrafodelista"/>
        <w:spacing w:after="0" w:line="360" w:lineRule="auto"/>
        <w:ind w:left="1134" w:right="900" w:firstLine="567"/>
        <w:jc w:val="both"/>
        <w:rPr>
          <w:rFonts w:ascii="Arial" w:hAnsi="Arial" w:cs="Arial"/>
          <w:i/>
        </w:rPr>
      </w:pPr>
      <w:r>
        <w:rPr>
          <w:noProof/>
        </w:rPr>
        <mc:AlternateContent>
          <mc:Choice Requires="wps">
            <w:drawing>
              <wp:anchor distT="0" distB="0" distL="114300" distR="114300" simplePos="0" relativeHeight="251661312" behindDoc="0" locked="0" layoutInCell="1" allowOverlap="1" wp14:anchorId="03F14ED0" wp14:editId="5B6930D7">
                <wp:simplePos x="0" y="0"/>
                <wp:positionH relativeFrom="column">
                  <wp:posOffset>5229860</wp:posOffset>
                </wp:positionH>
                <wp:positionV relativeFrom="paragraph">
                  <wp:posOffset>1195705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1.8pt;margin-top:94.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">
                <v:textbox>
                  <w:txbxContent>
                    <w:p w:rsidR="00F23799" w:rsidRPr="00A6596B" w:rsidRDefault="00F23799" w:rsidP="00F23799">
                      <w:pPr>
                        <w:rPr>
                          <w:sz w:val="16"/>
                          <w:szCs w:val="16"/>
                        </w:rPr>
                      </w:pPr>
                      <w:r>
                        <w:rPr>
                          <w:sz w:val="16"/>
                          <w:szCs w:val="16"/>
                        </w:rPr>
                        <w:t>Datos personales protegidos por el Art. 116 de la LGTAIP y el Art. 56 de la LTAIPEO</w:t>
                      </w:r>
                    </w:p>
                  </w:txbxContent>
                </v:textbox>
              </v:shape>
            </w:pict>
          </mc:Fallback>
        </mc:AlternateContent>
      </w:r>
      <w:r w:rsidR="00C73AA7">
        <w:rPr>
          <w:rFonts w:ascii="Arial" w:hAnsi="Arial" w:cs="Arial"/>
          <w:i/>
        </w:rPr>
        <w:t>Por tanto, lo</w:t>
      </w:r>
      <w:r w:rsidR="00760541">
        <w:rPr>
          <w:rFonts w:ascii="Arial" w:hAnsi="Arial" w:cs="Arial"/>
          <w:i/>
        </w:rPr>
        <w:t>s</w:t>
      </w:r>
      <w:r w:rsidR="00C73AA7">
        <w:rPr>
          <w:rFonts w:ascii="Arial" w:hAnsi="Arial" w:cs="Arial"/>
          <w:i/>
        </w:rPr>
        <w:t xml:space="preserve"> lineamiento</w:t>
      </w:r>
      <w:r w:rsidR="00760541">
        <w:rPr>
          <w:rFonts w:ascii="Arial" w:hAnsi="Arial" w:cs="Arial"/>
          <w:i/>
        </w:rPr>
        <w:t>s</w:t>
      </w:r>
      <w:r w:rsidR="00C73AA7">
        <w:rPr>
          <w:rFonts w:ascii="Arial" w:hAnsi="Arial" w:cs="Arial"/>
          <w:i/>
        </w:rPr>
        <w:t xml:space="preserve"> a seguir para examinar el cumplimiento de la sentencia del juicio de nulidad, se encuentran claramente determinados y en esa medida, el tribunal revisor, en función de los agravios debió pronunciarse, sobre su debido acatamiento.</w:t>
      </w:r>
    </w:p>
    <w:p w:rsidR="00C73AA7" w:rsidRDefault="002258CA" w:rsidP="00EE3B8C">
      <w:pPr>
        <w:pStyle w:val="Prrafodelista"/>
        <w:spacing w:after="0" w:line="360" w:lineRule="auto"/>
        <w:ind w:left="1134" w:right="900" w:firstLine="567"/>
        <w:jc w:val="both"/>
        <w:rPr>
          <w:rFonts w:ascii="Arial" w:hAnsi="Arial" w:cs="Arial"/>
          <w:i/>
        </w:rPr>
      </w:pPr>
      <w:r>
        <w:rPr>
          <w:rFonts w:ascii="Arial" w:hAnsi="Arial" w:cs="Arial"/>
          <w:i/>
        </w:rPr>
        <w:t xml:space="preserve">De modo que, con independencia del exceso cometido por la sala superior, en cuanto a que se pronunció sobre la competencia de una diversa autoridad, lo cual no fue materia de la Litis, si el recurrente advirtió en sus agravios que la Sexta Sala Unitaria </w:t>
      </w:r>
      <w:r w:rsidR="00E9519B">
        <w:rPr>
          <w:rFonts w:ascii="Arial" w:hAnsi="Arial" w:cs="Arial"/>
          <w:i/>
        </w:rPr>
        <w:t xml:space="preserve">no hizo análisis alguno en cuanto a la resolución de dieciocho de abril de dos mil dieciséis, emitida por el director de concesiones, sin que la Sala Superior del Tribunal de lo Contencioso Administrativo y de Cuentas del Poder Judicial del Estado, se pronunciara motivadamente en relación con ese </w:t>
      </w:r>
      <w:r w:rsidR="00E9519B">
        <w:rPr>
          <w:rFonts w:ascii="Arial" w:hAnsi="Arial" w:cs="Arial"/>
          <w:i/>
        </w:rPr>
        <w:lastRenderedPageBreak/>
        <w:t>aspecto, ello es suficiente para considerar que en perjuicio del quejoso, se violó el derecho fundamental de legalidad previstos en el artículo 16 y sexto párrafo del artículo 17 de la Constitución Política de los Estados Unidos Mexicanos.</w:t>
      </w:r>
    </w:p>
    <w:p w:rsidR="00371268" w:rsidRDefault="00E9519B" w:rsidP="00EE3B8C">
      <w:pPr>
        <w:pStyle w:val="Prrafodelista"/>
        <w:spacing w:after="0" w:line="360" w:lineRule="auto"/>
        <w:ind w:left="1134" w:right="900" w:firstLine="567"/>
        <w:jc w:val="both"/>
        <w:rPr>
          <w:rFonts w:ascii="Arial" w:hAnsi="Arial" w:cs="Arial"/>
          <w:i/>
        </w:rPr>
      </w:pPr>
      <w:r>
        <w:rPr>
          <w:rFonts w:ascii="Arial" w:hAnsi="Arial" w:cs="Arial"/>
          <w:i/>
        </w:rPr>
        <w:t xml:space="preserve">En consecuencia, al resultar fundado el concepto de violación formulado por el quejoso, procede conceder el amparo y protección de la Justicia Federal solicitado.”- - - - - - - </w:t>
      </w:r>
    </w:p>
    <w:p w:rsidR="00E9519B" w:rsidRDefault="00E9519B" w:rsidP="00EE3B8C">
      <w:pPr>
        <w:pStyle w:val="Prrafodelista"/>
        <w:spacing w:after="0" w:line="360" w:lineRule="auto"/>
        <w:ind w:left="851" w:right="616" w:firstLine="567"/>
        <w:jc w:val="both"/>
        <w:rPr>
          <w:rFonts w:ascii="Arial" w:hAnsi="Arial" w:cs="Arial"/>
          <w:b/>
          <w:bCs/>
          <w:sz w:val="26"/>
          <w:szCs w:val="26"/>
        </w:rPr>
      </w:pPr>
    </w:p>
    <w:p w:rsidR="0084263B" w:rsidRDefault="00C20BF7" w:rsidP="0084263B">
      <w:pPr>
        <w:pStyle w:val="Sinespaciado"/>
        <w:spacing w:line="360" w:lineRule="auto"/>
        <w:ind w:firstLine="567"/>
        <w:jc w:val="both"/>
        <w:rPr>
          <w:rFonts w:ascii="Arial" w:hAnsi="Arial" w:cs="Arial"/>
          <w:bCs/>
          <w:sz w:val="26"/>
          <w:szCs w:val="26"/>
        </w:rPr>
      </w:pPr>
      <w:r w:rsidRPr="00185BD3">
        <w:rPr>
          <w:rFonts w:ascii="Arial" w:hAnsi="Arial" w:cs="Arial"/>
          <w:b/>
          <w:bCs/>
          <w:sz w:val="26"/>
          <w:szCs w:val="26"/>
        </w:rPr>
        <w:t>TERCERO.</w:t>
      </w:r>
      <w:r>
        <w:rPr>
          <w:rFonts w:ascii="Arial" w:hAnsi="Arial" w:cs="Arial"/>
          <w:b/>
          <w:bCs/>
          <w:sz w:val="26"/>
          <w:szCs w:val="26"/>
        </w:rPr>
        <w:t xml:space="preserve"> </w:t>
      </w:r>
      <w:r>
        <w:rPr>
          <w:rFonts w:ascii="Arial" w:hAnsi="Arial" w:cs="Arial"/>
          <w:bCs/>
          <w:sz w:val="26"/>
          <w:szCs w:val="26"/>
        </w:rPr>
        <w:t xml:space="preserve">Mediante oficio </w:t>
      </w:r>
      <w:r w:rsidR="00980291">
        <w:rPr>
          <w:rFonts w:ascii="Arial" w:hAnsi="Arial" w:cs="Arial"/>
          <w:bCs/>
          <w:sz w:val="26"/>
          <w:szCs w:val="26"/>
        </w:rPr>
        <w:t>142/2018</w:t>
      </w:r>
      <w:r w:rsidRPr="005E03F1">
        <w:rPr>
          <w:rFonts w:ascii="Arial" w:hAnsi="Arial" w:cs="Arial"/>
          <w:bCs/>
          <w:sz w:val="26"/>
          <w:szCs w:val="26"/>
        </w:rPr>
        <w:t xml:space="preserve"> de </w:t>
      </w:r>
      <w:r w:rsidR="00980291">
        <w:rPr>
          <w:rFonts w:ascii="Arial" w:hAnsi="Arial" w:cs="Arial"/>
          <w:bCs/>
          <w:sz w:val="26"/>
          <w:szCs w:val="26"/>
        </w:rPr>
        <w:t>17 diecisiete de enero de 2018 dos mil dieciocho</w:t>
      </w:r>
      <w:r w:rsidRPr="005E03F1">
        <w:rPr>
          <w:rFonts w:ascii="Arial" w:hAnsi="Arial" w:cs="Arial"/>
          <w:bCs/>
          <w:sz w:val="26"/>
          <w:szCs w:val="26"/>
        </w:rPr>
        <w:t>,</w:t>
      </w:r>
      <w:r w:rsidRPr="00812BB5">
        <w:rPr>
          <w:rFonts w:ascii="Arial" w:hAnsi="Arial" w:cs="Arial"/>
          <w:bCs/>
          <w:sz w:val="26"/>
          <w:szCs w:val="26"/>
        </w:rPr>
        <w:t xml:space="preserve"> del</w:t>
      </w:r>
      <w:r w:rsidR="00980291">
        <w:rPr>
          <w:rFonts w:ascii="Arial" w:hAnsi="Arial" w:cs="Arial"/>
          <w:bCs/>
          <w:sz w:val="26"/>
          <w:szCs w:val="26"/>
        </w:rPr>
        <w:t xml:space="preserve"> Secretario</w:t>
      </w:r>
      <w:r>
        <w:rPr>
          <w:rFonts w:ascii="Arial" w:hAnsi="Arial" w:cs="Arial"/>
          <w:bCs/>
          <w:sz w:val="26"/>
          <w:szCs w:val="26"/>
        </w:rPr>
        <w:t xml:space="preserve"> Judicial d</w:t>
      </w:r>
      <w:r w:rsidRPr="00812BB5">
        <w:rPr>
          <w:rFonts w:ascii="Arial" w:hAnsi="Arial" w:cs="Arial"/>
          <w:bCs/>
          <w:sz w:val="26"/>
          <w:szCs w:val="26"/>
        </w:rPr>
        <w:t xml:space="preserve">el </w:t>
      </w:r>
      <w:r>
        <w:rPr>
          <w:rFonts w:ascii="Arial" w:hAnsi="Arial" w:cs="Arial"/>
          <w:bCs/>
          <w:sz w:val="26"/>
          <w:szCs w:val="26"/>
        </w:rPr>
        <w:t xml:space="preserve">Juzgado </w:t>
      </w:r>
      <w:r w:rsidR="00805044">
        <w:rPr>
          <w:rFonts w:ascii="Arial" w:hAnsi="Arial" w:cs="Arial"/>
          <w:bCs/>
          <w:sz w:val="26"/>
          <w:szCs w:val="26"/>
        </w:rPr>
        <w:t xml:space="preserve">Decimoprimero </w:t>
      </w:r>
      <w:r>
        <w:rPr>
          <w:rFonts w:ascii="Arial" w:hAnsi="Arial" w:cs="Arial"/>
          <w:bCs/>
          <w:sz w:val="26"/>
          <w:szCs w:val="26"/>
        </w:rPr>
        <w:t xml:space="preserve">de Distrito en San Bartolo </w:t>
      </w:r>
      <w:proofErr w:type="spellStart"/>
      <w:r>
        <w:rPr>
          <w:rFonts w:ascii="Arial" w:hAnsi="Arial" w:cs="Arial"/>
          <w:bCs/>
          <w:sz w:val="26"/>
          <w:szCs w:val="26"/>
        </w:rPr>
        <w:t>Coyotepec</w:t>
      </w:r>
      <w:proofErr w:type="spellEnd"/>
      <w:r>
        <w:rPr>
          <w:rFonts w:ascii="Arial" w:hAnsi="Arial" w:cs="Arial"/>
          <w:bCs/>
          <w:sz w:val="26"/>
          <w:szCs w:val="26"/>
        </w:rPr>
        <w:t>, Oaxaca</w:t>
      </w:r>
      <w:r w:rsidRPr="00812BB5">
        <w:rPr>
          <w:rFonts w:ascii="Arial" w:hAnsi="Arial" w:cs="Arial"/>
          <w:bCs/>
          <w:sz w:val="26"/>
          <w:szCs w:val="26"/>
        </w:rPr>
        <w:t>, en el que trascribe el acuerdo de esa misma fecha</w:t>
      </w:r>
      <w:r w:rsidR="00D25EFC">
        <w:rPr>
          <w:rFonts w:ascii="Arial" w:hAnsi="Arial" w:cs="Arial"/>
          <w:bCs/>
          <w:sz w:val="26"/>
          <w:szCs w:val="26"/>
        </w:rPr>
        <w:t>,</w:t>
      </w:r>
      <w:r w:rsidRPr="00812BB5">
        <w:rPr>
          <w:rFonts w:ascii="Arial" w:hAnsi="Arial" w:cs="Arial"/>
          <w:bCs/>
          <w:sz w:val="26"/>
          <w:szCs w:val="26"/>
        </w:rPr>
        <w:t xml:space="preserve"> di</w:t>
      </w:r>
      <w:r>
        <w:rPr>
          <w:rFonts w:ascii="Arial" w:hAnsi="Arial" w:cs="Arial"/>
          <w:bCs/>
          <w:sz w:val="26"/>
          <w:szCs w:val="26"/>
        </w:rPr>
        <w:t xml:space="preserve">ctado en el juicio de amparo </w:t>
      </w:r>
      <w:r w:rsidR="00805044">
        <w:rPr>
          <w:rFonts w:ascii="Arial" w:hAnsi="Arial" w:cs="Arial"/>
          <w:bCs/>
          <w:sz w:val="26"/>
          <w:szCs w:val="26"/>
        </w:rPr>
        <w:t>1253/20187</w:t>
      </w:r>
      <w:r w:rsidR="00D25EFC">
        <w:rPr>
          <w:rFonts w:ascii="Arial" w:hAnsi="Arial" w:cs="Arial"/>
          <w:bCs/>
          <w:sz w:val="26"/>
          <w:szCs w:val="26"/>
        </w:rPr>
        <w:t xml:space="preserve"> de su índice</w:t>
      </w:r>
      <w:r w:rsidRPr="00812BB5">
        <w:rPr>
          <w:rFonts w:ascii="Arial" w:hAnsi="Arial" w:cs="Arial"/>
          <w:bCs/>
          <w:sz w:val="26"/>
          <w:szCs w:val="26"/>
        </w:rPr>
        <w:t xml:space="preserve"> y con el que requiere a este Órgano Jurisdiccional</w:t>
      </w:r>
      <w:r w:rsidR="00D25EFC">
        <w:rPr>
          <w:rFonts w:ascii="Arial" w:hAnsi="Arial" w:cs="Arial"/>
          <w:bCs/>
          <w:sz w:val="26"/>
          <w:szCs w:val="26"/>
        </w:rPr>
        <w:t>,</w:t>
      </w:r>
      <w:r w:rsidRPr="00812BB5">
        <w:rPr>
          <w:rFonts w:ascii="Arial" w:hAnsi="Arial" w:cs="Arial"/>
          <w:bCs/>
          <w:sz w:val="26"/>
          <w:szCs w:val="26"/>
        </w:rPr>
        <w:t xml:space="preserve"> para que en el plazo de tres días cumpla la ejecutoria de amparo pronunciada el </w:t>
      </w:r>
      <w:r w:rsidR="00C8509C">
        <w:rPr>
          <w:rFonts w:ascii="Arial" w:hAnsi="Arial" w:cs="Arial"/>
          <w:bCs/>
          <w:sz w:val="26"/>
          <w:szCs w:val="26"/>
        </w:rPr>
        <w:t xml:space="preserve">05 cinco de diciembre </w:t>
      </w:r>
      <w:r>
        <w:rPr>
          <w:rFonts w:ascii="Arial" w:hAnsi="Arial" w:cs="Arial"/>
          <w:bCs/>
          <w:sz w:val="26"/>
          <w:szCs w:val="26"/>
        </w:rPr>
        <w:t xml:space="preserve">de 2017 dos mil diecisiete, </w:t>
      </w:r>
      <w:r w:rsidR="00C8509C">
        <w:rPr>
          <w:rFonts w:ascii="Arial" w:hAnsi="Arial" w:cs="Arial"/>
          <w:bCs/>
          <w:sz w:val="26"/>
          <w:szCs w:val="26"/>
        </w:rPr>
        <w:t xml:space="preserve">en la cual se </w:t>
      </w:r>
      <w:r w:rsidRPr="00812BB5">
        <w:rPr>
          <w:rFonts w:ascii="Arial" w:hAnsi="Arial" w:cs="Arial"/>
          <w:bCs/>
          <w:sz w:val="26"/>
          <w:szCs w:val="26"/>
        </w:rPr>
        <w:t>concedi</w:t>
      </w:r>
      <w:r w:rsidR="00D25EFC">
        <w:rPr>
          <w:rFonts w:ascii="Arial" w:hAnsi="Arial" w:cs="Arial"/>
          <w:bCs/>
          <w:sz w:val="26"/>
          <w:szCs w:val="26"/>
        </w:rPr>
        <w:t>ó el amparo y protección de la Justicia F</w:t>
      </w:r>
      <w:r w:rsidRPr="00812BB5">
        <w:rPr>
          <w:rFonts w:ascii="Arial" w:hAnsi="Arial" w:cs="Arial"/>
          <w:bCs/>
          <w:sz w:val="26"/>
          <w:szCs w:val="26"/>
        </w:rPr>
        <w:t xml:space="preserve">ederal a </w:t>
      </w:r>
      <w:r w:rsidR="000D7253">
        <w:rPr>
          <w:rFonts w:ascii="Arial" w:hAnsi="Arial" w:cs="Arial"/>
          <w:bCs/>
          <w:sz w:val="26"/>
          <w:szCs w:val="26"/>
        </w:rPr>
        <w:t>***********</w:t>
      </w:r>
      <w:r w:rsidR="0084263B">
        <w:rPr>
          <w:rFonts w:ascii="Arial" w:hAnsi="Arial" w:cs="Arial"/>
          <w:bCs/>
          <w:sz w:val="26"/>
          <w:szCs w:val="26"/>
        </w:rPr>
        <w:t>.</w:t>
      </w:r>
    </w:p>
    <w:p w:rsidR="0084263B" w:rsidRDefault="004B5940" w:rsidP="0084263B">
      <w:pPr>
        <w:pStyle w:val="Sinespaciado"/>
        <w:spacing w:line="360" w:lineRule="auto"/>
        <w:ind w:firstLine="567"/>
        <w:jc w:val="center"/>
        <w:rPr>
          <w:rFonts w:ascii="Arial" w:hAnsi="Arial" w:cs="Arial"/>
          <w:b/>
          <w:bCs/>
          <w:sz w:val="26"/>
          <w:szCs w:val="26"/>
        </w:rPr>
      </w:pPr>
      <w:r w:rsidRPr="00B151A7">
        <w:rPr>
          <w:rFonts w:ascii="Arial" w:hAnsi="Arial" w:cs="Arial"/>
          <w:b/>
          <w:bCs/>
          <w:sz w:val="26"/>
          <w:szCs w:val="26"/>
        </w:rPr>
        <w:t>C O N S I D E R A N D O</w:t>
      </w:r>
    </w:p>
    <w:p w:rsidR="0084263B" w:rsidRDefault="004B5940" w:rsidP="0084263B">
      <w:pPr>
        <w:pStyle w:val="Sinespaciado"/>
        <w:spacing w:line="360" w:lineRule="auto"/>
        <w:ind w:firstLine="567"/>
        <w:jc w:val="both"/>
        <w:rPr>
          <w:rFonts w:ascii="Arial" w:eastAsia="Times New Roman" w:hAnsi="Arial" w:cs="Arial"/>
          <w:bCs/>
          <w:iCs/>
          <w:sz w:val="26"/>
          <w:szCs w:val="26"/>
          <w:lang w:eastAsia="es-ES"/>
        </w:rPr>
      </w:pPr>
      <w:r w:rsidRPr="00832C7B">
        <w:rPr>
          <w:rFonts w:ascii="Arial" w:eastAsia="Times New Roman" w:hAnsi="Arial" w:cs="Arial"/>
          <w:b/>
          <w:bCs/>
          <w:iCs/>
          <w:sz w:val="26"/>
          <w:szCs w:val="26"/>
          <w:lang w:eastAsia="es-ES"/>
        </w:rPr>
        <w:t xml:space="preserve">PRIMERO.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00205235">
        <w:rPr>
          <w:rFonts w:ascii="Arial" w:eastAsia="Times New Roman" w:hAnsi="Arial" w:cs="Arial"/>
          <w:bCs/>
          <w:iCs/>
          <w:sz w:val="26"/>
          <w:szCs w:val="26"/>
          <w:lang w:eastAsia="es-ES"/>
        </w:rPr>
        <w:t>23</w:t>
      </w:r>
      <w:r w:rsidR="00D66344">
        <w:rPr>
          <w:rFonts w:ascii="Arial" w:eastAsia="Times New Roman" w:hAnsi="Arial" w:cs="Arial"/>
          <w:bCs/>
          <w:iCs/>
          <w:sz w:val="26"/>
          <w:szCs w:val="26"/>
          <w:lang w:eastAsia="es-ES"/>
        </w:rPr>
        <w:t xml:space="preserve"> veintitrés de febrero de 2017 dos mil diecisiete</w:t>
      </w:r>
      <w:r w:rsidRPr="00832C7B">
        <w:rPr>
          <w:rFonts w:ascii="Arial" w:eastAsia="Times New Roman" w:hAnsi="Arial" w:cs="Arial"/>
          <w:bCs/>
          <w:iCs/>
          <w:sz w:val="26"/>
          <w:szCs w:val="26"/>
          <w:lang w:eastAsia="es-ES"/>
        </w:rPr>
        <w:t>, dict</w:t>
      </w:r>
      <w:r>
        <w:rPr>
          <w:rFonts w:ascii="Arial" w:eastAsia="Times New Roman" w:hAnsi="Arial" w:cs="Arial"/>
          <w:bCs/>
          <w:iCs/>
          <w:sz w:val="26"/>
          <w:szCs w:val="26"/>
          <w:lang w:eastAsia="es-ES"/>
        </w:rPr>
        <w:t xml:space="preserve">ada por la Sala Superior del  </w:t>
      </w:r>
      <w:r w:rsidRPr="00832C7B">
        <w:rPr>
          <w:rFonts w:ascii="Arial" w:eastAsia="Times New Roman" w:hAnsi="Arial" w:cs="Arial"/>
          <w:bCs/>
          <w:iCs/>
          <w:sz w:val="26"/>
          <w:szCs w:val="26"/>
          <w:lang w:eastAsia="es-ES"/>
        </w:rPr>
        <w:t xml:space="preserve">Tribunal </w:t>
      </w:r>
      <w:r>
        <w:rPr>
          <w:rFonts w:ascii="Arial" w:eastAsia="Times New Roman" w:hAnsi="Arial" w:cs="Arial"/>
          <w:bCs/>
          <w:iCs/>
          <w:sz w:val="26"/>
          <w:szCs w:val="26"/>
          <w:lang w:eastAsia="es-ES"/>
        </w:rPr>
        <w:t xml:space="preserve">de lo </w:t>
      </w:r>
      <w:r w:rsidRPr="00832C7B">
        <w:rPr>
          <w:rFonts w:ascii="Arial" w:eastAsia="Times New Roman" w:hAnsi="Arial" w:cs="Arial"/>
          <w:bCs/>
          <w:iCs/>
          <w:sz w:val="26"/>
          <w:szCs w:val="26"/>
          <w:lang w:eastAsia="es-ES"/>
        </w:rPr>
        <w:t xml:space="preserve">Contencioso Administrativo </w:t>
      </w:r>
      <w:r>
        <w:rPr>
          <w:rFonts w:ascii="Arial" w:eastAsia="Times New Roman" w:hAnsi="Arial" w:cs="Arial"/>
          <w:bCs/>
          <w:iCs/>
          <w:sz w:val="26"/>
          <w:szCs w:val="26"/>
          <w:lang w:eastAsia="es-ES"/>
        </w:rPr>
        <w:t xml:space="preserve">y de Cuentas del Poder Judicial </w:t>
      </w:r>
      <w:r w:rsidRPr="00832C7B">
        <w:rPr>
          <w:rFonts w:ascii="Arial" w:eastAsia="Times New Roman" w:hAnsi="Arial" w:cs="Arial"/>
          <w:bCs/>
          <w:iCs/>
          <w:sz w:val="26"/>
          <w:szCs w:val="26"/>
          <w:lang w:eastAsia="es-ES"/>
        </w:rPr>
        <w:t>del Estado, y en su lugar se dicta la siguiente:</w:t>
      </w:r>
      <w:r w:rsidR="0084263B">
        <w:rPr>
          <w:rFonts w:ascii="Arial" w:eastAsia="Times New Roman" w:hAnsi="Arial" w:cs="Arial"/>
          <w:bCs/>
          <w:iCs/>
          <w:sz w:val="26"/>
          <w:szCs w:val="26"/>
          <w:lang w:eastAsia="es-ES"/>
        </w:rPr>
        <w:t xml:space="preserve"> </w:t>
      </w:r>
    </w:p>
    <w:p w:rsidR="0084263B" w:rsidRDefault="00D66344" w:rsidP="0084263B">
      <w:pPr>
        <w:pStyle w:val="Sinespaciado"/>
        <w:spacing w:line="360" w:lineRule="auto"/>
        <w:ind w:firstLine="567"/>
        <w:jc w:val="both"/>
        <w:rPr>
          <w:rFonts w:ascii="Arial" w:hAnsi="Arial" w:cs="Arial"/>
          <w:bCs/>
          <w:iCs/>
          <w:sz w:val="26"/>
          <w:szCs w:val="26"/>
          <w:lang w:eastAsia="es-ES"/>
        </w:rPr>
      </w:pPr>
      <w:r>
        <w:rPr>
          <w:rFonts w:ascii="Arial" w:eastAsia="Times New Roman" w:hAnsi="Arial" w:cs="Arial"/>
          <w:bCs/>
          <w:iCs/>
          <w:sz w:val="26"/>
          <w:szCs w:val="26"/>
          <w:lang w:eastAsia="es-ES"/>
        </w:rPr>
        <w:t xml:space="preserve"> </w:t>
      </w:r>
      <w:r w:rsidR="004B5940" w:rsidRPr="00832C7B">
        <w:rPr>
          <w:rFonts w:ascii="Arial" w:eastAsia="Times New Roman" w:hAnsi="Arial" w:cs="Arial"/>
          <w:b/>
          <w:bCs/>
          <w:iCs/>
          <w:sz w:val="26"/>
          <w:szCs w:val="26"/>
          <w:lang w:eastAsia="es-ES"/>
        </w:rPr>
        <w:t>SEGUNDO.</w:t>
      </w:r>
      <w:r w:rsidR="004B5940" w:rsidRPr="00372D3D">
        <w:rPr>
          <w:rFonts w:ascii="Arial" w:hAnsi="Arial" w:cs="Arial"/>
          <w:b/>
          <w:bCs/>
          <w:iCs/>
          <w:sz w:val="26"/>
          <w:szCs w:val="26"/>
          <w:lang w:eastAsia="es-ES"/>
        </w:rPr>
        <w:t xml:space="preserve"> </w:t>
      </w:r>
      <w:r w:rsidR="004B5940" w:rsidRPr="00372D3D">
        <w:rPr>
          <w:rFonts w:ascii="Arial" w:hAnsi="Arial" w:cs="Arial"/>
          <w:bCs/>
          <w:iCs/>
          <w:sz w:val="26"/>
          <w:szCs w:val="26"/>
          <w:lang w:eastAsia="es-ES"/>
        </w:rPr>
        <w:t>Esta Sala Superior es competente para conocer del presente asunto, de conformidad con lo dispuesto por los a</w:t>
      </w:r>
      <w:r w:rsidR="004B5940">
        <w:rPr>
          <w:rFonts w:ascii="Arial" w:hAnsi="Arial" w:cs="Arial"/>
          <w:bCs/>
          <w:iCs/>
          <w:sz w:val="26"/>
          <w:szCs w:val="26"/>
          <w:lang w:eastAsia="es-ES"/>
        </w:rPr>
        <w:t xml:space="preserve">rtículos 149, fracción I, inciso b) y 151 de la Ley Orgánica del Poder Judicial del Estado, </w:t>
      </w:r>
      <w:r w:rsidR="004B5940" w:rsidRPr="00372D3D">
        <w:rPr>
          <w:rFonts w:ascii="Arial" w:hAnsi="Arial" w:cs="Arial"/>
          <w:bCs/>
          <w:iCs/>
          <w:sz w:val="26"/>
          <w:szCs w:val="26"/>
          <w:lang w:eastAsia="es-ES"/>
        </w:rPr>
        <w:t xml:space="preserve">86, 93 fracción I, 94, 201, 206 y 208 de la Ley de Justicia Administrativa para el Estado de Oaxaca, </w:t>
      </w:r>
      <w:r w:rsidR="00F27182">
        <w:rPr>
          <w:rFonts w:ascii="Arial" w:hAnsi="Arial" w:cs="Arial"/>
          <w:bCs/>
          <w:iCs/>
          <w:sz w:val="26"/>
          <w:szCs w:val="26"/>
          <w:lang w:eastAsia="es-ES"/>
        </w:rPr>
        <w:t xml:space="preserve">vigente hasta el 20 veinte de octubre de 2017 dos mil diecisiete, </w:t>
      </w:r>
      <w:r w:rsidR="004B5940" w:rsidRPr="00372D3D">
        <w:rPr>
          <w:rFonts w:ascii="Arial" w:hAnsi="Arial" w:cs="Arial"/>
          <w:bCs/>
          <w:iCs/>
          <w:sz w:val="26"/>
          <w:szCs w:val="26"/>
          <w:lang w:eastAsia="es-ES"/>
        </w:rPr>
        <w:t xml:space="preserve">dado que se trata de un Recurso de Revisión interpuesto en </w:t>
      </w:r>
      <w:r w:rsidR="004B5940" w:rsidRPr="00205235">
        <w:rPr>
          <w:rFonts w:ascii="Arial" w:hAnsi="Arial" w:cs="Arial"/>
          <w:bCs/>
          <w:iCs/>
          <w:sz w:val="26"/>
          <w:szCs w:val="26"/>
          <w:lang w:eastAsia="es-ES"/>
        </w:rPr>
        <w:t xml:space="preserve">contra </w:t>
      </w:r>
      <w:r w:rsidR="00A924E3" w:rsidRPr="00205235">
        <w:rPr>
          <w:rFonts w:ascii="Arial" w:hAnsi="Arial" w:cs="Arial"/>
          <w:bCs/>
          <w:iCs/>
          <w:sz w:val="26"/>
          <w:szCs w:val="26"/>
          <w:lang w:eastAsia="es-ES"/>
        </w:rPr>
        <w:t xml:space="preserve">del acuerdo de </w:t>
      </w:r>
      <w:r w:rsidR="00205235" w:rsidRPr="00205235">
        <w:rPr>
          <w:rFonts w:ascii="Arial" w:hAnsi="Arial" w:cs="Arial"/>
          <w:bCs/>
          <w:iCs/>
          <w:sz w:val="26"/>
          <w:szCs w:val="26"/>
          <w:lang w:eastAsia="es-ES"/>
        </w:rPr>
        <w:t>25 veinticinco de agosto de 2016 dos mil dieciséis</w:t>
      </w:r>
      <w:r w:rsidR="004B5940" w:rsidRPr="00205235">
        <w:rPr>
          <w:rFonts w:ascii="Arial" w:hAnsi="Arial" w:cs="Arial"/>
          <w:sz w:val="26"/>
          <w:szCs w:val="26"/>
          <w:lang w:eastAsia="es-ES"/>
        </w:rPr>
        <w:t xml:space="preserve">, </w:t>
      </w:r>
      <w:r w:rsidR="00A924E3" w:rsidRPr="00205235">
        <w:rPr>
          <w:rFonts w:ascii="Arial" w:hAnsi="Arial" w:cs="Arial"/>
          <w:bCs/>
          <w:iCs/>
          <w:sz w:val="26"/>
          <w:szCs w:val="26"/>
          <w:lang w:eastAsia="es-ES"/>
        </w:rPr>
        <w:t>dictado</w:t>
      </w:r>
      <w:r w:rsidR="004B5940" w:rsidRPr="00372D3D">
        <w:rPr>
          <w:rFonts w:ascii="Arial" w:hAnsi="Arial" w:cs="Arial"/>
          <w:bCs/>
          <w:iCs/>
          <w:sz w:val="26"/>
          <w:szCs w:val="26"/>
          <w:lang w:eastAsia="es-ES"/>
        </w:rPr>
        <w:t xml:space="preserve"> por </w:t>
      </w:r>
      <w:r w:rsidR="00A924E3">
        <w:rPr>
          <w:rFonts w:ascii="Arial" w:hAnsi="Arial" w:cs="Arial"/>
          <w:bCs/>
          <w:iCs/>
          <w:sz w:val="26"/>
          <w:szCs w:val="26"/>
          <w:lang w:eastAsia="es-ES"/>
        </w:rPr>
        <w:t>la</w:t>
      </w:r>
      <w:r w:rsidR="004B5940">
        <w:rPr>
          <w:rFonts w:ascii="Arial" w:hAnsi="Arial" w:cs="Arial"/>
          <w:bCs/>
          <w:iCs/>
          <w:sz w:val="26"/>
          <w:szCs w:val="26"/>
          <w:lang w:eastAsia="es-ES"/>
        </w:rPr>
        <w:t xml:space="preserve"> titular </w:t>
      </w:r>
      <w:r w:rsidR="00A924E3">
        <w:rPr>
          <w:rFonts w:ascii="Arial" w:hAnsi="Arial" w:cs="Arial"/>
          <w:bCs/>
          <w:iCs/>
          <w:sz w:val="26"/>
          <w:szCs w:val="26"/>
          <w:lang w:eastAsia="es-ES"/>
        </w:rPr>
        <w:t xml:space="preserve">de la </w:t>
      </w:r>
      <w:r w:rsidR="00205235">
        <w:rPr>
          <w:rFonts w:ascii="Arial" w:hAnsi="Arial" w:cs="Arial"/>
          <w:bCs/>
          <w:iCs/>
          <w:sz w:val="26"/>
          <w:szCs w:val="26"/>
          <w:lang w:eastAsia="es-ES"/>
        </w:rPr>
        <w:t>Sexta</w:t>
      </w:r>
      <w:r w:rsidR="00A924E3">
        <w:rPr>
          <w:rFonts w:ascii="Arial" w:hAnsi="Arial" w:cs="Arial"/>
          <w:bCs/>
          <w:iCs/>
          <w:sz w:val="26"/>
          <w:szCs w:val="26"/>
          <w:lang w:eastAsia="es-ES"/>
        </w:rPr>
        <w:t xml:space="preserve"> Sala Unitaria de Primera Instancia de este </w:t>
      </w:r>
      <w:r w:rsidR="004B5940">
        <w:rPr>
          <w:rFonts w:ascii="Arial" w:hAnsi="Arial" w:cs="Arial"/>
          <w:bCs/>
          <w:iCs/>
          <w:sz w:val="26"/>
          <w:szCs w:val="26"/>
          <w:lang w:eastAsia="es-ES"/>
        </w:rPr>
        <w:t>Tribunal de lo Contencioso Administrativo y de Cuentas del Poder Judicial del Estado, en el expediente</w:t>
      </w:r>
      <w:r w:rsidR="00A924E3">
        <w:rPr>
          <w:rFonts w:ascii="Arial" w:hAnsi="Arial" w:cs="Arial"/>
          <w:b/>
          <w:bCs/>
          <w:iCs/>
          <w:sz w:val="26"/>
          <w:szCs w:val="26"/>
          <w:lang w:eastAsia="es-ES"/>
        </w:rPr>
        <w:t xml:space="preserve"> </w:t>
      </w:r>
      <w:r w:rsidR="00637049">
        <w:rPr>
          <w:rFonts w:ascii="Arial" w:hAnsi="Arial" w:cs="Arial"/>
          <w:b/>
          <w:bCs/>
          <w:iCs/>
          <w:sz w:val="26"/>
          <w:szCs w:val="26"/>
          <w:lang w:eastAsia="es-ES"/>
        </w:rPr>
        <w:t>0358</w:t>
      </w:r>
      <w:r w:rsidR="00A924E3">
        <w:rPr>
          <w:rFonts w:ascii="Arial" w:hAnsi="Arial" w:cs="Arial"/>
          <w:b/>
          <w:bCs/>
          <w:iCs/>
          <w:sz w:val="26"/>
          <w:szCs w:val="26"/>
          <w:lang w:eastAsia="es-ES"/>
        </w:rPr>
        <w:t>/2016</w:t>
      </w:r>
      <w:r w:rsidR="004B5940">
        <w:rPr>
          <w:rFonts w:ascii="Arial" w:hAnsi="Arial" w:cs="Arial"/>
          <w:bCs/>
          <w:iCs/>
          <w:sz w:val="26"/>
          <w:szCs w:val="26"/>
          <w:lang w:eastAsia="es-ES"/>
        </w:rPr>
        <w:t>.</w:t>
      </w:r>
      <w:r w:rsidR="0084263B">
        <w:rPr>
          <w:rFonts w:ascii="Arial" w:hAnsi="Arial" w:cs="Arial"/>
          <w:bCs/>
          <w:iCs/>
          <w:sz w:val="26"/>
          <w:szCs w:val="26"/>
          <w:lang w:eastAsia="es-ES"/>
        </w:rPr>
        <w:t xml:space="preserve"> </w:t>
      </w:r>
    </w:p>
    <w:p w:rsidR="003515D5" w:rsidRPr="006F173F" w:rsidRDefault="004B5940" w:rsidP="0084263B">
      <w:pPr>
        <w:pStyle w:val="Sinespaciado"/>
        <w:spacing w:line="360" w:lineRule="auto"/>
        <w:ind w:firstLine="567"/>
        <w:jc w:val="both"/>
        <w:rPr>
          <w:rFonts w:ascii="Arial" w:hAnsi="Arial" w:cs="Arial"/>
          <w:bCs/>
          <w:sz w:val="26"/>
          <w:szCs w:val="26"/>
          <w:lang w:val="es-MX"/>
        </w:rPr>
      </w:pPr>
      <w:r w:rsidRPr="003515D5">
        <w:rPr>
          <w:rFonts w:ascii="Arial" w:hAnsi="Arial" w:cs="Arial"/>
          <w:b/>
          <w:bCs/>
          <w:sz w:val="26"/>
          <w:szCs w:val="26"/>
        </w:rPr>
        <w:t xml:space="preserve">TERCERO. </w:t>
      </w:r>
      <w:r w:rsidR="003515D5" w:rsidRPr="003515D5">
        <w:rPr>
          <w:rFonts w:ascii="Arial" w:hAnsi="Arial" w:cs="Arial"/>
          <w:bCs/>
          <w:sz w:val="26"/>
          <w:szCs w:val="26"/>
          <w:lang w:val="es-MX"/>
        </w:rPr>
        <w:t>En una primera parte del agravio identificado como</w:t>
      </w:r>
      <w:r w:rsidR="003515D5" w:rsidRPr="006F173F">
        <w:rPr>
          <w:rFonts w:ascii="Arial" w:hAnsi="Arial" w:cs="Arial"/>
          <w:bCs/>
          <w:sz w:val="26"/>
          <w:szCs w:val="26"/>
          <w:lang w:val="es-MX"/>
        </w:rPr>
        <w:t xml:space="preserve"> </w:t>
      </w:r>
      <w:r w:rsidR="00173DEF" w:rsidRPr="00980291">
        <w:rPr>
          <w:rFonts w:ascii="Arial" w:hAnsi="Arial" w:cs="Arial"/>
          <w:bCs/>
          <w:sz w:val="26"/>
          <w:szCs w:val="26"/>
          <w:lang w:val="es-MX"/>
        </w:rPr>
        <w:t>primero,</w:t>
      </w:r>
      <w:r w:rsidR="00173DEF" w:rsidRPr="006F173F">
        <w:rPr>
          <w:rFonts w:ascii="Arial" w:hAnsi="Arial" w:cs="Arial"/>
          <w:bCs/>
          <w:sz w:val="26"/>
          <w:szCs w:val="26"/>
          <w:lang w:val="es-MX"/>
        </w:rPr>
        <w:t xml:space="preserve"> </w:t>
      </w:r>
      <w:r w:rsidR="003515D5" w:rsidRPr="006F173F">
        <w:rPr>
          <w:rFonts w:ascii="Arial" w:hAnsi="Arial" w:cs="Arial"/>
          <w:bCs/>
          <w:sz w:val="26"/>
          <w:szCs w:val="26"/>
          <w:lang w:val="es-MX"/>
        </w:rPr>
        <w:t xml:space="preserve">dice que el </w:t>
      </w:r>
      <w:r w:rsidR="003515D5">
        <w:rPr>
          <w:rFonts w:ascii="Arial" w:hAnsi="Arial" w:cs="Arial"/>
          <w:bCs/>
          <w:sz w:val="26"/>
          <w:szCs w:val="26"/>
          <w:lang w:val="es-MX"/>
        </w:rPr>
        <w:t>acuerdo</w:t>
      </w:r>
      <w:r w:rsidR="003515D5" w:rsidRPr="006F173F">
        <w:rPr>
          <w:rFonts w:ascii="Arial" w:hAnsi="Arial" w:cs="Arial"/>
          <w:bCs/>
          <w:sz w:val="26"/>
          <w:szCs w:val="26"/>
          <w:lang w:val="es-MX"/>
        </w:rPr>
        <w:t xml:space="preserve"> sujeto a revisión es ilegal porque contraviene lo dispuesto por el artículo 177, fracciones I y II de la Ley de Justicia Administrativa para el Estado de Oaxaca.</w:t>
      </w:r>
      <w:r w:rsidR="0084263B">
        <w:rPr>
          <w:rFonts w:ascii="Arial" w:hAnsi="Arial" w:cs="Arial"/>
          <w:bCs/>
          <w:sz w:val="26"/>
          <w:szCs w:val="26"/>
          <w:lang w:val="es-MX"/>
        </w:rPr>
        <w:t xml:space="preserve"> </w:t>
      </w:r>
    </w:p>
    <w:p w:rsidR="003515D5" w:rsidRPr="006F173F" w:rsidRDefault="003515D5" w:rsidP="0084263B">
      <w:pPr>
        <w:pStyle w:val="Sinespaciado"/>
        <w:spacing w:line="360" w:lineRule="auto"/>
        <w:ind w:firstLine="567"/>
        <w:jc w:val="both"/>
        <w:rPr>
          <w:rFonts w:ascii="Arial" w:hAnsi="Arial" w:cs="Arial"/>
          <w:bCs/>
          <w:sz w:val="26"/>
          <w:szCs w:val="26"/>
          <w:lang w:val="es-MX"/>
        </w:rPr>
      </w:pPr>
      <w:r>
        <w:rPr>
          <w:rFonts w:ascii="Arial" w:hAnsi="Arial" w:cs="Arial"/>
          <w:bCs/>
          <w:sz w:val="26"/>
          <w:szCs w:val="26"/>
          <w:lang w:val="es-MX"/>
        </w:rPr>
        <w:t>Explica esto diciendo que, la S</w:t>
      </w:r>
      <w:r w:rsidRPr="006F173F">
        <w:rPr>
          <w:rFonts w:ascii="Arial" w:hAnsi="Arial" w:cs="Arial"/>
          <w:bCs/>
          <w:sz w:val="26"/>
          <w:szCs w:val="26"/>
          <w:lang w:val="es-MX"/>
        </w:rPr>
        <w:t xml:space="preserve">ala de origen debía fijar de manera clara y precisa los puntos controvertidos y además debía hacer una </w:t>
      </w:r>
      <w:r w:rsidRPr="006F173F">
        <w:rPr>
          <w:rFonts w:ascii="Arial" w:hAnsi="Arial" w:cs="Arial"/>
          <w:bCs/>
          <w:sz w:val="26"/>
          <w:szCs w:val="26"/>
          <w:lang w:val="es-MX"/>
        </w:rPr>
        <w:lastRenderedPageBreak/>
        <w:t>exposición debidamente fundada y motivada de las consideraciones en que basa su resolución, afirmando que tales obligaciones fueron soslayadas por la</w:t>
      </w:r>
      <w:r>
        <w:rPr>
          <w:rFonts w:ascii="Arial" w:hAnsi="Arial" w:cs="Arial"/>
          <w:bCs/>
          <w:sz w:val="26"/>
          <w:szCs w:val="26"/>
          <w:lang w:val="es-MX"/>
        </w:rPr>
        <w:t xml:space="preserve"> Primera I</w:t>
      </w:r>
      <w:r w:rsidRPr="006F173F">
        <w:rPr>
          <w:rFonts w:ascii="Arial" w:hAnsi="Arial" w:cs="Arial"/>
          <w:bCs/>
          <w:sz w:val="26"/>
          <w:szCs w:val="26"/>
          <w:lang w:val="es-MX"/>
        </w:rPr>
        <w:t>nstancia.</w:t>
      </w:r>
      <w:r w:rsidR="0084263B">
        <w:rPr>
          <w:rFonts w:ascii="Arial" w:hAnsi="Arial" w:cs="Arial"/>
          <w:bCs/>
          <w:sz w:val="26"/>
          <w:szCs w:val="26"/>
          <w:lang w:val="es-MX"/>
        </w:rPr>
        <w:t xml:space="preserve"> </w:t>
      </w:r>
    </w:p>
    <w:p w:rsidR="003515D5" w:rsidRPr="00D27B0A" w:rsidRDefault="003515D5" w:rsidP="0084263B">
      <w:pPr>
        <w:pStyle w:val="Sinespaciado"/>
        <w:spacing w:line="360" w:lineRule="auto"/>
        <w:ind w:firstLine="567"/>
        <w:jc w:val="both"/>
        <w:rPr>
          <w:rFonts w:ascii="Arial" w:hAnsi="Arial" w:cs="Arial"/>
          <w:bCs/>
          <w:sz w:val="26"/>
          <w:szCs w:val="26"/>
          <w:lang w:val="es-MX"/>
        </w:rPr>
      </w:pPr>
      <w:r w:rsidRPr="006F173F">
        <w:rPr>
          <w:rFonts w:ascii="Arial" w:hAnsi="Arial" w:cs="Arial"/>
          <w:bCs/>
          <w:sz w:val="26"/>
          <w:szCs w:val="26"/>
          <w:lang w:val="es-MX"/>
        </w:rPr>
        <w:t>Agrega que es ilegal la det</w:t>
      </w:r>
      <w:r>
        <w:rPr>
          <w:rFonts w:ascii="Arial" w:hAnsi="Arial" w:cs="Arial"/>
          <w:bCs/>
          <w:sz w:val="26"/>
          <w:szCs w:val="26"/>
          <w:lang w:val="es-MX"/>
        </w:rPr>
        <w:t>erminación alzada en la que la S</w:t>
      </w:r>
      <w:r w:rsidRPr="006F173F">
        <w:rPr>
          <w:rFonts w:ascii="Arial" w:hAnsi="Arial" w:cs="Arial"/>
          <w:bCs/>
          <w:sz w:val="26"/>
          <w:szCs w:val="26"/>
          <w:lang w:val="es-MX"/>
        </w:rPr>
        <w:t>ala de origen tuvo al Secretario de Vialidad y Transporte cumpliendo la sentencia de fondo así como la diversa resolución de</w:t>
      </w:r>
      <w:r>
        <w:rPr>
          <w:rFonts w:ascii="Arial" w:hAnsi="Arial" w:cs="Arial"/>
          <w:bCs/>
          <w:sz w:val="26"/>
          <w:szCs w:val="26"/>
          <w:lang w:val="es-MX"/>
        </w:rPr>
        <w:t xml:space="preserve"> 10 diez de marzo de dos mil dieciséis,</w:t>
      </w:r>
      <w:r w:rsidRPr="006F173F">
        <w:rPr>
          <w:rFonts w:ascii="Arial" w:hAnsi="Arial" w:cs="Arial"/>
          <w:bCs/>
          <w:sz w:val="26"/>
          <w:szCs w:val="26"/>
          <w:lang w:val="es-MX"/>
        </w:rPr>
        <w:t xml:space="preserve"> pronunciada por esta Sala Superior, porque superficialmente estableció que el mencionado Secretario tiene facultades para poder pronunciarse respecto a la renovación de la concesión en términos de los artículos </w:t>
      </w:r>
      <w:r w:rsidRPr="006F173F">
        <w:rPr>
          <w:rFonts w:ascii="Arial" w:eastAsia="Calibri" w:hAnsi="Arial" w:cs="Arial"/>
          <w:bCs/>
          <w:sz w:val="26"/>
          <w:szCs w:val="26"/>
        </w:rPr>
        <w:t xml:space="preserve">40, fracciones I, II, III, IV, VII, IX, XXI así como el Tercero y Noveno Transitorio de la Ley Orgánica del Poder Ejecutivo del Estado de Oaxaca, 7 de la Ley de Justicia Administrativa para el Estado de Oaxaca, 5, 6, 21, 35, 66, 73, 78, 87 de la Ley de Transporte del Estado de Oaxaca, 8 de la Constitución de los Estados Unidos Mexicanos, 13 de la Constitución Política del Estado Libre y Soberano de Oaxaca y, Acuerdo de fecha cuatro de septiembre de dos mil doce, mediante el cual el Gobernador Constitucional del Estado Libre y Soberano de Oaxaca, delega facultades al Secretario de Vialidad y Transporte para el ejercicio de sus atribuciones ejecute las disposiciones señaladas en el artículo 95 Bis del Reglamento de Tránsito Reformada el Estado de Oaxaca. Añadiendo que tal determinación carece de un análisis razonado y fundado del porqué estima que tales preceptos legales le otorgan al Secretario de Vialidad y Transporte facultades para negar la renovación de la concesión para prestar el servicio público de alquiler taxi en la población de </w:t>
      </w:r>
      <w:proofErr w:type="spellStart"/>
      <w:r w:rsidRPr="006F173F">
        <w:rPr>
          <w:rFonts w:ascii="Arial" w:eastAsia="Calibri" w:hAnsi="Arial" w:cs="Arial"/>
          <w:bCs/>
          <w:sz w:val="26"/>
          <w:szCs w:val="26"/>
        </w:rPr>
        <w:t>Huajuapan</w:t>
      </w:r>
      <w:proofErr w:type="spellEnd"/>
      <w:r w:rsidRPr="006F173F">
        <w:rPr>
          <w:rFonts w:ascii="Arial" w:eastAsia="Calibri" w:hAnsi="Arial" w:cs="Arial"/>
          <w:bCs/>
          <w:sz w:val="26"/>
          <w:szCs w:val="26"/>
        </w:rPr>
        <w:t xml:space="preserve"> de León, Oaxaca.</w:t>
      </w:r>
      <w:r w:rsidR="0084263B">
        <w:rPr>
          <w:rFonts w:ascii="Arial" w:eastAsia="Calibri" w:hAnsi="Arial" w:cs="Arial"/>
          <w:bCs/>
          <w:sz w:val="26"/>
          <w:szCs w:val="26"/>
        </w:rPr>
        <w:t xml:space="preserve"> </w:t>
      </w:r>
    </w:p>
    <w:p w:rsidR="003515D5" w:rsidRPr="006F173F" w:rsidRDefault="00F23799" w:rsidP="0084263B">
      <w:pPr>
        <w:pStyle w:val="Sinespaciado"/>
        <w:spacing w:line="360" w:lineRule="auto"/>
        <w:ind w:firstLine="567"/>
        <w:jc w:val="both"/>
        <w:rPr>
          <w:rFonts w:ascii="Arial" w:eastAsia="Calibri" w:hAnsi="Arial" w:cs="Arial"/>
          <w:bCs/>
          <w:sz w:val="26"/>
          <w:szCs w:val="26"/>
        </w:rPr>
      </w:pPr>
      <w:r>
        <w:rPr>
          <w:noProof/>
        </w:rPr>
        <mc:AlternateContent>
          <mc:Choice Requires="wps">
            <w:drawing>
              <wp:anchor distT="0" distB="0" distL="114300" distR="114300" simplePos="0" relativeHeight="251663360" behindDoc="0" locked="0" layoutInCell="1" allowOverlap="1" wp14:anchorId="1F10B8B8" wp14:editId="5F8B402F">
                <wp:simplePos x="0" y="0"/>
                <wp:positionH relativeFrom="column">
                  <wp:posOffset>5429885</wp:posOffset>
                </wp:positionH>
                <wp:positionV relativeFrom="paragraph">
                  <wp:posOffset>184785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7.55pt;margin-top:14.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">
                <v:textbox>
                  <w:txbxContent>
                    <w:p w:rsidR="00F23799" w:rsidRPr="00A6596B" w:rsidRDefault="00F23799" w:rsidP="00F23799">
                      <w:pPr>
                        <w:rPr>
                          <w:sz w:val="16"/>
                          <w:szCs w:val="16"/>
                        </w:rPr>
                      </w:pPr>
                      <w:r>
                        <w:rPr>
                          <w:sz w:val="16"/>
                          <w:szCs w:val="16"/>
                        </w:rPr>
                        <w:t>Datos personales protegidos por el Art. 116 de la LGTAIP y el Art. 56 de la LTAIPEO</w:t>
                      </w:r>
                    </w:p>
                  </w:txbxContent>
                </v:textbox>
              </v:shape>
            </w:pict>
          </mc:Fallback>
        </mc:AlternateContent>
      </w:r>
      <w:r w:rsidR="003515D5" w:rsidRPr="006F173F">
        <w:rPr>
          <w:rFonts w:ascii="Arial" w:eastAsia="Calibri" w:hAnsi="Arial" w:cs="Arial"/>
          <w:bCs/>
          <w:sz w:val="26"/>
          <w:szCs w:val="26"/>
        </w:rPr>
        <w:t>Dice que si bien el Director de Concesiones se declara incompetente para resolver sus peticiones en atención a lo estatuido al artículo 2 de la Constitución del Estado Libre y Soberano de Oaxaca, al apreciar que no cuenta con facultades para continuar conociendo respecto de la renovación de la concesión que solicitó, yerra al haber turnado sus peticiones al Secretario de Vialidad y Transporte para q</w:t>
      </w:r>
      <w:r w:rsidR="00980291">
        <w:rPr>
          <w:rFonts w:ascii="Arial" w:eastAsia="Calibri" w:hAnsi="Arial" w:cs="Arial"/>
          <w:bCs/>
          <w:sz w:val="26"/>
          <w:szCs w:val="26"/>
        </w:rPr>
        <w:t xml:space="preserve">ue sea éste quien las resuelve, </w:t>
      </w:r>
      <w:r w:rsidR="003515D5" w:rsidRPr="006F173F">
        <w:rPr>
          <w:rFonts w:ascii="Arial" w:eastAsia="Calibri" w:hAnsi="Arial" w:cs="Arial"/>
          <w:bCs/>
          <w:sz w:val="26"/>
          <w:szCs w:val="26"/>
        </w:rPr>
        <w:t xml:space="preserve">sostiene que esta determinación “turnar al Secretario de Vialidad y Transporte” las peticiones es ilegal, al fundarse en el Acuerdo delegatorio publicado en el Periódico Oficial del Gobierno del Estado el 4 cuatro de septiembre de 2012 dos mil doce, expedido por el Gobernador del Estado, dado que ha dejado de tener vigencia y aplicación, por haber sido derogado conforme  la Ley de </w:t>
      </w:r>
      <w:r w:rsidR="003515D5" w:rsidRPr="006F173F">
        <w:rPr>
          <w:rFonts w:ascii="Arial" w:eastAsia="Calibri" w:hAnsi="Arial" w:cs="Arial"/>
          <w:bCs/>
          <w:sz w:val="26"/>
          <w:szCs w:val="26"/>
        </w:rPr>
        <w:lastRenderedPageBreak/>
        <w:t>Transporte del Estado de Oaxaca y la Ley de Tránsito, Movilidad y Vialidad del Estado de Oaxaca.</w:t>
      </w:r>
      <w:r w:rsidR="0084263B">
        <w:rPr>
          <w:rFonts w:ascii="Arial" w:eastAsia="Calibri" w:hAnsi="Arial" w:cs="Arial"/>
          <w:bCs/>
          <w:sz w:val="26"/>
          <w:szCs w:val="26"/>
        </w:rPr>
        <w:t xml:space="preserve"> </w:t>
      </w:r>
    </w:p>
    <w:p w:rsidR="003515D5" w:rsidRPr="006F173F" w:rsidRDefault="003515D5" w:rsidP="0084263B">
      <w:pPr>
        <w:pStyle w:val="Sinespaciado"/>
        <w:spacing w:line="360" w:lineRule="auto"/>
        <w:ind w:firstLine="567"/>
        <w:jc w:val="both"/>
        <w:rPr>
          <w:rFonts w:ascii="Arial" w:eastAsia="Calibri" w:hAnsi="Arial" w:cs="Arial"/>
          <w:bCs/>
          <w:sz w:val="26"/>
          <w:szCs w:val="26"/>
        </w:rPr>
      </w:pPr>
      <w:r w:rsidRPr="00154243">
        <w:rPr>
          <w:rFonts w:ascii="Arial" w:eastAsia="Calibri" w:hAnsi="Arial" w:cs="Arial"/>
          <w:bCs/>
          <w:sz w:val="26"/>
          <w:szCs w:val="26"/>
        </w:rPr>
        <w:t>Del análisis</w:t>
      </w:r>
      <w:r w:rsidRPr="006F173F">
        <w:rPr>
          <w:rFonts w:ascii="Arial" w:eastAsia="Calibri" w:hAnsi="Arial" w:cs="Arial"/>
          <w:bCs/>
          <w:sz w:val="26"/>
          <w:szCs w:val="26"/>
        </w:rPr>
        <w:t xml:space="preserve"> de las constancias del sumario que tienen pleno valor probatorio por tratarse de actuaciones judiciales en términos del artículo 173, fracción I de la Ley de Justicia Administrativa para el Estado de Oaxaca, se desprende lo siguiente:</w:t>
      </w:r>
      <w:r>
        <w:rPr>
          <w:rFonts w:ascii="Arial" w:eastAsia="Calibri" w:hAnsi="Arial" w:cs="Arial"/>
          <w:bCs/>
          <w:sz w:val="26"/>
          <w:szCs w:val="26"/>
        </w:rPr>
        <w:t xml:space="preserve"> </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sidRPr="006F173F">
        <w:rPr>
          <w:rFonts w:ascii="Arial" w:eastAsia="Calibri" w:hAnsi="Arial" w:cs="Arial"/>
          <w:bCs/>
          <w:sz w:val="26"/>
          <w:szCs w:val="26"/>
        </w:rPr>
        <w:t xml:space="preserve">En sentencia de </w:t>
      </w:r>
      <w:r>
        <w:rPr>
          <w:rFonts w:ascii="Arial" w:eastAsia="Calibri" w:hAnsi="Arial" w:cs="Arial"/>
          <w:bCs/>
          <w:sz w:val="26"/>
          <w:szCs w:val="26"/>
        </w:rPr>
        <w:t>15 quince de noviembre de 2013 dos mil trece, la Primera I</w:t>
      </w:r>
      <w:r w:rsidRPr="006F173F">
        <w:rPr>
          <w:rFonts w:ascii="Arial" w:eastAsia="Calibri" w:hAnsi="Arial" w:cs="Arial"/>
          <w:bCs/>
          <w:sz w:val="26"/>
          <w:szCs w:val="26"/>
        </w:rPr>
        <w:t>nstancia decretó la nulidad del oficio SEVITRA/DC/</w:t>
      </w:r>
      <w:r>
        <w:rPr>
          <w:rFonts w:ascii="Arial" w:eastAsia="Calibri" w:hAnsi="Arial" w:cs="Arial"/>
          <w:bCs/>
          <w:sz w:val="26"/>
          <w:szCs w:val="26"/>
        </w:rPr>
        <w:t xml:space="preserve">DCR/516/2013 </w:t>
      </w:r>
      <w:r w:rsidRPr="006F173F">
        <w:rPr>
          <w:rFonts w:ascii="Arial" w:eastAsia="Calibri" w:hAnsi="Arial" w:cs="Arial"/>
          <w:bCs/>
          <w:sz w:val="26"/>
          <w:szCs w:val="26"/>
        </w:rPr>
        <w:t xml:space="preserve">de </w:t>
      </w:r>
      <w:r>
        <w:rPr>
          <w:rFonts w:ascii="Arial" w:eastAsia="Calibri" w:hAnsi="Arial" w:cs="Arial"/>
          <w:bCs/>
          <w:sz w:val="26"/>
          <w:szCs w:val="26"/>
        </w:rPr>
        <w:t xml:space="preserve">16 dieciséis de mayo </w:t>
      </w:r>
      <w:r w:rsidRPr="006F173F">
        <w:rPr>
          <w:rFonts w:ascii="Arial" w:eastAsia="Calibri" w:hAnsi="Arial" w:cs="Arial"/>
          <w:bCs/>
          <w:sz w:val="26"/>
          <w:szCs w:val="26"/>
        </w:rPr>
        <w:t xml:space="preserve">de 2013 dos mil trece, para efecto de que la Directora de Concesiones de la Secretaría de Vialidad y Transporte </w:t>
      </w:r>
      <w:r>
        <w:rPr>
          <w:rFonts w:ascii="Arial" w:eastAsia="Calibri" w:hAnsi="Arial" w:cs="Arial"/>
          <w:bCs/>
          <w:sz w:val="26"/>
          <w:szCs w:val="26"/>
        </w:rPr>
        <w:t xml:space="preserve">dictara </w:t>
      </w:r>
      <w:r w:rsidRPr="006F173F">
        <w:rPr>
          <w:rFonts w:ascii="Arial" w:eastAsia="Calibri" w:hAnsi="Arial" w:cs="Arial"/>
          <w:bCs/>
          <w:sz w:val="26"/>
          <w:szCs w:val="26"/>
        </w:rPr>
        <w:t xml:space="preserve"> otro debidamente fundado y motivado en cuanto a las facultades que dice tener para hacerlo;</w:t>
      </w:r>
      <w:r>
        <w:rPr>
          <w:rFonts w:ascii="Arial" w:eastAsia="Calibri" w:hAnsi="Arial" w:cs="Arial"/>
          <w:bCs/>
          <w:sz w:val="26"/>
          <w:szCs w:val="26"/>
        </w:rPr>
        <w:t xml:space="preserve"> </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sidRPr="006F173F">
        <w:rPr>
          <w:rFonts w:ascii="Arial" w:eastAsia="Calibri" w:hAnsi="Arial" w:cs="Arial"/>
          <w:bCs/>
          <w:sz w:val="26"/>
          <w:szCs w:val="26"/>
        </w:rPr>
        <w:t xml:space="preserve">Luego, con el cumplimiento de la autoridad demandada en </w:t>
      </w:r>
      <w:r>
        <w:rPr>
          <w:rFonts w:ascii="Arial" w:eastAsia="Calibri" w:hAnsi="Arial" w:cs="Arial"/>
          <w:bCs/>
          <w:sz w:val="26"/>
          <w:szCs w:val="26"/>
        </w:rPr>
        <w:t>acuerdo</w:t>
      </w:r>
      <w:r w:rsidRPr="006F173F">
        <w:rPr>
          <w:rFonts w:ascii="Arial" w:eastAsia="Calibri" w:hAnsi="Arial" w:cs="Arial"/>
          <w:bCs/>
          <w:sz w:val="26"/>
          <w:szCs w:val="26"/>
        </w:rPr>
        <w:t xml:space="preserve"> de </w:t>
      </w:r>
      <w:r>
        <w:rPr>
          <w:rFonts w:ascii="Arial" w:eastAsia="Calibri" w:hAnsi="Arial" w:cs="Arial"/>
          <w:bCs/>
          <w:sz w:val="26"/>
          <w:szCs w:val="26"/>
        </w:rPr>
        <w:t>24 veinticuatro de marzo de 2014 dos mil catorce, la S</w:t>
      </w:r>
      <w:r w:rsidRPr="006F173F">
        <w:rPr>
          <w:rFonts w:ascii="Arial" w:eastAsia="Calibri" w:hAnsi="Arial" w:cs="Arial"/>
          <w:bCs/>
          <w:sz w:val="26"/>
          <w:szCs w:val="26"/>
        </w:rPr>
        <w:t>ala primigenia tuvo por cumplida la sentencia. Esta determina</w:t>
      </w:r>
      <w:r>
        <w:rPr>
          <w:rFonts w:ascii="Arial" w:eastAsia="Calibri" w:hAnsi="Arial" w:cs="Arial"/>
          <w:bCs/>
          <w:sz w:val="26"/>
          <w:szCs w:val="26"/>
        </w:rPr>
        <w:t xml:space="preserve">ción fue impugnada vía revisión. </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Pr>
          <w:rFonts w:ascii="Arial" w:eastAsia="Calibri" w:hAnsi="Arial" w:cs="Arial"/>
          <w:bCs/>
          <w:sz w:val="26"/>
          <w:szCs w:val="26"/>
        </w:rPr>
        <w:t>Dictándose la</w:t>
      </w:r>
      <w:r w:rsidRPr="006F173F">
        <w:rPr>
          <w:rFonts w:ascii="Arial" w:eastAsia="Calibri" w:hAnsi="Arial" w:cs="Arial"/>
          <w:bCs/>
          <w:sz w:val="26"/>
          <w:szCs w:val="26"/>
        </w:rPr>
        <w:t xml:space="preserve"> resolución </w:t>
      </w:r>
      <w:r>
        <w:rPr>
          <w:rFonts w:ascii="Arial" w:eastAsia="Calibri" w:hAnsi="Arial" w:cs="Arial"/>
          <w:bCs/>
          <w:sz w:val="26"/>
          <w:szCs w:val="26"/>
        </w:rPr>
        <w:t>el</w:t>
      </w:r>
      <w:r w:rsidRPr="006F173F">
        <w:rPr>
          <w:rFonts w:ascii="Arial" w:eastAsia="Calibri" w:hAnsi="Arial" w:cs="Arial"/>
          <w:bCs/>
          <w:sz w:val="26"/>
          <w:szCs w:val="26"/>
        </w:rPr>
        <w:t xml:space="preserve"> </w:t>
      </w:r>
      <w:r>
        <w:rPr>
          <w:rFonts w:ascii="Arial" w:eastAsia="Calibri" w:hAnsi="Arial" w:cs="Arial"/>
          <w:bCs/>
          <w:sz w:val="26"/>
          <w:szCs w:val="26"/>
        </w:rPr>
        <w:t>18 dieciocho de junio de 2014 dos mil catorce</w:t>
      </w:r>
      <w:r w:rsidRPr="006F173F">
        <w:rPr>
          <w:rFonts w:ascii="Arial" w:eastAsia="Calibri" w:hAnsi="Arial" w:cs="Arial"/>
          <w:bCs/>
          <w:sz w:val="26"/>
          <w:szCs w:val="26"/>
        </w:rPr>
        <w:t xml:space="preserve">, esta Sala Superior decretó que no podía tenerse por cumplida la sentencia de mérito, virtud que la autoridad demandada no cumplía a cabalidad la sentencia ya que no fundaba ni motivaba </w:t>
      </w:r>
      <w:r w:rsidRPr="006F173F">
        <w:rPr>
          <w:rFonts w:ascii="Arial" w:eastAsia="Calibri" w:hAnsi="Arial" w:cs="Arial"/>
          <w:b/>
          <w:bCs/>
          <w:i/>
          <w:sz w:val="26"/>
          <w:szCs w:val="26"/>
        </w:rPr>
        <w:t xml:space="preserve">debidamente </w:t>
      </w:r>
      <w:r w:rsidRPr="006F173F">
        <w:rPr>
          <w:rFonts w:ascii="Arial" w:eastAsia="Calibri" w:hAnsi="Arial" w:cs="Arial"/>
          <w:bCs/>
          <w:sz w:val="26"/>
          <w:szCs w:val="26"/>
        </w:rPr>
        <w:t>su actuación;</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sidRPr="006F173F">
        <w:rPr>
          <w:rFonts w:ascii="Arial" w:eastAsia="Calibri" w:hAnsi="Arial" w:cs="Arial"/>
          <w:bCs/>
          <w:sz w:val="26"/>
          <w:szCs w:val="26"/>
        </w:rPr>
        <w:t xml:space="preserve">Por esta razón, se requirió nuevamente el cumplimiento de la sentencia a la autoridad demandada (Directora de Concesiones) para que cumpliera la sentencia </w:t>
      </w:r>
      <w:r w:rsidRPr="006F173F">
        <w:rPr>
          <w:rFonts w:ascii="Arial" w:eastAsia="Calibri" w:hAnsi="Arial" w:cs="Arial"/>
          <w:b/>
          <w:bCs/>
          <w:sz w:val="26"/>
          <w:szCs w:val="26"/>
        </w:rPr>
        <w:t xml:space="preserve">fundando y motivando debidamente, </w:t>
      </w:r>
      <w:r w:rsidRPr="006F173F">
        <w:rPr>
          <w:rFonts w:ascii="Arial" w:eastAsia="Calibri" w:hAnsi="Arial" w:cs="Arial"/>
          <w:bCs/>
          <w:sz w:val="26"/>
          <w:szCs w:val="26"/>
        </w:rPr>
        <w:t>y así más adelante, el 4 cuatro de mayo de 2015 dos mil quince, con un nuevo cumplimiento de la autoridad demandada, tuvo por cumplida la sentencia;</w:t>
      </w:r>
      <w:r>
        <w:rPr>
          <w:rFonts w:ascii="Arial" w:eastAsia="Calibri" w:hAnsi="Arial" w:cs="Arial"/>
          <w:bCs/>
          <w:sz w:val="26"/>
          <w:szCs w:val="26"/>
        </w:rPr>
        <w:t xml:space="preserve"> </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sidRPr="006F173F">
        <w:rPr>
          <w:rFonts w:ascii="Arial" w:eastAsia="Calibri" w:hAnsi="Arial" w:cs="Arial"/>
          <w:bCs/>
          <w:sz w:val="26"/>
          <w:szCs w:val="26"/>
        </w:rPr>
        <w:t>Sin embargo, nuevamente, tal determinación fue recurrida ya que el actor estimó que no podía tenerse por cumplida la sentencia de mérito virtud que la Directora de Concesiones no tiene competencia para resolver lo relativo a la renovación de la concesión;</w:t>
      </w:r>
      <w:r>
        <w:rPr>
          <w:rFonts w:ascii="Arial" w:eastAsia="Calibri" w:hAnsi="Arial" w:cs="Arial"/>
          <w:bCs/>
          <w:sz w:val="26"/>
          <w:szCs w:val="26"/>
        </w:rPr>
        <w:t xml:space="preserve"> </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sidRPr="006F173F">
        <w:rPr>
          <w:rFonts w:ascii="Arial" w:eastAsia="Calibri" w:hAnsi="Arial" w:cs="Arial"/>
          <w:bCs/>
          <w:sz w:val="26"/>
          <w:szCs w:val="26"/>
        </w:rPr>
        <w:t xml:space="preserve">De ahí que, por resolución de </w:t>
      </w:r>
      <w:r>
        <w:rPr>
          <w:rFonts w:ascii="Arial" w:eastAsia="Calibri" w:hAnsi="Arial" w:cs="Arial"/>
          <w:bCs/>
          <w:sz w:val="26"/>
          <w:szCs w:val="26"/>
        </w:rPr>
        <w:t>10 diez de marzo de 2016 dos mil dieciséis</w:t>
      </w:r>
      <w:r w:rsidRPr="006F173F">
        <w:rPr>
          <w:rFonts w:ascii="Arial" w:eastAsia="Calibri" w:hAnsi="Arial" w:cs="Arial"/>
          <w:bCs/>
          <w:sz w:val="26"/>
          <w:szCs w:val="26"/>
        </w:rPr>
        <w:t xml:space="preserve">, </w:t>
      </w:r>
      <w:r>
        <w:rPr>
          <w:rFonts w:ascii="Arial" w:eastAsia="Calibri" w:hAnsi="Arial" w:cs="Arial"/>
          <w:bCs/>
          <w:sz w:val="26"/>
          <w:szCs w:val="26"/>
        </w:rPr>
        <w:t>del</w:t>
      </w:r>
      <w:r w:rsidRPr="006F173F">
        <w:rPr>
          <w:rFonts w:ascii="Arial" w:eastAsia="Calibri" w:hAnsi="Arial" w:cs="Arial"/>
          <w:bCs/>
          <w:sz w:val="26"/>
          <w:szCs w:val="26"/>
        </w:rPr>
        <w:t xml:space="preserve"> análisis de los motivos de disenso del revisionista y derivado del estudio a los preceptos legales invocados por la Directora de Concesiones para fundar su competencia para resolver lo relativo a la renovación de la </w:t>
      </w:r>
      <w:r w:rsidRPr="006F173F">
        <w:rPr>
          <w:rFonts w:ascii="Arial" w:eastAsia="Calibri" w:hAnsi="Arial" w:cs="Arial"/>
          <w:bCs/>
          <w:sz w:val="26"/>
          <w:szCs w:val="26"/>
        </w:rPr>
        <w:lastRenderedPageBreak/>
        <w:t xml:space="preserve">concesión, esta Sala Superior resolvió que la citada Directora es incompetente </w:t>
      </w:r>
      <w:r>
        <w:rPr>
          <w:rFonts w:ascii="Arial" w:eastAsia="Calibri" w:hAnsi="Arial" w:cs="Arial"/>
          <w:bCs/>
          <w:sz w:val="26"/>
          <w:szCs w:val="26"/>
        </w:rPr>
        <w:t>para pronunciarse respecto a la petición que le fue</w:t>
      </w:r>
      <w:r w:rsidRPr="006F173F">
        <w:rPr>
          <w:rFonts w:ascii="Arial" w:eastAsia="Calibri" w:hAnsi="Arial" w:cs="Arial"/>
          <w:bCs/>
          <w:sz w:val="26"/>
          <w:szCs w:val="26"/>
        </w:rPr>
        <w:t xml:space="preserve"> re</w:t>
      </w:r>
      <w:r>
        <w:rPr>
          <w:rFonts w:ascii="Arial" w:eastAsia="Calibri" w:hAnsi="Arial" w:cs="Arial"/>
          <w:bCs/>
          <w:sz w:val="26"/>
          <w:szCs w:val="26"/>
        </w:rPr>
        <w:t>alizada</w:t>
      </w:r>
      <w:r w:rsidRPr="006F173F">
        <w:rPr>
          <w:rFonts w:ascii="Arial" w:eastAsia="Calibri" w:hAnsi="Arial" w:cs="Arial"/>
          <w:bCs/>
          <w:sz w:val="26"/>
          <w:szCs w:val="26"/>
        </w:rPr>
        <w:t xml:space="preserve"> por el aquí disconforme y también resolvió que la autorida</w:t>
      </w:r>
      <w:r>
        <w:rPr>
          <w:rFonts w:ascii="Arial" w:eastAsia="Calibri" w:hAnsi="Arial" w:cs="Arial"/>
          <w:bCs/>
          <w:sz w:val="26"/>
          <w:szCs w:val="26"/>
        </w:rPr>
        <w:t>d competente para resolver tal petición</w:t>
      </w:r>
      <w:r w:rsidRPr="006F173F">
        <w:rPr>
          <w:rFonts w:ascii="Arial" w:eastAsia="Calibri" w:hAnsi="Arial" w:cs="Arial"/>
          <w:bCs/>
          <w:sz w:val="26"/>
          <w:szCs w:val="26"/>
        </w:rPr>
        <w:t xml:space="preserve"> lo es el Secretario de Vialidad y Transporte, determinación que no fue impugnada por las partes;</w:t>
      </w:r>
      <w:r>
        <w:rPr>
          <w:rFonts w:ascii="Arial" w:eastAsia="Calibri" w:hAnsi="Arial" w:cs="Arial"/>
          <w:bCs/>
          <w:sz w:val="26"/>
          <w:szCs w:val="26"/>
        </w:rPr>
        <w:t xml:space="preserve"> </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sidRPr="006F173F">
        <w:rPr>
          <w:rFonts w:ascii="Arial" w:eastAsia="Calibri" w:hAnsi="Arial" w:cs="Arial"/>
          <w:bCs/>
          <w:sz w:val="26"/>
          <w:szCs w:val="26"/>
        </w:rPr>
        <w:t xml:space="preserve">Derivado de ello, la </w:t>
      </w:r>
      <w:r>
        <w:rPr>
          <w:rFonts w:ascii="Arial" w:eastAsia="Calibri" w:hAnsi="Arial" w:cs="Arial"/>
          <w:bCs/>
          <w:sz w:val="26"/>
          <w:szCs w:val="26"/>
        </w:rPr>
        <w:t>S</w:t>
      </w:r>
      <w:r w:rsidRPr="006F173F">
        <w:rPr>
          <w:rFonts w:ascii="Arial" w:eastAsia="Calibri" w:hAnsi="Arial" w:cs="Arial"/>
          <w:bCs/>
          <w:sz w:val="26"/>
          <w:szCs w:val="26"/>
        </w:rPr>
        <w:t>ala de con</w:t>
      </w:r>
      <w:r>
        <w:rPr>
          <w:rFonts w:ascii="Arial" w:eastAsia="Calibri" w:hAnsi="Arial" w:cs="Arial"/>
          <w:bCs/>
          <w:sz w:val="26"/>
          <w:szCs w:val="26"/>
        </w:rPr>
        <w:t>ocimiento requirió nuevamente al Director</w:t>
      </w:r>
      <w:r w:rsidRPr="006F173F">
        <w:rPr>
          <w:rFonts w:ascii="Arial" w:eastAsia="Calibri" w:hAnsi="Arial" w:cs="Arial"/>
          <w:bCs/>
          <w:sz w:val="26"/>
          <w:szCs w:val="26"/>
        </w:rPr>
        <w:t xml:space="preserve"> de Concesiones a fin que atendiendo los lineamientos de la Sala Superior procediera a dar cumplimiento a la sentencia de fondo, por eso, el citado servidor público con el oficio SEVITRA/DJ/DCAA/172</w:t>
      </w:r>
      <w:r>
        <w:rPr>
          <w:rFonts w:ascii="Arial" w:eastAsia="Calibri" w:hAnsi="Arial" w:cs="Arial"/>
          <w:bCs/>
          <w:sz w:val="26"/>
          <w:szCs w:val="26"/>
        </w:rPr>
        <w:t>7</w:t>
      </w:r>
      <w:r w:rsidRPr="006F173F">
        <w:rPr>
          <w:rFonts w:ascii="Arial" w:eastAsia="Calibri" w:hAnsi="Arial" w:cs="Arial"/>
          <w:bCs/>
          <w:sz w:val="26"/>
          <w:szCs w:val="26"/>
        </w:rPr>
        <w:t xml:space="preserve">/2016 exhibió el acuerdo emitido por él mismo el </w:t>
      </w:r>
      <w:r>
        <w:rPr>
          <w:rFonts w:ascii="Arial" w:eastAsia="Calibri" w:hAnsi="Arial" w:cs="Arial"/>
          <w:bCs/>
          <w:sz w:val="26"/>
          <w:szCs w:val="26"/>
        </w:rPr>
        <w:t>18 dieciocho de abril de 2016 dos mil dieciséis,</w:t>
      </w:r>
      <w:r w:rsidRPr="006F173F">
        <w:rPr>
          <w:rFonts w:ascii="Arial" w:eastAsia="Calibri" w:hAnsi="Arial" w:cs="Arial"/>
          <w:bCs/>
          <w:sz w:val="26"/>
          <w:szCs w:val="26"/>
        </w:rPr>
        <w:t xml:space="preserve"> en el que: </w:t>
      </w:r>
      <w:r w:rsidRPr="006F173F">
        <w:rPr>
          <w:rFonts w:ascii="Arial" w:eastAsia="Calibri" w:hAnsi="Arial" w:cs="Arial"/>
          <w:b/>
          <w:bCs/>
          <w:sz w:val="26"/>
          <w:szCs w:val="26"/>
        </w:rPr>
        <w:t xml:space="preserve">1. </w:t>
      </w:r>
      <w:r w:rsidRPr="006F173F">
        <w:rPr>
          <w:rFonts w:ascii="Arial" w:eastAsia="Calibri" w:hAnsi="Arial" w:cs="Arial"/>
          <w:bCs/>
          <w:sz w:val="26"/>
          <w:szCs w:val="26"/>
        </w:rPr>
        <w:t>Se declaró incompetente para continuar conociendo d</w:t>
      </w:r>
      <w:r>
        <w:rPr>
          <w:rFonts w:ascii="Arial" w:eastAsia="Calibri" w:hAnsi="Arial" w:cs="Arial"/>
          <w:bCs/>
          <w:sz w:val="26"/>
          <w:szCs w:val="26"/>
        </w:rPr>
        <w:t xml:space="preserve">e la petición realizada por </w:t>
      </w:r>
      <w:r w:rsidR="000D7253">
        <w:rPr>
          <w:rFonts w:ascii="Arial" w:eastAsia="Calibri" w:hAnsi="Arial" w:cs="Arial"/>
          <w:bCs/>
          <w:sz w:val="26"/>
          <w:szCs w:val="26"/>
        </w:rPr>
        <w:t>***********</w:t>
      </w:r>
      <w:r w:rsidRPr="006F173F">
        <w:rPr>
          <w:rFonts w:ascii="Arial" w:eastAsia="Calibri" w:hAnsi="Arial" w:cs="Arial"/>
          <w:bCs/>
          <w:sz w:val="26"/>
          <w:szCs w:val="26"/>
        </w:rPr>
        <w:t xml:space="preserve">  y </w:t>
      </w:r>
      <w:r w:rsidRPr="006F173F">
        <w:rPr>
          <w:rFonts w:ascii="Arial" w:eastAsia="Calibri" w:hAnsi="Arial" w:cs="Arial"/>
          <w:b/>
          <w:bCs/>
          <w:sz w:val="26"/>
          <w:szCs w:val="26"/>
        </w:rPr>
        <w:t xml:space="preserve">2. </w:t>
      </w:r>
      <w:r w:rsidRPr="006F173F">
        <w:rPr>
          <w:rFonts w:ascii="Arial" w:eastAsia="Calibri" w:hAnsi="Arial" w:cs="Arial"/>
          <w:bCs/>
          <w:sz w:val="26"/>
          <w:szCs w:val="26"/>
        </w:rPr>
        <w:t>Turnó al Secretario de Vialidad y Trasporte para q</w:t>
      </w:r>
      <w:r>
        <w:rPr>
          <w:rFonts w:ascii="Arial" w:eastAsia="Calibri" w:hAnsi="Arial" w:cs="Arial"/>
          <w:bCs/>
          <w:sz w:val="26"/>
          <w:szCs w:val="26"/>
        </w:rPr>
        <w:t>ue resolviera la petición</w:t>
      </w:r>
      <w:r w:rsidRPr="006F173F">
        <w:rPr>
          <w:rFonts w:ascii="Arial" w:eastAsia="Calibri" w:hAnsi="Arial" w:cs="Arial"/>
          <w:bCs/>
          <w:sz w:val="26"/>
          <w:szCs w:val="26"/>
        </w:rPr>
        <w:t xml:space="preserve"> del actor;</w:t>
      </w:r>
      <w:r>
        <w:rPr>
          <w:rFonts w:ascii="Arial" w:eastAsia="Calibri" w:hAnsi="Arial" w:cs="Arial"/>
          <w:bCs/>
          <w:sz w:val="26"/>
          <w:szCs w:val="26"/>
        </w:rPr>
        <w:t xml:space="preserve"> </w:t>
      </w:r>
    </w:p>
    <w:p w:rsidR="003515D5" w:rsidRPr="006F173F" w:rsidRDefault="003515D5" w:rsidP="003515D5">
      <w:pPr>
        <w:pStyle w:val="Sinespaciado"/>
        <w:numPr>
          <w:ilvl w:val="0"/>
          <w:numId w:val="9"/>
        </w:numPr>
        <w:spacing w:line="360" w:lineRule="auto"/>
        <w:jc w:val="both"/>
        <w:rPr>
          <w:rFonts w:ascii="Arial" w:eastAsia="Calibri" w:hAnsi="Arial" w:cs="Arial"/>
          <w:b/>
          <w:bCs/>
          <w:sz w:val="26"/>
          <w:szCs w:val="26"/>
        </w:rPr>
      </w:pPr>
      <w:r w:rsidRPr="006F173F">
        <w:rPr>
          <w:rFonts w:ascii="Arial" w:eastAsia="Calibri" w:hAnsi="Arial" w:cs="Arial"/>
          <w:bCs/>
          <w:sz w:val="26"/>
          <w:szCs w:val="26"/>
        </w:rPr>
        <w:t>Así mismo, con el oficio SEVITRA/DJ/DCAA/17</w:t>
      </w:r>
      <w:r>
        <w:rPr>
          <w:rFonts w:ascii="Arial" w:eastAsia="Calibri" w:hAnsi="Arial" w:cs="Arial"/>
          <w:bCs/>
          <w:sz w:val="26"/>
          <w:szCs w:val="26"/>
        </w:rPr>
        <w:t>28</w:t>
      </w:r>
      <w:r w:rsidRPr="006F173F">
        <w:rPr>
          <w:rFonts w:ascii="Arial" w:eastAsia="Calibri" w:hAnsi="Arial" w:cs="Arial"/>
          <w:bCs/>
          <w:sz w:val="26"/>
          <w:szCs w:val="26"/>
        </w:rPr>
        <w:t xml:space="preserve">/2016 el Secretario de Vialidad y Transporte remitió copia certificada de </w:t>
      </w:r>
      <w:r w:rsidR="001E2332">
        <w:rPr>
          <w:rFonts w:ascii="Arial" w:eastAsia="Calibri" w:hAnsi="Arial" w:cs="Arial"/>
          <w:bCs/>
          <w:sz w:val="26"/>
          <w:szCs w:val="26"/>
        </w:rPr>
        <w:t xml:space="preserve">la </w:t>
      </w:r>
      <w:r w:rsidRPr="006F173F">
        <w:rPr>
          <w:rFonts w:ascii="Arial" w:eastAsia="Calibri" w:hAnsi="Arial" w:cs="Arial"/>
          <w:bCs/>
          <w:sz w:val="26"/>
          <w:szCs w:val="26"/>
        </w:rPr>
        <w:t xml:space="preserve">resolución de </w:t>
      </w:r>
      <w:r>
        <w:rPr>
          <w:rFonts w:ascii="Arial" w:eastAsia="Calibri" w:hAnsi="Arial" w:cs="Arial"/>
          <w:bCs/>
          <w:sz w:val="26"/>
          <w:szCs w:val="26"/>
        </w:rPr>
        <w:t>18 dieciocho de abril</w:t>
      </w:r>
      <w:r w:rsidRPr="006F173F">
        <w:rPr>
          <w:rFonts w:ascii="Arial" w:eastAsia="Calibri" w:hAnsi="Arial" w:cs="Arial"/>
          <w:bCs/>
          <w:sz w:val="26"/>
          <w:szCs w:val="26"/>
        </w:rPr>
        <w:t xml:space="preserve"> de 2016 dos mil dieciséis, con la </w:t>
      </w:r>
      <w:r>
        <w:rPr>
          <w:rFonts w:ascii="Arial" w:eastAsia="Calibri" w:hAnsi="Arial" w:cs="Arial"/>
          <w:bCs/>
          <w:sz w:val="26"/>
          <w:szCs w:val="26"/>
        </w:rPr>
        <w:t>que se pronuncia respecto de la petición formulada</w:t>
      </w:r>
      <w:r w:rsidRPr="006F173F">
        <w:rPr>
          <w:rFonts w:ascii="Arial" w:eastAsia="Calibri" w:hAnsi="Arial" w:cs="Arial"/>
          <w:bCs/>
          <w:sz w:val="26"/>
          <w:szCs w:val="26"/>
        </w:rPr>
        <w:t xml:space="preserve"> por el aquí disconforme</w:t>
      </w:r>
      <w:r w:rsidR="0084263B">
        <w:rPr>
          <w:rFonts w:ascii="Arial" w:eastAsia="Calibri" w:hAnsi="Arial" w:cs="Arial"/>
          <w:bCs/>
          <w:sz w:val="26"/>
          <w:szCs w:val="26"/>
        </w:rPr>
        <w:t>;</w:t>
      </w:r>
    </w:p>
    <w:p w:rsidR="003515D5" w:rsidRPr="007D2A13" w:rsidRDefault="00F23799" w:rsidP="003515D5">
      <w:pPr>
        <w:pStyle w:val="Sinespaciado"/>
        <w:numPr>
          <w:ilvl w:val="0"/>
          <w:numId w:val="9"/>
        </w:numPr>
        <w:spacing w:line="360" w:lineRule="auto"/>
        <w:jc w:val="both"/>
        <w:rPr>
          <w:rFonts w:ascii="Arial" w:eastAsia="Calibri" w:hAnsi="Arial" w:cs="Arial"/>
          <w:b/>
          <w:bCs/>
          <w:sz w:val="26"/>
          <w:szCs w:val="26"/>
        </w:rPr>
      </w:pPr>
      <w:r>
        <w:rPr>
          <w:noProof/>
        </w:rPr>
        <mc:AlternateContent>
          <mc:Choice Requires="wps">
            <w:drawing>
              <wp:anchor distT="0" distB="0" distL="114300" distR="114300" simplePos="0" relativeHeight="251665408" behindDoc="0" locked="0" layoutInCell="1" allowOverlap="1" wp14:anchorId="08966F9B" wp14:editId="0E443686">
                <wp:simplePos x="0" y="0"/>
                <wp:positionH relativeFrom="column">
                  <wp:posOffset>5467985</wp:posOffset>
                </wp:positionH>
                <wp:positionV relativeFrom="paragraph">
                  <wp:posOffset>1979930</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0.55pt;margin-top:155.9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">
                <v:textbox>
                  <w:txbxContent>
                    <w:p w:rsidR="00F23799" w:rsidRPr="00A6596B" w:rsidRDefault="00F23799" w:rsidP="00F23799">
                      <w:pPr>
                        <w:rPr>
                          <w:sz w:val="16"/>
                          <w:szCs w:val="16"/>
                        </w:rPr>
                      </w:pPr>
                      <w:r>
                        <w:rPr>
                          <w:sz w:val="16"/>
                          <w:szCs w:val="16"/>
                        </w:rPr>
                        <w:t>Datos personales protegidos por el Art. 116 de la LGTAIP y el Art. 56 de la LTAIPEO</w:t>
                      </w:r>
                    </w:p>
                  </w:txbxContent>
                </v:textbox>
              </v:shape>
            </w:pict>
          </mc:Fallback>
        </mc:AlternateContent>
      </w:r>
      <w:r w:rsidR="007D2A13">
        <w:rPr>
          <w:rFonts w:ascii="Arial" w:eastAsia="Calibri" w:hAnsi="Arial" w:cs="Arial"/>
          <w:bCs/>
          <w:sz w:val="26"/>
          <w:szCs w:val="26"/>
        </w:rPr>
        <w:t>E</w:t>
      </w:r>
      <w:r w:rsidR="003515D5" w:rsidRPr="006F173F">
        <w:rPr>
          <w:rFonts w:ascii="Arial" w:eastAsia="Calibri" w:hAnsi="Arial" w:cs="Arial"/>
          <w:bCs/>
          <w:sz w:val="26"/>
          <w:szCs w:val="26"/>
        </w:rPr>
        <w:t>n proveído de 25 veinticinco de agosto</w:t>
      </w:r>
      <w:r w:rsidR="003515D5">
        <w:rPr>
          <w:rFonts w:ascii="Arial" w:eastAsia="Calibri" w:hAnsi="Arial" w:cs="Arial"/>
          <w:bCs/>
          <w:sz w:val="26"/>
          <w:szCs w:val="26"/>
        </w:rPr>
        <w:t xml:space="preserve"> de 2016 dos mil dieciséis, la Sala Unitaria de Primera I</w:t>
      </w:r>
      <w:r w:rsidR="003515D5" w:rsidRPr="006F173F">
        <w:rPr>
          <w:rFonts w:ascii="Arial" w:eastAsia="Calibri" w:hAnsi="Arial" w:cs="Arial"/>
          <w:bCs/>
          <w:sz w:val="26"/>
          <w:szCs w:val="26"/>
        </w:rPr>
        <w:t xml:space="preserve">nstancia estimó, que con los oficios reseñados en los incisos g) y h), la autoridad demandada cumplió la sentencia de </w:t>
      </w:r>
      <w:r w:rsidR="003515D5">
        <w:rPr>
          <w:rFonts w:ascii="Arial" w:eastAsia="Calibri" w:hAnsi="Arial" w:cs="Arial"/>
          <w:bCs/>
          <w:sz w:val="26"/>
          <w:szCs w:val="26"/>
        </w:rPr>
        <w:t>15 quince de noviembre de 2013 dos mil trece</w:t>
      </w:r>
      <w:r w:rsidR="003515D5" w:rsidRPr="006F173F">
        <w:rPr>
          <w:rFonts w:ascii="Arial" w:eastAsia="Calibri" w:hAnsi="Arial" w:cs="Arial"/>
          <w:bCs/>
          <w:sz w:val="26"/>
          <w:szCs w:val="26"/>
        </w:rPr>
        <w:t xml:space="preserve"> y la resolución de </w:t>
      </w:r>
      <w:r w:rsidR="003515D5">
        <w:rPr>
          <w:rFonts w:ascii="Arial" w:eastAsia="Calibri" w:hAnsi="Arial" w:cs="Arial"/>
          <w:bCs/>
          <w:sz w:val="26"/>
          <w:szCs w:val="26"/>
        </w:rPr>
        <w:t>10 diez de marzo de 2016 dos mil dieciséis,</w:t>
      </w:r>
      <w:r w:rsidR="003515D5" w:rsidRPr="006F173F">
        <w:rPr>
          <w:rFonts w:ascii="Arial" w:eastAsia="Calibri" w:hAnsi="Arial" w:cs="Arial"/>
          <w:bCs/>
          <w:sz w:val="26"/>
          <w:szCs w:val="26"/>
        </w:rPr>
        <w:t xml:space="preserve"> emitida por esta Sala Superior, en parte porque el Director de Concesiones de la Secretaría de Vialidad y Transporte se declaró incompetente </w:t>
      </w:r>
      <w:r w:rsidR="003515D5">
        <w:rPr>
          <w:rFonts w:ascii="Arial" w:eastAsia="Calibri" w:hAnsi="Arial" w:cs="Arial"/>
          <w:bCs/>
          <w:sz w:val="26"/>
          <w:szCs w:val="26"/>
        </w:rPr>
        <w:t>para conocer y resolver la petición</w:t>
      </w:r>
      <w:r w:rsidR="003515D5" w:rsidRPr="006F173F">
        <w:rPr>
          <w:rFonts w:ascii="Arial" w:eastAsia="Calibri" w:hAnsi="Arial" w:cs="Arial"/>
          <w:bCs/>
          <w:sz w:val="26"/>
          <w:szCs w:val="26"/>
        </w:rPr>
        <w:t xml:space="preserve"> del actor (como así se dijo por esta Sala Superior) y también, porque el Secretario de Vialidad y Transporte en el ejercicio de sus </w:t>
      </w:r>
      <w:r w:rsidR="003515D5" w:rsidRPr="00E27FB9">
        <w:rPr>
          <w:rFonts w:ascii="Arial" w:eastAsia="Calibri" w:hAnsi="Arial" w:cs="Arial"/>
          <w:bCs/>
          <w:sz w:val="26"/>
          <w:szCs w:val="26"/>
        </w:rPr>
        <w:t xml:space="preserve">facultades resolvió respecto a la renovación de concesión de </w:t>
      </w:r>
      <w:r w:rsidR="000D7253">
        <w:rPr>
          <w:rFonts w:ascii="Arial" w:eastAsia="Calibri" w:hAnsi="Arial" w:cs="Arial"/>
          <w:bCs/>
          <w:sz w:val="26"/>
          <w:szCs w:val="26"/>
        </w:rPr>
        <w:t>***********</w:t>
      </w:r>
      <w:r w:rsidR="003515D5" w:rsidRPr="006F173F">
        <w:rPr>
          <w:rFonts w:ascii="Arial" w:eastAsia="Calibri" w:hAnsi="Arial" w:cs="Arial"/>
          <w:bCs/>
          <w:sz w:val="26"/>
          <w:szCs w:val="26"/>
        </w:rPr>
        <w:t>, fundando y motivando debidamente su acto.</w:t>
      </w:r>
      <w:r w:rsidR="003515D5">
        <w:rPr>
          <w:rFonts w:ascii="Arial" w:eastAsia="Calibri" w:hAnsi="Arial" w:cs="Arial"/>
          <w:bCs/>
          <w:sz w:val="26"/>
          <w:szCs w:val="26"/>
        </w:rPr>
        <w:t xml:space="preserve"> </w:t>
      </w:r>
    </w:p>
    <w:p w:rsidR="007D2A13" w:rsidRDefault="007D2A13" w:rsidP="007D2A13">
      <w:pPr>
        <w:pStyle w:val="Sinespaciado"/>
        <w:numPr>
          <w:ilvl w:val="0"/>
          <w:numId w:val="9"/>
        </w:numPr>
        <w:spacing w:line="360" w:lineRule="auto"/>
        <w:jc w:val="both"/>
        <w:rPr>
          <w:rFonts w:ascii="Arial" w:hAnsi="Arial" w:cs="Arial"/>
          <w:sz w:val="26"/>
          <w:szCs w:val="26"/>
        </w:rPr>
      </w:pPr>
      <w:r>
        <w:rPr>
          <w:rFonts w:ascii="Arial" w:hAnsi="Arial" w:cs="Arial"/>
          <w:sz w:val="26"/>
          <w:szCs w:val="26"/>
        </w:rPr>
        <w:t xml:space="preserve">Inconforme con dicha determinación, el actor interpuso recurso, el cual al resolverse se confirmó por esta Sala Superior, al considerar que la determinación contenida en auto de 25 veinticinco de agosto de 2017 dos mil diecisiete, </w:t>
      </w:r>
      <w:r>
        <w:rPr>
          <w:rFonts w:ascii="Arial" w:hAnsi="Arial" w:cs="Arial"/>
          <w:sz w:val="26"/>
          <w:szCs w:val="26"/>
        </w:rPr>
        <w:lastRenderedPageBreak/>
        <w:t>cumple con las consideraciones contenidas en la sentencia definitiva y porque los argumentos del recurrente, van dirigidos a controvertir cuestiones que no son motivo del auto recurrido.</w:t>
      </w:r>
    </w:p>
    <w:p w:rsidR="00734D70" w:rsidRDefault="007D2A13" w:rsidP="006E3954">
      <w:pPr>
        <w:pStyle w:val="Sinespaciado"/>
        <w:numPr>
          <w:ilvl w:val="0"/>
          <w:numId w:val="9"/>
        </w:numPr>
        <w:spacing w:line="360" w:lineRule="auto"/>
        <w:jc w:val="both"/>
        <w:rPr>
          <w:rFonts w:ascii="Arial" w:eastAsia="Calibri" w:hAnsi="Arial" w:cs="Arial"/>
          <w:bCs/>
          <w:sz w:val="26"/>
          <w:szCs w:val="26"/>
        </w:rPr>
      </w:pPr>
      <w:r w:rsidRPr="004A75E0">
        <w:rPr>
          <w:rFonts w:ascii="Arial" w:hAnsi="Arial" w:cs="Arial"/>
          <w:sz w:val="26"/>
          <w:szCs w:val="26"/>
        </w:rPr>
        <w:t xml:space="preserve">En contra de dicha determinación, </w:t>
      </w:r>
      <w:r w:rsidRPr="004A75E0">
        <w:rPr>
          <w:rFonts w:ascii="Arial" w:hAnsi="Arial" w:cs="Arial"/>
          <w:bCs/>
          <w:sz w:val="26"/>
          <w:szCs w:val="26"/>
        </w:rPr>
        <w:t>el actor promovió amparo ante el Tribunal Colegiado en Materias de Trabajo y Administrativa del Decimotercer Circuito; sin embargo, el Pleno de dicho Tribunal, determinó carecer de competencia para conocer de la aludida demanda de amparo</w:t>
      </w:r>
      <w:r w:rsidRPr="004A75E0">
        <w:rPr>
          <w:rFonts w:ascii="Arial" w:hAnsi="Arial" w:cs="Arial"/>
          <w:sz w:val="26"/>
          <w:szCs w:val="26"/>
        </w:rPr>
        <w:t xml:space="preserve">, por lo que ordenó su remisión al Juez de Distrito en el Estado; tocando por razón de turno al Juzgado Decimoprimero de Distrito, con residencia en San Bartolo </w:t>
      </w:r>
      <w:proofErr w:type="spellStart"/>
      <w:r w:rsidRPr="004A75E0">
        <w:rPr>
          <w:rFonts w:ascii="Arial" w:hAnsi="Arial" w:cs="Arial"/>
          <w:sz w:val="26"/>
          <w:szCs w:val="26"/>
        </w:rPr>
        <w:t>Coyotepec</w:t>
      </w:r>
      <w:proofErr w:type="spellEnd"/>
      <w:r w:rsidRPr="004A75E0">
        <w:rPr>
          <w:rFonts w:ascii="Arial" w:hAnsi="Arial" w:cs="Arial"/>
          <w:sz w:val="26"/>
          <w:szCs w:val="26"/>
        </w:rPr>
        <w:t>, Oaxaca</w:t>
      </w:r>
      <w:r w:rsidRPr="004A75E0">
        <w:rPr>
          <w:rFonts w:ascii="Arial" w:hAnsi="Arial" w:cs="Arial"/>
          <w:bCs/>
          <w:sz w:val="26"/>
          <w:szCs w:val="26"/>
        </w:rPr>
        <w:t xml:space="preserve">, el cual, concedió el AMPARO Y PROTECCIÓN DE LA JUSTICIA FEDERAL al quejoso mediante resolución de </w:t>
      </w:r>
      <w:r w:rsidRPr="004A75E0">
        <w:rPr>
          <w:rFonts w:ascii="Arial" w:hAnsi="Arial" w:cs="Arial"/>
          <w:sz w:val="26"/>
          <w:szCs w:val="26"/>
        </w:rPr>
        <w:t xml:space="preserve">05 cinco de diciembre de 2017 dos mil diecisiete, para que efecto de que se deje insubsistente la resolución de 23 veintitrés de febrero de 2017 dos mil diecisiete y se emita otra, en la que de manera fundada y motivada, siguiente los lineamientos de la sentencia, se </w:t>
      </w:r>
      <w:r w:rsidR="00406661" w:rsidRPr="004A75E0">
        <w:rPr>
          <w:rFonts w:ascii="Arial" w:hAnsi="Arial" w:cs="Arial"/>
          <w:sz w:val="26"/>
          <w:szCs w:val="26"/>
        </w:rPr>
        <w:t>pronuncie sobre el debido cumplimiento o no de la sentencia dictada en el juicio de nulidad 358/2016.</w:t>
      </w:r>
      <w:r w:rsidR="00734D70">
        <w:rPr>
          <w:rFonts w:ascii="Arial" w:hAnsi="Arial" w:cs="Arial"/>
          <w:sz w:val="26"/>
          <w:szCs w:val="26"/>
        </w:rPr>
        <w:t xml:space="preserve"> </w:t>
      </w:r>
      <w:r w:rsidR="00734D70" w:rsidRPr="00734D70">
        <w:rPr>
          <w:rFonts w:ascii="Arial" w:eastAsia="Calibri" w:hAnsi="Arial" w:cs="Arial"/>
          <w:bCs/>
          <w:sz w:val="26"/>
          <w:szCs w:val="26"/>
          <w:highlight w:val="yellow"/>
        </w:rPr>
        <w:t xml:space="preserve"> </w:t>
      </w:r>
    </w:p>
    <w:p w:rsidR="0084263B" w:rsidRDefault="00980291" w:rsidP="0084263B">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E</w:t>
      </w:r>
      <w:r w:rsidRPr="006F173F">
        <w:rPr>
          <w:rFonts w:ascii="Arial" w:eastAsia="Calibri" w:hAnsi="Arial" w:cs="Arial"/>
          <w:bCs/>
          <w:sz w:val="26"/>
          <w:szCs w:val="26"/>
        </w:rPr>
        <w:t xml:space="preserve">n cuanto a la manifestación del disconforme que la determinación </w:t>
      </w:r>
      <w:r w:rsidRPr="004A1814">
        <w:rPr>
          <w:rFonts w:ascii="Arial" w:eastAsia="Calibri" w:hAnsi="Arial" w:cs="Arial"/>
          <w:bCs/>
          <w:i/>
          <w:sz w:val="26"/>
          <w:szCs w:val="26"/>
        </w:rPr>
        <w:t>“turnar al Secretario de Vialidad y Transporte”</w:t>
      </w:r>
      <w:r w:rsidRPr="006F173F">
        <w:rPr>
          <w:rFonts w:ascii="Arial" w:eastAsia="Calibri" w:hAnsi="Arial" w:cs="Arial"/>
          <w:bCs/>
          <w:sz w:val="26"/>
          <w:szCs w:val="26"/>
        </w:rPr>
        <w:t xml:space="preserve"> es ilegal, es </w:t>
      </w:r>
      <w:r w:rsidRPr="006F173F">
        <w:rPr>
          <w:rFonts w:ascii="Arial" w:eastAsia="Calibri" w:hAnsi="Arial" w:cs="Arial"/>
          <w:b/>
          <w:bCs/>
          <w:sz w:val="26"/>
          <w:szCs w:val="26"/>
        </w:rPr>
        <w:t xml:space="preserve">inatendible </w:t>
      </w:r>
      <w:r w:rsidRPr="006F173F">
        <w:rPr>
          <w:rFonts w:ascii="Arial" w:eastAsia="Calibri" w:hAnsi="Arial" w:cs="Arial"/>
          <w:bCs/>
          <w:sz w:val="26"/>
          <w:szCs w:val="26"/>
        </w:rPr>
        <w:t>porque está controvirtiendo una nueva determinación de la autoridad demandada y el recurso de revisión no es la vía legal para hacerlo, virtud que la revisión es un medio de defensa que tiene por objetivo analizar si la a</w:t>
      </w:r>
      <w:r>
        <w:rPr>
          <w:rFonts w:ascii="Arial" w:eastAsia="Calibri" w:hAnsi="Arial" w:cs="Arial"/>
          <w:bCs/>
          <w:sz w:val="26"/>
          <w:szCs w:val="26"/>
        </w:rPr>
        <w:t>ctuación de la jurisdicción en Primera I</w:t>
      </w:r>
      <w:r w:rsidRPr="006F173F">
        <w:rPr>
          <w:rFonts w:ascii="Arial" w:eastAsia="Calibri" w:hAnsi="Arial" w:cs="Arial"/>
          <w:bCs/>
          <w:sz w:val="26"/>
          <w:szCs w:val="26"/>
        </w:rPr>
        <w:t xml:space="preserve">nstancia es legal y no corresponde un análisis sobre un acto distinto que no formó parte de la </w:t>
      </w:r>
      <w:proofErr w:type="spellStart"/>
      <w:r w:rsidRPr="006F173F">
        <w:rPr>
          <w:rFonts w:ascii="Arial" w:eastAsia="Calibri" w:hAnsi="Arial" w:cs="Arial"/>
          <w:bCs/>
          <w:sz w:val="26"/>
          <w:szCs w:val="26"/>
        </w:rPr>
        <w:t>litis</w:t>
      </w:r>
      <w:proofErr w:type="spellEnd"/>
      <w:r w:rsidRPr="006F173F">
        <w:rPr>
          <w:rFonts w:ascii="Arial" w:eastAsia="Calibri" w:hAnsi="Arial" w:cs="Arial"/>
          <w:bCs/>
          <w:sz w:val="26"/>
          <w:szCs w:val="26"/>
        </w:rPr>
        <w:t xml:space="preserve"> som</w:t>
      </w:r>
      <w:r>
        <w:rPr>
          <w:rFonts w:ascii="Arial" w:eastAsia="Calibri" w:hAnsi="Arial" w:cs="Arial"/>
          <w:bCs/>
          <w:sz w:val="26"/>
          <w:szCs w:val="26"/>
        </w:rPr>
        <w:t>etida a la consideración de la Sala P</w:t>
      </w:r>
      <w:r w:rsidRPr="006F173F">
        <w:rPr>
          <w:rFonts w:ascii="Arial" w:eastAsia="Calibri" w:hAnsi="Arial" w:cs="Arial"/>
          <w:bCs/>
          <w:sz w:val="26"/>
          <w:szCs w:val="26"/>
        </w:rPr>
        <w:t>rimigenia. Además que, en todo caso, lo procedente sería realizar un estudio sobre el cumplimiento del fallo</w:t>
      </w:r>
      <w:r>
        <w:rPr>
          <w:rFonts w:ascii="Arial" w:eastAsia="Calibri" w:hAnsi="Arial" w:cs="Arial"/>
          <w:bCs/>
          <w:sz w:val="26"/>
          <w:szCs w:val="26"/>
        </w:rPr>
        <w:t xml:space="preserve">, </w:t>
      </w:r>
      <w:r w:rsidRPr="006F173F">
        <w:rPr>
          <w:rFonts w:ascii="Arial" w:eastAsia="Calibri" w:hAnsi="Arial" w:cs="Arial"/>
          <w:bCs/>
          <w:sz w:val="26"/>
          <w:szCs w:val="26"/>
        </w:rPr>
        <w:t>acorde a sus lineamientos y alcances jurídicos, más no sobre la legalidad de la actuación de la autoridad, pues tal estudio constituye un estudio de fondo que no es materia ni del pronunciamiento respecto al cumplimiento de la sentencia</w:t>
      </w:r>
      <w:r>
        <w:rPr>
          <w:rFonts w:ascii="Arial" w:eastAsia="Calibri" w:hAnsi="Arial" w:cs="Arial"/>
          <w:bCs/>
          <w:sz w:val="26"/>
          <w:szCs w:val="26"/>
        </w:rPr>
        <w:t>,</w:t>
      </w:r>
      <w:r w:rsidRPr="006F173F">
        <w:rPr>
          <w:rFonts w:ascii="Arial" w:eastAsia="Calibri" w:hAnsi="Arial" w:cs="Arial"/>
          <w:bCs/>
          <w:sz w:val="26"/>
          <w:szCs w:val="26"/>
        </w:rPr>
        <w:t xml:space="preserve"> ni del recurso de revisión</w:t>
      </w:r>
      <w:r w:rsidR="0084263B">
        <w:rPr>
          <w:rFonts w:ascii="Arial" w:eastAsia="Calibri" w:hAnsi="Arial" w:cs="Arial"/>
          <w:bCs/>
          <w:sz w:val="26"/>
          <w:szCs w:val="26"/>
        </w:rPr>
        <w:t>.</w:t>
      </w:r>
    </w:p>
    <w:p w:rsidR="00980291" w:rsidRPr="006F173F" w:rsidRDefault="00980291" w:rsidP="0084263B">
      <w:pPr>
        <w:pStyle w:val="Sinespaciado"/>
        <w:spacing w:line="360" w:lineRule="auto"/>
        <w:ind w:firstLine="567"/>
        <w:jc w:val="both"/>
        <w:rPr>
          <w:rFonts w:ascii="Arial" w:hAnsi="Arial" w:cs="Arial"/>
          <w:sz w:val="26"/>
          <w:szCs w:val="26"/>
        </w:rPr>
      </w:pPr>
      <w:r w:rsidRPr="006F173F">
        <w:rPr>
          <w:rFonts w:ascii="Arial" w:eastAsia="Calibri" w:hAnsi="Arial" w:cs="Arial"/>
          <w:bCs/>
          <w:sz w:val="26"/>
          <w:szCs w:val="26"/>
        </w:rPr>
        <w:t xml:space="preserve">Estas consideraciones encuentran apoyo en la jurisprudencia </w:t>
      </w:r>
      <w:r w:rsidRPr="006F173F">
        <w:rPr>
          <w:rFonts w:ascii="Arial" w:hAnsi="Arial" w:cs="Arial"/>
          <w:sz w:val="26"/>
          <w:szCs w:val="26"/>
        </w:rPr>
        <w:t xml:space="preserve">1a./J. 121/2013 (10a.) de la Primera Sala pronunciada en la décima época, y publicada en la Gaceta del Semanario Judicial de la </w:t>
      </w:r>
      <w:r w:rsidRPr="006F173F">
        <w:rPr>
          <w:rFonts w:ascii="Arial" w:hAnsi="Arial" w:cs="Arial"/>
          <w:sz w:val="26"/>
          <w:szCs w:val="26"/>
        </w:rPr>
        <w:lastRenderedPageBreak/>
        <w:t>Federación, en el Libro 2 de enero de 2014, bajo el tomo II, y consultable a página 786, bajo el rubro y texto siguientes</w:t>
      </w:r>
      <w:r w:rsidR="0084263B">
        <w:rPr>
          <w:rFonts w:ascii="Arial" w:hAnsi="Arial" w:cs="Arial"/>
          <w:sz w:val="26"/>
          <w:szCs w:val="26"/>
        </w:rPr>
        <w:t>:</w:t>
      </w:r>
      <w:r>
        <w:rPr>
          <w:rFonts w:ascii="Arial" w:hAnsi="Arial" w:cs="Arial"/>
          <w:sz w:val="26"/>
          <w:szCs w:val="26"/>
        </w:rPr>
        <w:t xml:space="preserve"> </w:t>
      </w:r>
    </w:p>
    <w:p w:rsidR="00980291" w:rsidRPr="002950F9" w:rsidRDefault="00980291" w:rsidP="00980291">
      <w:pPr>
        <w:spacing w:line="360" w:lineRule="auto"/>
        <w:ind w:left="851" w:right="618"/>
        <w:jc w:val="both"/>
        <w:rPr>
          <w:rFonts w:ascii="Arial" w:hAnsi="Arial" w:cs="Arial"/>
          <w:i/>
        </w:rPr>
      </w:pPr>
      <w:r w:rsidRPr="002950F9">
        <w:rPr>
          <w:rFonts w:ascii="Arial" w:hAnsi="Arial" w:cs="Arial"/>
          <w:i/>
        </w:rPr>
        <w:t>“</w:t>
      </w:r>
      <w:r w:rsidRPr="002950F9">
        <w:rPr>
          <w:rFonts w:ascii="Arial" w:hAnsi="Arial" w:cs="Arial"/>
          <w:b/>
          <w:i/>
        </w:rPr>
        <w:t>RECURSO DE INCONFORMIDAD. SON INOPERANTES LOS AGRAVIOS QUE NO CONTROVIERTEN LO RESUELTO POR EL ÓRGANO DE AMPARO EN RELACIÓN CON EL CUMPLIMIENTO DEL FALLO PROTECTOR.</w:t>
      </w:r>
      <w:r w:rsidRPr="002950F9">
        <w:rPr>
          <w:rFonts w:ascii="Arial" w:hAnsi="Arial" w:cs="Arial"/>
          <w:i/>
        </w:rPr>
        <w:t xml:space="preserve"> El hecho de que el artículo 196 de la Ley de Amparo, publicada en el Diario Oficial de la Federación el 2 de abril de 2013, establezca que la ejecutoria de amparo se entiende cumplida cuando lo sea en su totalidad, sin excesos ni defectos, no implica el estudio de aspectos que no fueron materia de análisis en el juicio de amparo, sino exclusivamente del exacto cumplimiento de las cuestiones que sí lo fueron, concretamente, de aquellas que dieron lugar a la concesión de la protección de la Justicia Federal. Por tanto, los agravios expuestos en el recurso de inconformidad resultan inoperantes cuando no controvierten lo resuelto por el órgano de amparo en relación con el cumplimiento del fallo dictado en el juicio, sino la forma en que la autoridad responsable cumplió con la sentencia protectora, con la pretensión de analizar aspectos ajenos a la materia del recurso de inconformidad hecho valer.”</w:t>
      </w:r>
      <w:r>
        <w:rPr>
          <w:rFonts w:ascii="Arial" w:hAnsi="Arial" w:cs="Arial"/>
          <w:i/>
        </w:rPr>
        <w:t>- - - - - - - - - - - -</w:t>
      </w:r>
    </w:p>
    <w:p w:rsidR="0084263B" w:rsidRDefault="00F23799" w:rsidP="0084263B">
      <w:pPr>
        <w:pStyle w:val="Sinespaciado"/>
        <w:spacing w:line="360" w:lineRule="auto"/>
        <w:ind w:firstLine="567"/>
        <w:jc w:val="both"/>
        <w:rPr>
          <w:rFonts w:ascii="Arial" w:eastAsia="Calibri" w:hAnsi="Arial" w:cs="Arial"/>
          <w:bCs/>
          <w:sz w:val="26"/>
          <w:szCs w:val="26"/>
        </w:rPr>
      </w:pPr>
      <w:r>
        <w:rPr>
          <w:noProof/>
        </w:rPr>
        <mc:AlternateContent>
          <mc:Choice Requires="wps">
            <w:drawing>
              <wp:anchor distT="0" distB="0" distL="114300" distR="114300" simplePos="0" relativeHeight="251667456" behindDoc="0" locked="0" layoutInCell="1" allowOverlap="1" wp14:anchorId="53689280" wp14:editId="6DC90C58">
                <wp:simplePos x="0" y="0"/>
                <wp:positionH relativeFrom="column">
                  <wp:posOffset>5363210</wp:posOffset>
                </wp:positionH>
                <wp:positionV relativeFrom="paragraph">
                  <wp:posOffset>2938780</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2.3pt;margin-top:231.4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">
                <v:textbox>
                  <w:txbxContent>
                    <w:p w:rsidR="00F23799" w:rsidRPr="00A6596B" w:rsidRDefault="00F23799" w:rsidP="00F23799">
                      <w:pPr>
                        <w:rPr>
                          <w:sz w:val="16"/>
                          <w:szCs w:val="16"/>
                        </w:rPr>
                      </w:pPr>
                      <w:r>
                        <w:rPr>
                          <w:sz w:val="16"/>
                          <w:szCs w:val="16"/>
                        </w:rPr>
                        <w:t>Datos personales protegidos por el Art. 116 de la LGTAIP y el Art. 56 de la LTAIPEO</w:t>
                      </w:r>
                    </w:p>
                  </w:txbxContent>
                </v:textbox>
              </v:shape>
            </w:pict>
          </mc:Fallback>
        </mc:AlternateContent>
      </w:r>
      <w:r w:rsidR="00980291">
        <w:rPr>
          <w:rFonts w:ascii="Arial" w:eastAsia="Calibri" w:hAnsi="Arial" w:cs="Arial"/>
          <w:bCs/>
          <w:sz w:val="26"/>
          <w:szCs w:val="26"/>
          <w:lang w:val="es-MX"/>
        </w:rPr>
        <w:t>Por</w:t>
      </w:r>
      <w:r w:rsidR="00980291" w:rsidRPr="002950F9">
        <w:rPr>
          <w:rFonts w:ascii="Arial" w:eastAsia="Calibri" w:hAnsi="Arial" w:cs="Arial"/>
          <w:bCs/>
          <w:sz w:val="26"/>
          <w:szCs w:val="26"/>
          <w:lang w:val="es-MX"/>
        </w:rPr>
        <w:t xml:space="preserve"> otra parte,</w:t>
      </w:r>
      <w:r w:rsidR="00980291" w:rsidRPr="006F173F">
        <w:rPr>
          <w:rFonts w:ascii="Arial" w:eastAsia="Calibri" w:hAnsi="Arial" w:cs="Arial"/>
          <w:b/>
          <w:bCs/>
          <w:sz w:val="26"/>
          <w:szCs w:val="26"/>
          <w:lang w:val="es-MX"/>
        </w:rPr>
        <w:t xml:space="preserve"> </w:t>
      </w:r>
      <w:r w:rsidR="00980291">
        <w:rPr>
          <w:rFonts w:ascii="Arial" w:eastAsia="Calibri" w:hAnsi="Arial" w:cs="Arial"/>
          <w:bCs/>
          <w:sz w:val="26"/>
          <w:szCs w:val="26"/>
          <w:lang w:val="es-MX"/>
        </w:rPr>
        <w:t xml:space="preserve">el recurrente </w:t>
      </w:r>
      <w:r w:rsidR="00980291" w:rsidRPr="006F173F">
        <w:rPr>
          <w:rFonts w:ascii="Arial" w:eastAsia="Calibri" w:hAnsi="Arial" w:cs="Arial"/>
          <w:bCs/>
          <w:sz w:val="26"/>
          <w:szCs w:val="26"/>
          <w:lang w:val="es-MX"/>
        </w:rPr>
        <w:t>también indica ilegalidad en la determinación alzada, esencialmente porque a</w:t>
      </w:r>
      <w:r w:rsidR="00980291">
        <w:rPr>
          <w:rFonts w:ascii="Arial" w:eastAsia="Calibri" w:hAnsi="Arial" w:cs="Arial"/>
          <w:bCs/>
          <w:sz w:val="26"/>
          <w:szCs w:val="26"/>
          <w:lang w:val="es-MX"/>
        </w:rPr>
        <w:t>rgumenta que la Primera I</w:t>
      </w:r>
      <w:r w:rsidR="00980291" w:rsidRPr="006F173F">
        <w:rPr>
          <w:rFonts w:ascii="Arial" w:eastAsia="Calibri" w:hAnsi="Arial" w:cs="Arial"/>
          <w:bCs/>
          <w:sz w:val="26"/>
          <w:szCs w:val="26"/>
          <w:lang w:val="es-MX"/>
        </w:rPr>
        <w:t>nstancia contraviene lo dispuesto por el artículo 177, fracciones I y II de la Ley de Justicia Administrativa para el Estado de Oaxaca, fundamentalmente, porque sostiene que el Secretario de Vialidad y Transporte es una autoridad incompetente para resolver lo relativo a la renovación de la concesión, p</w:t>
      </w:r>
      <w:r w:rsidR="00980291">
        <w:rPr>
          <w:rFonts w:ascii="Arial" w:eastAsia="Calibri" w:hAnsi="Arial" w:cs="Arial"/>
          <w:bCs/>
          <w:sz w:val="26"/>
          <w:szCs w:val="26"/>
          <w:lang w:val="es-MX"/>
        </w:rPr>
        <w:t>or lo que es incorrecto que la Primera I</w:t>
      </w:r>
      <w:r w:rsidR="00980291" w:rsidRPr="006F173F">
        <w:rPr>
          <w:rFonts w:ascii="Arial" w:eastAsia="Calibri" w:hAnsi="Arial" w:cs="Arial"/>
          <w:bCs/>
          <w:sz w:val="26"/>
          <w:szCs w:val="26"/>
          <w:lang w:val="es-MX"/>
        </w:rPr>
        <w:t xml:space="preserve">nstancia haya tenido por cumplida la sentencia de fondo con el oficio </w:t>
      </w:r>
      <w:r w:rsidR="00A93954">
        <w:rPr>
          <w:rFonts w:ascii="Arial" w:eastAsia="Calibri" w:hAnsi="Arial" w:cs="Arial"/>
          <w:b/>
          <w:bCs/>
          <w:sz w:val="26"/>
          <w:szCs w:val="26"/>
        </w:rPr>
        <w:t>SEVITRA/DJ/DCAA/</w:t>
      </w:r>
      <w:r w:rsidR="0000435C">
        <w:rPr>
          <w:rFonts w:ascii="Arial" w:eastAsia="Calibri" w:hAnsi="Arial" w:cs="Arial"/>
          <w:b/>
          <w:bCs/>
          <w:sz w:val="26"/>
          <w:szCs w:val="26"/>
        </w:rPr>
        <w:t>1727</w:t>
      </w:r>
      <w:r w:rsidR="00A93954">
        <w:rPr>
          <w:rFonts w:ascii="Arial" w:eastAsia="Calibri" w:hAnsi="Arial" w:cs="Arial"/>
          <w:b/>
          <w:bCs/>
          <w:sz w:val="26"/>
          <w:szCs w:val="26"/>
        </w:rPr>
        <w:t>/201</w:t>
      </w:r>
      <w:r w:rsidR="0000435C">
        <w:rPr>
          <w:rFonts w:ascii="Arial" w:eastAsia="Calibri" w:hAnsi="Arial" w:cs="Arial"/>
          <w:b/>
          <w:bCs/>
          <w:sz w:val="26"/>
          <w:szCs w:val="26"/>
        </w:rPr>
        <w:t>6</w:t>
      </w:r>
      <w:r w:rsidR="00613986">
        <w:rPr>
          <w:rFonts w:ascii="Arial" w:eastAsia="Calibri" w:hAnsi="Arial" w:cs="Arial"/>
          <w:b/>
          <w:bCs/>
          <w:sz w:val="26"/>
          <w:szCs w:val="26"/>
        </w:rPr>
        <w:t xml:space="preserve">, </w:t>
      </w:r>
      <w:r w:rsidR="00613986">
        <w:rPr>
          <w:rFonts w:ascii="Arial" w:eastAsia="Calibri" w:hAnsi="Arial" w:cs="Arial"/>
          <w:bCs/>
          <w:sz w:val="26"/>
          <w:szCs w:val="26"/>
        </w:rPr>
        <w:t xml:space="preserve">con el cual la Directora de Concesiones de la </w:t>
      </w:r>
      <w:r w:rsidR="00980291" w:rsidRPr="006F173F">
        <w:rPr>
          <w:rFonts w:ascii="Arial" w:eastAsia="Calibri" w:hAnsi="Arial" w:cs="Arial"/>
          <w:bCs/>
          <w:sz w:val="26"/>
          <w:szCs w:val="26"/>
        </w:rPr>
        <w:t>Secretar</w:t>
      </w:r>
      <w:r w:rsidR="00613986">
        <w:rPr>
          <w:rFonts w:ascii="Arial" w:eastAsia="Calibri" w:hAnsi="Arial" w:cs="Arial"/>
          <w:bCs/>
          <w:sz w:val="26"/>
          <w:szCs w:val="26"/>
        </w:rPr>
        <w:t>ía</w:t>
      </w:r>
      <w:r w:rsidR="00980291" w:rsidRPr="006F173F">
        <w:rPr>
          <w:rFonts w:ascii="Arial" w:eastAsia="Calibri" w:hAnsi="Arial" w:cs="Arial"/>
          <w:bCs/>
          <w:sz w:val="26"/>
          <w:szCs w:val="26"/>
        </w:rPr>
        <w:t xml:space="preserve"> de Vialidad y Transporte</w:t>
      </w:r>
      <w:r w:rsidR="00613986">
        <w:rPr>
          <w:rFonts w:ascii="Arial" w:eastAsia="Calibri" w:hAnsi="Arial" w:cs="Arial"/>
          <w:bCs/>
          <w:sz w:val="26"/>
          <w:szCs w:val="26"/>
        </w:rPr>
        <w:t xml:space="preserve">, remite </w:t>
      </w:r>
      <w:r w:rsidR="00980291" w:rsidRPr="006F173F">
        <w:rPr>
          <w:rFonts w:ascii="Arial" w:eastAsia="Calibri" w:hAnsi="Arial" w:cs="Arial"/>
          <w:bCs/>
          <w:sz w:val="26"/>
          <w:szCs w:val="26"/>
        </w:rPr>
        <w:t xml:space="preserve">copia certificada de resolución de </w:t>
      </w:r>
      <w:r w:rsidR="00613986">
        <w:rPr>
          <w:rFonts w:ascii="Arial" w:eastAsia="Calibri" w:hAnsi="Arial" w:cs="Arial"/>
          <w:bCs/>
          <w:sz w:val="26"/>
          <w:szCs w:val="26"/>
        </w:rPr>
        <w:t>18</w:t>
      </w:r>
      <w:r w:rsidR="00CE1095">
        <w:rPr>
          <w:rFonts w:ascii="Arial" w:eastAsia="Calibri" w:hAnsi="Arial" w:cs="Arial"/>
          <w:bCs/>
          <w:sz w:val="26"/>
          <w:szCs w:val="26"/>
        </w:rPr>
        <w:t xml:space="preserve"> </w:t>
      </w:r>
      <w:r w:rsidR="00613986">
        <w:rPr>
          <w:rFonts w:ascii="Arial" w:eastAsia="Calibri" w:hAnsi="Arial" w:cs="Arial"/>
          <w:bCs/>
          <w:sz w:val="26"/>
          <w:szCs w:val="26"/>
        </w:rPr>
        <w:t>dieciocho de abril de 201</w:t>
      </w:r>
      <w:r w:rsidR="00A93954">
        <w:rPr>
          <w:rFonts w:ascii="Arial" w:eastAsia="Calibri" w:hAnsi="Arial" w:cs="Arial"/>
          <w:bCs/>
          <w:sz w:val="26"/>
          <w:szCs w:val="26"/>
        </w:rPr>
        <w:t>6</w:t>
      </w:r>
      <w:r w:rsidR="00613986">
        <w:rPr>
          <w:rFonts w:ascii="Arial" w:eastAsia="Calibri" w:hAnsi="Arial" w:cs="Arial"/>
          <w:bCs/>
          <w:sz w:val="26"/>
          <w:szCs w:val="26"/>
        </w:rPr>
        <w:t xml:space="preserve"> dos mil </w:t>
      </w:r>
      <w:r w:rsidR="0000435C">
        <w:rPr>
          <w:rFonts w:ascii="Arial" w:eastAsia="Calibri" w:hAnsi="Arial" w:cs="Arial"/>
          <w:bCs/>
          <w:sz w:val="26"/>
          <w:szCs w:val="26"/>
        </w:rPr>
        <w:t>dieciséis</w:t>
      </w:r>
      <w:r w:rsidR="00980291" w:rsidRPr="006F173F">
        <w:rPr>
          <w:rFonts w:ascii="Arial" w:eastAsia="Calibri" w:hAnsi="Arial" w:cs="Arial"/>
          <w:bCs/>
          <w:sz w:val="26"/>
          <w:szCs w:val="26"/>
        </w:rPr>
        <w:t xml:space="preserve">, en la que </w:t>
      </w:r>
      <w:r w:rsidR="00613986">
        <w:rPr>
          <w:rFonts w:ascii="Arial" w:eastAsia="Calibri" w:hAnsi="Arial" w:cs="Arial"/>
          <w:bCs/>
          <w:sz w:val="26"/>
          <w:szCs w:val="26"/>
        </w:rPr>
        <w:t>se declara incompetente para seguir conociendo de la petición de renovación de concesión del actor y la turna a</w:t>
      </w:r>
      <w:r w:rsidR="00CE1095">
        <w:rPr>
          <w:rFonts w:ascii="Arial" w:eastAsia="Calibri" w:hAnsi="Arial" w:cs="Arial"/>
          <w:bCs/>
          <w:sz w:val="26"/>
          <w:szCs w:val="26"/>
        </w:rPr>
        <w:t xml:space="preserve"> </w:t>
      </w:r>
      <w:r w:rsidR="00613986">
        <w:rPr>
          <w:rFonts w:ascii="Arial" w:eastAsia="Calibri" w:hAnsi="Arial" w:cs="Arial"/>
          <w:bCs/>
          <w:sz w:val="26"/>
          <w:szCs w:val="26"/>
        </w:rPr>
        <w:t>l</w:t>
      </w:r>
      <w:r w:rsidR="00CE1095">
        <w:rPr>
          <w:rFonts w:ascii="Arial" w:eastAsia="Calibri" w:hAnsi="Arial" w:cs="Arial"/>
          <w:bCs/>
          <w:sz w:val="26"/>
          <w:szCs w:val="26"/>
        </w:rPr>
        <w:t xml:space="preserve">a autoridad competente para hacerlo, </w:t>
      </w:r>
      <w:r w:rsidR="00613986">
        <w:rPr>
          <w:rFonts w:ascii="Arial" w:eastAsia="Calibri" w:hAnsi="Arial" w:cs="Arial"/>
          <w:bCs/>
          <w:sz w:val="26"/>
          <w:szCs w:val="26"/>
        </w:rPr>
        <w:t xml:space="preserve">Secretario de Vialidad y Transporte del Estado de Oaxaca, </w:t>
      </w:r>
      <w:r w:rsidR="001E61DA">
        <w:rPr>
          <w:rFonts w:ascii="Arial" w:eastAsia="Calibri" w:hAnsi="Arial" w:cs="Arial"/>
          <w:bCs/>
          <w:sz w:val="26"/>
          <w:szCs w:val="26"/>
        </w:rPr>
        <w:t>el cual señala c</w:t>
      </w:r>
      <w:r w:rsidR="00980291" w:rsidRPr="006F173F">
        <w:rPr>
          <w:rFonts w:ascii="Arial" w:eastAsia="Calibri" w:hAnsi="Arial" w:cs="Arial"/>
          <w:bCs/>
          <w:sz w:val="26"/>
          <w:szCs w:val="26"/>
        </w:rPr>
        <w:t>arece de facultades expresamente conferidas por la ley para atender su petici</w:t>
      </w:r>
      <w:r w:rsidR="00613986">
        <w:rPr>
          <w:rFonts w:ascii="Arial" w:eastAsia="Calibri" w:hAnsi="Arial" w:cs="Arial"/>
          <w:bCs/>
          <w:sz w:val="26"/>
          <w:szCs w:val="26"/>
        </w:rPr>
        <w:t>ón</w:t>
      </w:r>
      <w:r w:rsidR="00980291">
        <w:rPr>
          <w:rFonts w:ascii="Arial" w:eastAsia="Calibri" w:hAnsi="Arial" w:cs="Arial"/>
          <w:bCs/>
          <w:sz w:val="26"/>
          <w:szCs w:val="26"/>
        </w:rPr>
        <w:t>.</w:t>
      </w:r>
      <w:r w:rsidR="0084263B">
        <w:rPr>
          <w:rFonts w:ascii="Arial" w:eastAsia="Calibri" w:hAnsi="Arial" w:cs="Arial"/>
          <w:bCs/>
          <w:sz w:val="26"/>
          <w:szCs w:val="26"/>
        </w:rPr>
        <w:t xml:space="preserve"> </w:t>
      </w:r>
    </w:p>
    <w:p w:rsidR="00734D70" w:rsidRDefault="00734D70" w:rsidP="0084263B">
      <w:pPr>
        <w:pStyle w:val="Sinespaciado"/>
        <w:spacing w:line="360" w:lineRule="auto"/>
        <w:ind w:firstLine="567"/>
        <w:jc w:val="both"/>
        <w:rPr>
          <w:rFonts w:ascii="Arial" w:hAnsi="Arial" w:cs="Arial"/>
          <w:sz w:val="26"/>
          <w:szCs w:val="26"/>
        </w:rPr>
      </w:pPr>
      <w:r w:rsidRPr="00430DE6">
        <w:rPr>
          <w:rFonts w:ascii="Arial" w:hAnsi="Arial" w:cs="Arial"/>
          <w:b/>
          <w:sz w:val="26"/>
          <w:szCs w:val="26"/>
        </w:rPr>
        <w:t>Ahora,</w:t>
      </w:r>
      <w:r>
        <w:rPr>
          <w:rFonts w:ascii="Arial" w:hAnsi="Arial" w:cs="Arial"/>
          <w:sz w:val="26"/>
          <w:szCs w:val="26"/>
        </w:rPr>
        <w:t xml:space="preserve"> en </w:t>
      </w:r>
      <w:r w:rsidRPr="00AF22D2">
        <w:rPr>
          <w:rFonts w:ascii="Arial" w:hAnsi="Arial" w:cs="Arial"/>
          <w:sz w:val="26"/>
          <w:szCs w:val="26"/>
        </w:rPr>
        <w:t>la sentencia dic</w:t>
      </w:r>
      <w:r w:rsidR="00AF22D2" w:rsidRPr="00AF22D2">
        <w:rPr>
          <w:rFonts w:ascii="Arial" w:hAnsi="Arial" w:cs="Arial"/>
          <w:sz w:val="26"/>
          <w:szCs w:val="26"/>
        </w:rPr>
        <w:t>tada el 15 quince de noviembre de  2013 dos mil trece,</w:t>
      </w:r>
      <w:r w:rsidRPr="00AF22D2">
        <w:rPr>
          <w:rFonts w:ascii="Arial" w:hAnsi="Arial" w:cs="Arial"/>
          <w:sz w:val="26"/>
          <w:szCs w:val="26"/>
        </w:rPr>
        <w:t xml:space="preserve"> se declaró la </w:t>
      </w:r>
      <w:r w:rsidRPr="00897993">
        <w:rPr>
          <w:rFonts w:ascii="Arial" w:hAnsi="Arial" w:cs="Arial"/>
          <w:b/>
          <w:sz w:val="26"/>
          <w:szCs w:val="26"/>
        </w:rPr>
        <w:t xml:space="preserve">nulidad </w:t>
      </w:r>
      <w:r w:rsidRPr="00AF22D2">
        <w:rPr>
          <w:rFonts w:ascii="Arial" w:hAnsi="Arial" w:cs="Arial"/>
          <w:sz w:val="26"/>
          <w:szCs w:val="26"/>
        </w:rPr>
        <w:t>del acuerdo contenido en el oficio SEVITRA/DC/DCR/</w:t>
      </w:r>
      <w:r w:rsidR="00AF22D2">
        <w:rPr>
          <w:rFonts w:ascii="Arial" w:hAnsi="Arial" w:cs="Arial"/>
          <w:sz w:val="26"/>
          <w:szCs w:val="26"/>
        </w:rPr>
        <w:t>516/</w:t>
      </w:r>
      <w:r w:rsidRPr="00AF22D2">
        <w:rPr>
          <w:rFonts w:ascii="Arial" w:hAnsi="Arial" w:cs="Arial"/>
          <w:sz w:val="26"/>
          <w:szCs w:val="26"/>
        </w:rPr>
        <w:t>2013, de 1</w:t>
      </w:r>
      <w:r w:rsidR="00AF22D2">
        <w:rPr>
          <w:rFonts w:ascii="Arial" w:hAnsi="Arial" w:cs="Arial"/>
          <w:sz w:val="26"/>
          <w:szCs w:val="26"/>
        </w:rPr>
        <w:t>6</w:t>
      </w:r>
      <w:r w:rsidRPr="00AF22D2">
        <w:rPr>
          <w:rFonts w:ascii="Arial" w:hAnsi="Arial" w:cs="Arial"/>
          <w:sz w:val="26"/>
          <w:szCs w:val="26"/>
        </w:rPr>
        <w:t xml:space="preserve"> </w:t>
      </w:r>
      <w:r w:rsidR="00AF22D2">
        <w:rPr>
          <w:rFonts w:ascii="Arial" w:hAnsi="Arial" w:cs="Arial"/>
          <w:sz w:val="26"/>
          <w:szCs w:val="26"/>
        </w:rPr>
        <w:t>dieciséis d</w:t>
      </w:r>
      <w:r w:rsidRPr="00AF22D2">
        <w:rPr>
          <w:rFonts w:ascii="Arial" w:hAnsi="Arial" w:cs="Arial"/>
          <w:sz w:val="26"/>
          <w:szCs w:val="26"/>
        </w:rPr>
        <w:t xml:space="preserve">e </w:t>
      </w:r>
      <w:r w:rsidR="00AF22D2">
        <w:rPr>
          <w:rFonts w:ascii="Arial" w:hAnsi="Arial" w:cs="Arial"/>
          <w:sz w:val="26"/>
          <w:szCs w:val="26"/>
        </w:rPr>
        <w:t>mayo</w:t>
      </w:r>
      <w:r w:rsidRPr="00AF22D2">
        <w:rPr>
          <w:rFonts w:ascii="Arial" w:hAnsi="Arial" w:cs="Arial"/>
          <w:sz w:val="26"/>
          <w:szCs w:val="26"/>
        </w:rPr>
        <w:t xml:space="preserve"> de 2013 dos mil trece, </w:t>
      </w:r>
      <w:r w:rsidRPr="00897993">
        <w:rPr>
          <w:rFonts w:ascii="Arial" w:hAnsi="Arial" w:cs="Arial"/>
          <w:b/>
          <w:sz w:val="26"/>
          <w:szCs w:val="26"/>
        </w:rPr>
        <w:t>para el efecto</w:t>
      </w:r>
      <w:r w:rsidRPr="00AF22D2">
        <w:rPr>
          <w:rFonts w:ascii="Arial" w:hAnsi="Arial" w:cs="Arial"/>
          <w:sz w:val="26"/>
          <w:szCs w:val="26"/>
        </w:rPr>
        <w:t xml:space="preserve"> de que la Directora de Concesiones de la Secretaría de Vialidad y Transporte del Estado, </w:t>
      </w:r>
      <w:r w:rsidRPr="00897993">
        <w:rPr>
          <w:rFonts w:ascii="Arial" w:hAnsi="Arial" w:cs="Arial"/>
          <w:b/>
          <w:sz w:val="26"/>
          <w:szCs w:val="26"/>
        </w:rPr>
        <w:t xml:space="preserve">dictara otro </w:t>
      </w:r>
      <w:r w:rsidRPr="00897993">
        <w:rPr>
          <w:rFonts w:ascii="Arial" w:hAnsi="Arial" w:cs="Arial"/>
          <w:b/>
          <w:sz w:val="26"/>
          <w:szCs w:val="26"/>
        </w:rPr>
        <w:lastRenderedPageBreak/>
        <w:t xml:space="preserve">debidamente fundado y motivado en cuanto a sus facultades </w:t>
      </w:r>
      <w:r w:rsidR="00AF22D2" w:rsidRPr="00897993">
        <w:rPr>
          <w:rFonts w:ascii="Arial" w:hAnsi="Arial" w:cs="Arial"/>
          <w:b/>
          <w:sz w:val="26"/>
          <w:szCs w:val="26"/>
        </w:rPr>
        <w:t>para expedirlo</w:t>
      </w:r>
      <w:r w:rsidR="00AF22D2">
        <w:rPr>
          <w:rFonts w:ascii="Arial" w:hAnsi="Arial" w:cs="Arial"/>
          <w:sz w:val="26"/>
          <w:szCs w:val="26"/>
        </w:rPr>
        <w:t xml:space="preserve">. </w:t>
      </w:r>
    </w:p>
    <w:p w:rsidR="0084263B" w:rsidRDefault="00734D70" w:rsidP="0084263B">
      <w:pPr>
        <w:pStyle w:val="Sinespaciado"/>
        <w:spacing w:line="360" w:lineRule="auto"/>
        <w:ind w:firstLine="567"/>
        <w:jc w:val="both"/>
        <w:rPr>
          <w:rFonts w:ascii="Arial" w:eastAsia="Calibri" w:hAnsi="Arial" w:cs="Arial"/>
          <w:bCs/>
          <w:sz w:val="26"/>
          <w:szCs w:val="26"/>
        </w:rPr>
      </w:pPr>
      <w:r>
        <w:rPr>
          <w:rFonts w:ascii="Arial" w:hAnsi="Arial" w:cs="Arial"/>
          <w:sz w:val="26"/>
          <w:szCs w:val="26"/>
        </w:rPr>
        <w:t xml:space="preserve">En atención a lo anterior, </w:t>
      </w:r>
      <w:r>
        <w:rPr>
          <w:rFonts w:ascii="Arial" w:eastAsia="Calibri" w:hAnsi="Arial" w:cs="Arial"/>
          <w:bCs/>
          <w:sz w:val="26"/>
          <w:szCs w:val="26"/>
        </w:rPr>
        <w:t xml:space="preserve">la </w:t>
      </w:r>
      <w:r>
        <w:rPr>
          <w:rFonts w:ascii="Arial" w:hAnsi="Arial" w:cs="Arial"/>
          <w:sz w:val="26"/>
          <w:szCs w:val="26"/>
        </w:rPr>
        <w:t>Directora de Concesiones de la Secretaría de Vialidad y Transporte del Estado</w:t>
      </w:r>
      <w:r>
        <w:rPr>
          <w:rFonts w:ascii="Arial" w:eastAsia="Calibri" w:hAnsi="Arial" w:cs="Arial"/>
          <w:bCs/>
          <w:sz w:val="26"/>
          <w:szCs w:val="26"/>
        </w:rPr>
        <w:t xml:space="preserve">, mediante </w:t>
      </w:r>
      <w:r w:rsidRPr="00913FCA">
        <w:rPr>
          <w:rFonts w:ascii="Arial" w:eastAsia="Calibri" w:hAnsi="Arial" w:cs="Arial"/>
          <w:bCs/>
          <w:sz w:val="26"/>
          <w:szCs w:val="26"/>
        </w:rPr>
        <w:t xml:space="preserve">oficio </w:t>
      </w:r>
      <w:r w:rsidR="0000435C" w:rsidRPr="0000435C">
        <w:rPr>
          <w:rFonts w:ascii="Arial" w:eastAsia="Calibri" w:hAnsi="Arial" w:cs="Arial"/>
          <w:bCs/>
          <w:sz w:val="26"/>
          <w:szCs w:val="26"/>
        </w:rPr>
        <w:t>SEVITRA/DJ/DCAA/1727/2016</w:t>
      </w:r>
      <w:r w:rsidRPr="0000435C">
        <w:rPr>
          <w:rFonts w:ascii="Arial" w:eastAsia="Calibri" w:hAnsi="Arial" w:cs="Arial"/>
          <w:bCs/>
          <w:sz w:val="26"/>
          <w:szCs w:val="26"/>
        </w:rPr>
        <w:t>,</w:t>
      </w:r>
      <w:r w:rsidRPr="00913FCA">
        <w:rPr>
          <w:rFonts w:ascii="Arial" w:eastAsia="Calibri" w:hAnsi="Arial" w:cs="Arial"/>
          <w:bCs/>
          <w:sz w:val="26"/>
          <w:szCs w:val="26"/>
        </w:rPr>
        <w:t xml:space="preserve"> </w:t>
      </w:r>
      <w:r>
        <w:rPr>
          <w:rFonts w:ascii="Arial" w:eastAsia="Calibri" w:hAnsi="Arial" w:cs="Arial"/>
          <w:bCs/>
          <w:sz w:val="26"/>
          <w:szCs w:val="26"/>
        </w:rPr>
        <w:t xml:space="preserve">anexa el acuerdo </w:t>
      </w:r>
      <w:r w:rsidR="00897993">
        <w:rPr>
          <w:rFonts w:ascii="Arial" w:eastAsia="Calibri" w:hAnsi="Arial" w:cs="Arial"/>
          <w:bCs/>
          <w:sz w:val="26"/>
          <w:szCs w:val="26"/>
        </w:rPr>
        <w:t xml:space="preserve">dictado </w:t>
      </w:r>
      <w:r>
        <w:rPr>
          <w:rFonts w:ascii="Arial" w:eastAsia="Calibri" w:hAnsi="Arial" w:cs="Arial"/>
          <w:bCs/>
          <w:sz w:val="26"/>
          <w:szCs w:val="26"/>
        </w:rPr>
        <w:t>e</w:t>
      </w:r>
      <w:r w:rsidR="00897993">
        <w:rPr>
          <w:rFonts w:ascii="Arial" w:eastAsia="Calibri" w:hAnsi="Arial" w:cs="Arial"/>
          <w:bCs/>
          <w:sz w:val="26"/>
          <w:szCs w:val="26"/>
        </w:rPr>
        <w:t>l</w:t>
      </w:r>
      <w:r>
        <w:rPr>
          <w:rFonts w:ascii="Arial" w:eastAsia="Calibri" w:hAnsi="Arial" w:cs="Arial"/>
          <w:bCs/>
          <w:sz w:val="26"/>
          <w:szCs w:val="26"/>
        </w:rPr>
        <w:t xml:space="preserve"> </w:t>
      </w:r>
      <w:r w:rsidR="00430DE6">
        <w:rPr>
          <w:rFonts w:ascii="Arial" w:eastAsia="Calibri" w:hAnsi="Arial" w:cs="Arial"/>
          <w:bCs/>
          <w:sz w:val="26"/>
          <w:szCs w:val="26"/>
        </w:rPr>
        <w:t>1</w:t>
      </w:r>
      <w:r w:rsidR="00C469E6">
        <w:rPr>
          <w:rFonts w:ascii="Arial" w:eastAsia="Calibri" w:hAnsi="Arial" w:cs="Arial"/>
          <w:bCs/>
          <w:sz w:val="26"/>
          <w:szCs w:val="26"/>
        </w:rPr>
        <w:t xml:space="preserve">8 dieciocho de abril </w:t>
      </w:r>
      <w:r w:rsidRPr="00913FCA">
        <w:rPr>
          <w:rFonts w:ascii="Arial" w:eastAsia="Calibri" w:hAnsi="Arial" w:cs="Arial"/>
          <w:bCs/>
          <w:sz w:val="26"/>
          <w:szCs w:val="26"/>
        </w:rPr>
        <w:t xml:space="preserve"> de 2016 dos mil dieciséis</w:t>
      </w:r>
      <w:r w:rsidR="00C469E6">
        <w:rPr>
          <w:rFonts w:ascii="Arial" w:eastAsia="Calibri" w:hAnsi="Arial" w:cs="Arial"/>
          <w:bCs/>
          <w:sz w:val="26"/>
          <w:szCs w:val="26"/>
        </w:rPr>
        <w:t>,</w:t>
      </w:r>
      <w:r>
        <w:rPr>
          <w:rFonts w:ascii="Arial" w:eastAsia="Calibri" w:hAnsi="Arial" w:cs="Arial"/>
          <w:bCs/>
          <w:sz w:val="26"/>
          <w:szCs w:val="26"/>
        </w:rPr>
        <w:t xml:space="preserve"> </w:t>
      </w:r>
      <w:r w:rsidR="00897993">
        <w:rPr>
          <w:rFonts w:ascii="Arial" w:eastAsia="Calibri" w:hAnsi="Arial" w:cs="Arial"/>
          <w:bCs/>
          <w:sz w:val="26"/>
          <w:szCs w:val="26"/>
        </w:rPr>
        <w:t>en el que expone lo siguiente:</w:t>
      </w:r>
      <w:r>
        <w:rPr>
          <w:rFonts w:ascii="Arial" w:eastAsia="Calibri" w:hAnsi="Arial" w:cs="Arial"/>
          <w:bCs/>
          <w:sz w:val="26"/>
          <w:szCs w:val="26"/>
        </w:rPr>
        <w:t xml:space="preserve"> </w:t>
      </w:r>
      <w:r w:rsidRPr="00913FCA">
        <w:rPr>
          <w:rFonts w:ascii="Arial" w:eastAsia="Calibri" w:hAnsi="Arial" w:cs="Arial"/>
          <w:b/>
          <w:bCs/>
          <w:sz w:val="26"/>
          <w:szCs w:val="26"/>
        </w:rPr>
        <w:t xml:space="preserve">1. </w:t>
      </w:r>
      <w:r w:rsidRPr="00913FCA">
        <w:rPr>
          <w:rFonts w:ascii="Arial" w:eastAsia="Calibri" w:hAnsi="Arial" w:cs="Arial"/>
          <w:bCs/>
          <w:sz w:val="26"/>
          <w:szCs w:val="26"/>
        </w:rPr>
        <w:t xml:space="preserve">Se declaró incompetente para continuar conociendo de la petición realizada por </w:t>
      </w:r>
      <w:r w:rsidR="000D7253">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fundando su determinación en el principio de legalidad establecido en el artículo 2º de la Constitución Política del Estado Libre y Soberano de Oaxaca; </w:t>
      </w:r>
      <w:r w:rsidRPr="00913FCA">
        <w:rPr>
          <w:rFonts w:ascii="Arial" w:eastAsia="Calibri" w:hAnsi="Arial" w:cs="Arial"/>
          <w:bCs/>
          <w:sz w:val="26"/>
          <w:szCs w:val="26"/>
        </w:rPr>
        <w:t xml:space="preserve"> y </w:t>
      </w:r>
      <w:r w:rsidRPr="00913FCA">
        <w:rPr>
          <w:rFonts w:ascii="Arial" w:eastAsia="Calibri" w:hAnsi="Arial" w:cs="Arial"/>
          <w:b/>
          <w:bCs/>
          <w:sz w:val="26"/>
          <w:szCs w:val="26"/>
        </w:rPr>
        <w:t xml:space="preserve">2. </w:t>
      </w:r>
      <w:r>
        <w:rPr>
          <w:rFonts w:ascii="Arial" w:eastAsia="Calibri" w:hAnsi="Arial" w:cs="Arial"/>
          <w:bCs/>
          <w:sz w:val="26"/>
          <w:szCs w:val="26"/>
        </w:rPr>
        <w:t>De conformidad con el artículo 40 fracción IV de la Ley Orgánica del Poder Ejecutivo del Estado de Oaxaca, y del acuerdo delegatorio publicado en el Periódico Oficial del Gobierno del Estado, el 04 cuatro de septiembre de 2012 dos mil doce, expedido por el Gobernador del Estado, t</w:t>
      </w:r>
      <w:r w:rsidRPr="00913FCA">
        <w:rPr>
          <w:rFonts w:ascii="Arial" w:eastAsia="Calibri" w:hAnsi="Arial" w:cs="Arial"/>
          <w:bCs/>
          <w:sz w:val="26"/>
          <w:szCs w:val="26"/>
        </w:rPr>
        <w:t>urnó al Secretario de Vialidad y Trasporte</w:t>
      </w:r>
      <w:r>
        <w:rPr>
          <w:rFonts w:ascii="Arial" w:eastAsia="Calibri" w:hAnsi="Arial" w:cs="Arial"/>
          <w:bCs/>
          <w:sz w:val="26"/>
          <w:szCs w:val="26"/>
        </w:rPr>
        <w:t xml:space="preserve">, la petición del actor en la cual solicita la renovación de </w:t>
      </w:r>
      <w:r w:rsidR="00430DE6">
        <w:rPr>
          <w:rFonts w:ascii="Arial" w:eastAsia="Calibri" w:hAnsi="Arial" w:cs="Arial"/>
          <w:bCs/>
          <w:sz w:val="26"/>
          <w:szCs w:val="26"/>
        </w:rPr>
        <w:t>d</w:t>
      </w:r>
      <w:r>
        <w:rPr>
          <w:rFonts w:ascii="Arial" w:eastAsia="Calibri" w:hAnsi="Arial" w:cs="Arial"/>
          <w:bCs/>
          <w:sz w:val="26"/>
          <w:szCs w:val="26"/>
        </w:rPr>
        <w:t xml:space="preserve">el servicio público de alquiler taxi en la población de </w:t>
      </w:r>
      <w:proofErr w:type="spellStart"/>
      <w:r>
        <w:rPr>
          <w:rFonts w:ascii="Arial" w:eastAsia="Calibri" w:hAnsi="Arial" w:cs="Arial"/>
          <w:bCs/>
          <w:sz w:val="26"/>
          <w:szCs w:val="26"/>
        </w:rPr>
        <w:t>Huajuapan</w:t>
      </w:r>
      <w:proofErr w:type="spellEnd"/>
      <w:r>
        <w:rPr>
          <w:rFonts w:ascii="Arial" w:eastAsia="Calibri" w:hAnsi="Arial" w:cs="Arial"/>
          <w:bCs/>
          <w:sz w:val="26"/>
          <w:szCs w:val="26"/>
        </w:rPr>
        <w:t xml:space="preserve"> de León, Oaxaca.</w:t>
      </w:r>
      <w:r w:rsidR="0084263B">
        <w:rPr>
          <w:rFonts w:ascii="Arial" w:eastAsia="Calibri" w:hAnsi="Arial" w:cs="Arial"/>
          <w:bCs/>
          <w:sz w:val="26"/>
          <w:szCs w:val="26"/>
        </w:rPr>
        <w:t xml:space="preserve"> </w:t>
      </w:r>
    </w:p>
    <w:p w:rsidR="00310E25" w:rsidRDefault="00734D70" w:rsidP="0084263B">
      <w:pPr>
        <w:pStyle w:val="Sinespaciado"/>
        <w:spacing w:line="360" w:lineRule="auto"/>
        <w:ind w:firstLine="567"/>
        <w:jc w:val="both"/>
        <w:rPr>
          <w:rFonts w:ascii="Arial" w:hAnsi="Arial" w:cs="Arial"/>
          <w:sz w:val="26"/>
          <w:szCs w:val="26"/>
        </w:rPr>
      </w:pPr>
      <w:r w:rsidRPr="007501A6">
        <w:rPr>
          <w:rFonts w:ascii="Arial" w:hAnsi="Arial" w:cs="Arial"/>
          <w:sz w:val="26"/>
          <w:szCs w:val="26"/>
        </w:rPr>
        <w:t xml:space="preserve">Conforme a </w:t>
      </w:r>
      <w:r>
        <w:rPr>
          <w:rFonts w:ascii="Arial" w:hAnsi="Arial" w:cs="Arial"/>
          <w:sz w:val="26"/>
          <w:szCs w:val="26"/>
        </w:rPr>
        <w:t xml:space="preserve">lo </w:t>
      </w:r>
      <w:r w:rsidR="007927D3">
        <w:rPr>
          <w:rFonts w:ascii="Arial" w:hAnsi="Arial" w:cs="Arial"/>
          <w:sz w:val="26"/>
          <w:szCs w:val="26"/>
        </w:rPr>
        <w:t>determinado</w:t>
      </w:r>
      <w:r>
        <w:rPr>
          <w:rFonts w:ascii="Arial" w:hAnsi="Arial" w:cs="Arial"/>
          <w:sz w:val="26"/>
          <w:szCs w:val="26"/>
        </w:rPr>
        <w:t xml:space="preserve"> en l</w:t>
      </w:r>
      <w:r w:rsidRPr="007501A6">
        <w:rPr>
          <w:rFonts w:ascii="Arial" w:hAnsi="Arial" w:cs="Arial"/>
          <w:sz w:val="26"/>
          <w:szCs w:val="26"/>
        </w:rPr>
        <w:t>a sentencia definitiva</w:t>
      </w:r>
      <w:r w:rsidR="00310E25">
        <w:rPr>
          <w:rFonts w:ascii="Arial" w:hAnsi="Arial" w:cs="Arial"/>
          <w:sz w:val="26"/>
          <w:szCs w:val="26"/>
        </w:rPr>
        <w:t xml:space="preserve"> dictada el 15 quince de noviembre de 2013 dos mil trece</w:t>
      </w:r>
      <w:r>
        <w:rPr>
          <w:rFonts w:ascii="Arial" w:hAnsi="Arial" w:cs="Arial"/>
          <w:sz w:val="26"/>
          <w:szCs w:val="26"/>
        </w:rPr>
        <w:t>, se</w:t>
      </w:r>
      <w:r w:rsidRPr="007501A6">
        <w:rPr>
          <w:rFonts w:ascii="Arial" w:hAnsi="Arial" w:cs="Arial"/>
          <w:sz w:val="26"/>
          <w:szCs w:val="26"/>
        </w:rPr>
        <w:t xml:space="preserve"> estableció que</w:t>
      </w:r>
      <w:r w:rsidR="007927D3">
        <w:rPr>
          <w:rFonts w:ascii="Arial" w:hAnsi="Arial" w:cs="Arial"/>
          <w:sz w:val="26"/>
          <w:szCs w:val="26"/>
        </w:rPr>
        <w:t>:</w:t>
      </w:r>
      <w:r w:rsidRPr="007501A6">
        <w:rPr>
          <w:rFonts w:ascii="Arial" w:hAnsi="Arial" w:cs="Arial"/>
          <w:sz w:val="26"/>
          <w:szCs w:val="26"/>
        </w:rPr>
        <w:t xml:space="preserve"> </w:t>
      </w:r>
      <w:r w:rsidR="007927D3" w:rsidRPr="00AE357F">
        <w:rPr>
          <w:rFonts w:ascii="Arial" w:hAnsi="Arial" w:cs="Arial"/>
          <w:b/>
          <w:i/>
          <w:sz w:val="26"/>
          <w:szCs w:val="26"/>
        </w:rPr>
        <w:t>“</w:t>
      </w:r>
      <w:r w:rsidRPr="00AE357F">
        <w:rPr>
          <w:rFonts w:ascii="Arial" w:hAnsi="Arial" w:cs="Arial"/>
          <w:b/>
          <w:i/>
          <w:sz w:val="26"/>
          <w:szCs w:val="26"/>
        </w:rPr>
        <w:t xml:space="preserve">La Directora de Concesiones de la Secretaría de Vialidad y Transporte del Estado, dictara otro debidamente fundado y motivado en cuanto a sus facultades </w:t>
      </w:r>
      <w:r w:rsidR="007927D3" w:rsidRPr="00AE357F">
        <w:rPr>
          <w:rFonts w:ascii="Arial" w:hAnsi="Arial" w:cs="Arial"/>
          <w:b/>
          <w:i/>
          <w:sz w:val="26"/>
          <w:szCs w:val="26"/>
        </w:rPr>
        <w:t>para expedirlo”</w:t>
      </w:r>
      <w:r w:rsidR="00310E25">
        <w:rPr>
          <w:rFonts w:ascii="Arial" w:hAnsi="Arial" w:cs="Arial"/>
          <w:sz w:val="26"/>
          <w:szCs w:val="26"/>
        </w:rPr>
        <w:t xml:space="preserve">. </w:t>
      </w:r>
      <w:r w:rsidRPr="00A5546E">
        <w:rPr>
          <w:rFonts w:ascii="Arial" w:hAnsi="Arial" w:cs="Arial"/>
          <w:sz w:val="26"/>
          <w:szCs w:val="26"/>
        </w:rPr>
        <w:t>En es</w:t>
      </w:r>
      <w:r>
        <w:rPr>
          <w:rFonts w:ascii="Arial" w:hAnsi="Arial" w:cs="Arial"/>
          <w:sz w:val="26"/>
          <w:szCs w:val="26"/>
        </w:rPr>
        <w:t>e</w:t>
      </w:r>
      <w:r w:rsidR="00310E25">
        <w:rPr>
          <w:rFonts w:ascii="Arial" w:hAnsi="Arial" w:cs="Arial"/>
          <w:sz w:val="26"/>
          <w:szCs w:val="26"/>
        </w:rPr>
        <w:t xml:space="preserve"> sentido</w:t>
      </w:r>
      <w:r w:rsidRPr="007501A6">
        <w:rPr>
          <w:rFonts w:ascii="Arial" w:hAnsi="Arial" w:cs="Arial"/>
          <w:b/>
          <w:sz w:val="26"/>
          <w:szCs w:val="26"/>
        </w:rPr>
        <w:t xml:space="preserve"> </w:t>
      </w:r>
      <w:r w:rsidRPr="007501A6">
        <w:rPr>
          <w:rFonts w:ascii="Arial" w:hAnsi="Arial" w:cs="Arial"/>
          <w:sz w:val="26"/>
          <w:szCs w:val="26"/>
        </w:rPr>
        <w:t>como se precisó en líneas precedentes</w:t>
      </w:r>
      <w:r w:rsidR="00310E25">
        <w:rPr>
          <w:rFonts w:ascii="Arial" w:hAnsi="Arial" w:cs="Arial"/>
          <w:sz w:val="26"/>
          <w:szCs w:val="26"/>
        </w:rPr>
        <w:t>,</w:t>
      </w:r>
      <w:r w:rsidRPr="007501A6">
        <w:rPr>
          <w:rFonts w:ascii="Arial" w:hAnsi="Arial" w:cs="Arial"/>
          <w:sz w:val="26"/>
          <w:szCs w:val="26"/>
        </w:rPr>
        <w:t xml:space="preserve"> el objeto del acuerdo en revisión es el de vigilar que se acaten las consideraciones que sostienen la sentencia que rige el juic</w:t>
      </w:r>
      <w:r w:rsidR="00310E25">
        <w:rPr>
          <w:rFonts w:ascii="Arial" w:hAnsi="Arial" w:cs="Arial"/>
          <w:sz w:val="26"/>
          <w:szCs w:val="26"/>
        </w:rPr>
        <w:t xml:space="preserve">io. </w:t>
      </w:r>
    </w:p>
    <w:p w:rsidR="00FA0BEA" w:rsidRPr="000D5048" w:rsidRDefault="00FA0BEA" w:rsidP="000D5048">
      <w:pPr>
        <w:pStyle w:val="Sinespaciado"/>
        <w:spacing w:line="360" w:lineRule="auto"/>
        <w:ind w:firstLine="567"/>
        <w:jc w:val="both"/>
        <w:rPr>
          <w:rFonts w:ascii="Arial" w:eastAsia="Calibri" w:hAnsi="Arial" w:cs="Arial"/>
          <w:bCs/>
          <w:sz w:val="26"/>
          <w:szCs w:val="26"/>
        </w:rPr>
      </w:pPr>
      <w:r w:rsidRPr="000D5048">
        <w:rPr>
          <w:rFonts w:ascii="Arial" w:hAnsi="Arial" w:cs="Arial"/>
          <w:sz w:val="26"/>
          <w:szCs w:val="26"/>
        </w:rPr>
        <w:t xml:space="preserve">En el actual caso, la sentencia que pronunció la primera instancia fue en el sentido de declarar nulo el acto impugnado, para efecto de que la autoridad enjuiciada, debidamente fundara y motivara sus facultades para expedirlo; por consiguiente, mediante oficio </w:t>
      </w:r>
      <w:r w:rsidRPr="000D5048">
        <w:rPr>
          <w:rFonts w:ascii="Arial" w:eastAsia="Calibri" w:hAnsi="Arial" w:cs="Arial"/>
          <w:b/>
          <w:bCs/>
          <w:sz w:val="26"/>
          <w:szCs w:val="26"/>
        </w:rPr>
        <w:t>SEVITRA/DJ/DCAA/1727/2016</w:t>
      </w:r>
      <w:r w:rsidRPr="000D5048">
        <w:rPr>
          <w:rFonts w:ascii="Arial" w:eastAsia="Calibri" w:hAnsi="Arial" w:cs="Arial"/>
          <w:bCs/>
          <w:sz w:val="26"/>
          <w:szCs w:val="26"/>
        </w:rPr>
        <w:t xml:space="preserve"> la</w:t>
      </w:r>
      <w:r w:rsidRPr="000D5048">
        <w:rPr>
          <w:rFonts w:ascii="Arial" w:hAnsi="Arial" w:cs="Arial"/>
          <w:sz w:val="26"/>
          <w:szCs w:val="26"/>
        </w:rPr>
        <w:t xml:space="preserve"> Directora de Concesiones de la Secretaría de Vialidad y Transporte, </w:t>
      </w:r>
      <w:r w:rsidRPr="000D5048">
        <w:rPr>
          <w:rFonts w:ascii="Arial" w:eastAsia="Calibri" w:hAnsi="Arial" w:cs="Arial"/>
          <w:bCs/>
          <w:sz w:val="26"/>
          <w:szCs w:val="26"/>
        </w:rPr>
        <w:t>anexa el acuerdo dictado el 18 dieciocho de abril de 2016 dos mil dieciséis, en el que señala lo siguiente:</w:t>
      </w:r>
    </w:p>
    <w:p w:rsidR="00FA0BEA" w:rsidRPr="000D5048" w:rsidRDefault="00FA0BEA" w:rsidP="00FA0BEA">
      <w:pPr>
        <w:pStyle w:val="Sinespaciado"/>
        <w:spacing w:line="360" w:lineRule="auto"/>
        <w:ind w:left="851" w:right="616"/>
        <w:jc w:val="both"/>
        <w:rPr>
          <w:rFonts w:ascii="Arial" w:hAnsi="Arial" w:cs="Arial"/>
          <w:b/>
          <w:i/>
          <w:sz w:val="24"/>
          <w:szCs w:val="24"/>
        </w:rPr>
      </w:pPr>
      <w:r w:rsidRPr="000D5048">
        <w:rPr>
          <w:rFonts w:ascii="Arial" w:eastAsia="Calibri" w:hAnsi="Arial" w:cs="Arial"/>
          <w:bCs/>
          <w:sz w:val="26"/>
          <w:szCs w:val="26"/>
        </w:rPr>
        <w:t xml:space="preserve"> </w:t>
      </w:r>
      <w:r w:rsidRPr="000D5048">
        <w:rPr>
          <w:rFonts w:ascii="Arial" w:eastAsia="Calibri" w:hAnsi="Arial" w:cs="Arial"/>
          <w:b/>
          <w:bCs/>
          <w:i/>
          <w:sz w:val="24"/>
          <w:szCs w:val="24"/>
        </w:rPr>
        <w:t>“PRIMERO</w:t>
      </w:r>
      <w:r w:rsidRPr="000D5048">
        <w:rPr>
          <w:rFonts w:ascii="Arial" w:eastAsia="Calibri" w:hAnsi="Arial" w:cs="Arial"/>
          <w:bCs/>
          <w:i/>
          <w:sz w:val="24"/>
          <w:szCs w:val="24"/>
        </w:rPr>
        <w:t xml:space="preserve">.- En complimiento a lo vertido en el fallo fechado el diez de marzo de dos mil catorce, dictado dentro del juicio 319/2016 del índice de la entonces Segunda Sala de Primera Instancia del Tribunal de lo Contencioso Administrativo en el Estado, y atendiendo al principio de legalidad establecido en el </w:t>
      </w:r>
      <w:r w:rsidRPr="000D5048">
        <w:rPr>
          <w:rFonts w:ascii="Arial" w:hAnsi="Arial" w:cs="Arial"/>
          <w:i/>
          <w:sz w:val="24"/>
          <w:szCs w:val="24"/>
        </w:rPr>
        <w:t xml:space="preserve"> artículo 2 de la Constitución Política del Estado Libre y </w:t>
      </w:r>
      <w:r w:rsidRPr="000D5048">
        <w:rPr>
          <w:rFonts w:ascii="Arial" w:hAnsi="Arial" w:cs="Arial"/>
          <w:i/>
          <w:sz w:val="24"/>
          <w:szCs w:val="24"/>
        </w:rPr>
        <w:lastRenderedPageBreak/>
        <w:t>Soberano de Oaxaca, el cual a la letra dice: “</w:t>
      </w:r>
      <w:r w:rsidRPr="000D5048">
        <w:rPr>
          <w:rFonts w:ascii="Arial" w:hAnsi="Arial" w:cs="Arial"/>
          <w:b/>
          <w:i/>
          <w:sz w:val="24"/>
          <w:szCs w:val="24"/>
        </w:rPr>
        <w:t xml:space="preserve">…El poder público y sus representantes sólo pueden hacer lo que la Ley les autoriza y deben hacer, lo que la Ley les ordena..” esta autoridad se declara incompetente para continuar conociendo de la petición </w:t>
      </w:r>
      <w:r w:rsidRPr="000D5048">
        <w:rPr>
          <w:rFonts w:ascii="Arial" w:hAnsi="Arial" w:cs="Arial"/>
          <w:i/>
          <w:sz w:val="24"/>
          <w:szCs w:val="24"/>
        </w:rPr>
        <w:t xml:space="preserve">formulada por el ciudadano </w:t>
      </w:r>
      <w:r w:rsidR="000D7253">
        <w:rPr>
          <w:rFonts w:ascii="Arial" w:hAnsi="Arial" w:cs="Arial"/>
          <w:b/>
          <w:i/>
          <w:sz w:val="24"/>
          <w:szCs w:val="24"/>
        </w:rPr>
        <w:t>***********</w:t>
      </w:r>
      <w:r w:rsidRPr="000D5048">
        <w:rPr>
          <w:rFonts w:ascii="Arial" w:hAnsi="Arial" w:cs="Arial"/>
          <w:b/>
          <w:i/>
          <w:sz w:val="24"/>
          <w:szCs w:val="24"/>
        </w:rPr>
        <w:t>.</w:t>
      </w:r>
    </w:p>
    <w:p w:rsidR="00FA0BEA" w:rsidRPr="000D5048" w:rsidRDefault="00FA0BEA" w:rsidP="00FA0BEA">
      <w:pPr>
        <w:pStyle w:val="Sinespaciado"/>
        <w:spacing w:line="360" w:lineRule="auto"/>
        <w:ind w:left="851" w:right="616"/>
        <w:jc w:val="both"/>
        <w:rPr>
          <w:rFonts w:ascii="Arial" w:hAnsi="Arial" w:cs="Arial"/>
          <w:i/>
          <w:sz w:val="24"/>
          <w:szCs w:val="24"/>
        </w:rPr>
      </w:pPr>
      <w:r w:rsidRPr="000D5048">
        <w:rPr>
          <w:rFonts w:ascii="Arial" w:eastAsia="Calibri" w:hAnsi="Arial" w:cs="Arial"/>
          <w:b/>
          <w:bCs/>
          <w:i/>
          <w:sz w:val="24"/>
          <w:szCs w:val="24"/>
        </w:rPr>
        <w:tab/>
        <w:t xml:space="preserve">SEGUNDO.- </w:t>
      </w:r>
      <w:r w:rsidRPr="000D5048">
        <w:rPr>
          <w:rFonts w:ascii="Arial" w:eastAsia="Calibri" w:hAnsi="Arial" w:cs="Arial"/>
          <w:bCs/>
          <w:i/>
          <w:sz w:val="24"/>
          <w:szCs w:val="24"/>
        </w:rPr>
        <w:t xml:space="preserve">De conformidad con el artículo 40 fracción IV de la Ley Orgánica del poder Ejecutivo del Estado de Oaxaca y acuerdo delegatorio publicado en el Periódico del Estado de Oaxaca el cuatro de septiembre de dos mil doce, expedido por el Gobernador del Estado, túrnese el escrito de petición de veintiocho de septiembre de dos mil doce, signados por </w:t>
      </w:r>
      <w:r w:rsidR="000D7253">
        <w:rPr>
          <w:rFonts w:ascii="Arial" w:eastAsia="Calibri" w:hAnsi="Arial" w:cs="Arial"/>
          <w:b/>
          <w:bCs/>
          <w:i/>
          <w:sz w:val="24"/>
          <w:szCs w:val="24"/>
        </w:rPr>
        <w:t>***********</w:t>
      </w:r>
      <w:r w:rsidRPr="000D5048">
        <w:rPr>
          <w:rFonts w:ascii="Arial" w:eastAsia="Calibri" w:hAnsi="Arial" w:cs="Arial"/>
          <w:b/>
          <w:bCs/>
          <w:i/>
          <w:sz w:val="24"/>
          <w:szCs w:val="24"/>
        </w:rPr>
        <w:t xml:space="preserve">, </w:t>
      </w:r>
      <w:r w:rsidRPr="000D5048">
        <w:rPr>
          <w:rFonts w:ascii="Arial" w:eastAsia="Calibri" w:hAnsi="Arial" w:cs="Arial"/>
          <w:bCs/>
          <w:i/>
          <w:sz w:val="24"/>
          <w:szCs w:val="24"/>
        </w:rPr>
        <w:t xml:space="preserve">por medio del cual solicita la renovación de concesión del servicio público de alquiler taxi en la Población de </w:t>
      </w:r>
      <w:proofErr w:type="spellStart"/>
      <w:r w:rsidRPr="000D5048">
        <w:rPr>
          <w:rFonts w:ascii="Arial" w:eastAsia="Calibri" w:hAnsi="Arial" w:cs="Arial"/>
          <w:bCs/>
          <w:i/>
          <w:sz w:val="24"/>
          <w:szCs w:val="24"/>
        </w:rPr>
        <w:t>Huajuapan</w:t>
      </w:r>
      <w:proofErr w:type="spellEnd"/>
      <w:r w:rsidRPr="000D5048">
        <w:rPr>
          <w:rFonts w:ascii="Arial" w:eastAsia="Calibri" w:hAnsi="Arial" w:cs="Arial"/>
          <w:bCs/>
          <w:i/>
          <w:sz w:val="24"/>
          <w:szCs w:val="24"/>
        </w:rPr>
        <w:t xml:space="preserve"> de León, Oaxaca, al Secretario de Vialidad y Transporte del Estado.”</w:t>
      </w:r>
    </w:p>
    <w:p w:rsidR="00FA0BEA" w:rsidRPr="000D5048" w:rsidRDefault="00FA0BEA" w:rsidP="000D5048">
      <w:pPr>
        <w:pStyle w:val="Sinespaciado"/>
        <w:spacing w:line="360" w:lineRule="auto"/>
        <w:ind w:firstLine="567"/>
        <w:jc w:val="both"/>
        <w:rPr>
          <w:rFonts w:ascii="Arial" w:hAnsi="Arial" w:cs="Arial"/>
          <w:sz w:val="26"/>
          <w:szCs w:val="26"/>
        </w:rPr>
      </w:pPr>
      <w:r w:rsidRPr="000D5048">
        <w:rPr>
          <w:rFonts w:ascii="Arial" w:hAnsi="Arial" w:cs="Arial"/>
          <w:sz w:val="26"/>
          <w:szCs w:val="26"/>
        </w:rPr>
        <w:t>Con ello, la autoridad demandada ha colmado el efecto conferido en la sentencia, pues en el caso fundó y motivó su incompetencia para seguir conociendo de la petición</w:t>
      </w:r>
      <w:r w:rsidRPr="000D5048">
        <w:rPr>
          <w:rFonts w:ascii="Arial" w:hAnsi="Arial" w:cs="Arial"/>
          <w:b/>
          <w:sz w:val="26"/>
          <w:szCs w:val="26"/>
        </w:rPr>
        <w:t xml:space="preserve"> </w:t>
      </w:r>
      <w:r w:rsidRPr="000D5048">
        <w:rPr>
          <w:rFonts w:ascii="Arial" w:hAnsi="Arial" w:cs="Arial"/>
          <w:sz w:val="26"/>
          <w:szCs w:val="26"/>
        </w:rPr>
        <w:t xml:space="preserve">formulada por el ciudadano </w:t>
      </w:r>
      <w:r w:rsidR="000D7253">
        <w:rPr>
          <w:rFonts w:ascii="Arial" w:hAnsi="Arial" w:cs="Arial"/>
          <w:b/>
          <w:sz w:val="26"/>
          <w:szCs w:val="26"/>
        </w:rPr>
        <w:t>***********</w:t>
      </w:r>
      <w:r w:rsidRPr="000D5048">
        <w:rPr>
          <w:rFonts w:ascii="Arial" w:hAnsi="Arial" w:cs="Arial"/>
          <w:b/>
          <w:sz w:val="26"/>
          <w:szCs w:val="26"/>
        </w:rPr>
        <w:t>.</w:t>
      </w:r>
      <w:r w:rsidR="000D5048">
        <w:rPr>
          <w:rFonts w:ascii="Arial" w:hAnsi="Arial" w:cs="Arial"/>
          <w:b/>
          <w:sz w:val="26"/>
          <w:szCs w:val="26"/>
        </w:rPr>
        <w:t xml:space="preserve"> </w:t>
      </w:r>
    </w:p>
    <w:p w:rsidR="00B132A5" w:rsidRDefault="00734D70" w:rsidP="00B132A5">
      <w:pPr>
        <w:pStyle w:val="Sinespaciado"/>
        <w:spacing w:line="360" w:lineRule="auto"/>
        <w:ind w:right="49" w:firstLine="567"/>
        <w:jc w:val="both"/>
        <w:rPr>
          <w:rFonts w:ascii="Arial" w:hAnsi="Arial" w:cs="Arial"/>
          <w:sz w:val="26"/>
          <w:szCs w:val="26"/>
        </w:rPr>
      </w:pPr>
      <w:r w:rsidRPr="004707E8">
        <w:rPr>
          <w:rFonts w:ascii="Arial" w:hAnsi="Arial" w:cs="Arial"/>
          <w:sz w:val="26"/>
          <w:szCs w:val="26"/>
        </w:rPr>
        <w:t xml:space="preserve">Así las cosas, </w:t>
      </w:r>
      <w:r w:rsidRPr="007501A6">
        <w:rPr>
          <w:rFonts w:ascii="Arial" w:hAnsi="Arial" w:cs="Arial"/>
          <w:sz w:val="26"/>
          <w:szCs w:val="26"/>
        </w:rPr>
        <w:t xml:space="preserve">la autoridad demandada “Director </w:t>
      </w:r>
      <w:r>
        <w:rPr>
          <w:rFonts w:ascii="Arial" w:hAnsi="Arial" w:cs="Arial"/>
          <w:sz w:val="26"/>
          <w:szCs w:val="26"/>
        </w:rPr>
        <w:t>de Concesiones</w:t>
      </w:r>
      <w:r w:rsidRPr="007501A6">
        <w:rPr>
          <w:rFonts w:ascii="Arial" w:hAnsi="Arial" w:cs="Arial"/>
          <w:sz w:val="26"/>
          <w:szCs w:val="26"/>
        </w:rPr>
        <w:t>” cumpli</w:t>
      </w:r>
      <w:r>
        <w:rPr>
          <w:rFonts w:ascii="Arial" w:hAnsi="Arial" w:cs="Arial"/>
          <w:sz w:val="26"/>
          <w:szCs w:val="26"/>
        </w:rPr>
        <w:t>ó con</w:t>
      </w:r>
      <w:r w:rsidRPr="007501A6">
        <w:rPr>
          <w:rFonts w:ascii="Arial" w:hAnsi="Arial" w:cs="Arial"/>
          <w:sz w:val="26"/>
          <w:szCs w:val="26"/>
        </w:rPr>
        <w:t xml:space="preserve"> la sentencia</w:t>
      </w:r>
      <w:r>
        <w:rPr>
          <w:rFonts w:ascii="Arial" w:hAnsi="Arial" w:cs="Arial"/>
          <w:sz w:val="26"/>
          <w:szCs w:val="26"/>
        </w:rPr>
        <w:t xml:space="preserve"> de </w:t>
      </w:r>
      <w:r w:rsidR="00533F7F">
        <w:rPr>
          <w:rFonts w:ascii="Arial" w:hAnsi="Arial" w:cs="Arial"/>
          <w:sz w:val="26"/>
          <w:szCs w:val="26"/>
        </w:rPr>
        <w:t xml:space="preserve">15 quince de noviembre de 2013 dos mil trece, </w:t>
      </w:r>
      <w:r>
        <w:rPr>
          <w:rFonts w:ascii="Arial" w:hAnsi="Arial" w:cs="Arial"/>
          <w:sz w:val="26"/>
          <w:szCs w:val="26"/>
        </w:rPr>
        <w:t>al haber</w:t>
      </w:r>
      <w:r w:rsidRPr="007501A6">
        <w:rPr>
          <w:rFonts w:ascii="Arial" w:hAnsi="Arial" w:cs="Arial"/>
          <w:sz w:val="26"/>
          <w:szCs w:val="26"/>
        </w:rPr>
        <w:t xml:space="preserve"> establecido su falta de</w:t>
      </w:r>
      <w:r>
        <w:rPr>
          <w:rFonts w:ascii="Arial" w:hAnsi="Arial" w:cs="Arial"/>
          <w:sz w:val="26"/>
          <w:szCs w:val="26"/>
        </w:rPr>
        <w:t xml:space="preserve"> competencia para conocer de la</w:t>
      </w:r>
      <w:r w:rsidRPr="007501A6">
        <w:rPr>
          <w:rFonts w:ascii="Arial" w:hAnsi="Arial" w:cs="Arial"/>
          <w:sz w:val="26"/>
          <w:szCs w:val="26"/>
        </w:rPr>
        <w:t xml:space="preserve"> petici</w:t>
      </w:r>
      <w:r>
        <w:rPr>
          <w:rFonts w:ascii="Arial" w:hAnsi="Arial" w:cs="Arial"/>
          <w:sz w:val="26"/>
          <w:szCs w:val="26"/>
        </w:rPr>
        <w:t>ón</w:t>
      </w:r>
      <w:r w:rsidRPr="007501A6">
        <w:rPr>
          <w:rFonts w:ascii="Arial" w:hAnsi="Arial" w:cs="Arial"/>
          <w:sz w:val="26"/>
          <w:szCs w:val="26"/>
        </w:rPr>
        <w:t xml:space="preserve"> formulada por </w:t>
      </w:r>
      <w:r>
        <w:rPr>
          <w:rFonts w:ascii="Arial" w:hAnsi="Arial" w:cs="Arial"/>
          <w:sz w:val="26"/>
          <w:szCs w:val="26"/>
        </w:rPr>
        <w:t>el</w:t>
      </w:r>
      <w:r w:rsidR="00533F7F">
        <w:rPr>
          <w:rFonts w:ascii="Arial" w:hAnsi="Arial" w:cs="Arial"/>
          <w:sz w:val="26"/>
          <w:szCs w:val="26"/>
        </w:rPr>
        <w:t xml:space="preserve"> actor;</w:t>
      </w:r>
      <w:r w:rsidRPr="007501A6">
        <w:rPr>
          <w:rFonts w:ascii="Arial" w:hAnsi="Arial" w:cs="Arial"/>
          <w:sz w:val="26"/>
          <w:szCs w:val="26"/>
        </w:rPr>
        <w:t xml:space="preserve"> por</w:t>
      </w:r>
      <w:r>
        <w:rPr>
          <w:rFonts w:ascii="Arial" w:hAnsi="Arial" w:cs="Arial"/>
          <w:sz w:val="26"/>
          <w:szCs w:val="26"/>
        </w:rPr>
        <w:t xml:space="preserve"> ende</w:t>
      </w:r>
      <w:r w:rsidR="00533F7F">
        <w:rPr>
          <w:rFonts w:ascii="Arial" w:hAnsi="Arial" w:cs="Arial"/>
          <w:sz w:val="26"/>
          <w:szCs w:val="26"/>
        </w:rPr>
        <w:t>,</w:t>
      </w:r>
      <w:r>
        <w:rPr>
          <w:rFonts w:ascii="Arial" w:hAnsi="Arial" w:cs="Arial"/>
          <w:sz w:val="26"/>
          <w:szCs w:val="26"/>
        </w:rPr>
        <w:t xml:space="preserve"> estimó que debía turnarla</w:t>
      </w:r>
      <w:r w:rsidRPr="007501A6">
        <w:rPr>
          <w:rFonts w:ascii="Arial" w:hAnsi="Arial" w:cs="Arial"/>
          <w:sz w:val="26"/>
          <w:szCs w:val="26"/>
        </w:rPr>
        <w:t xml:space="preserve"> a la autoridad que considera</w:t>
      </w:r>
      <w:r w:rsidR="00533F7F">
        <w:rPr>
          <w:rFonts w:ascii="Arial" w:hAnsi="Arial" w:cs="Arial"/>
          <w:sz w:val="26"/>
          <w:szCs w:val="26"/>
        </w:rPr>
        <w:t>,</w:t>
      </w:r>
      <w:r w:rsidRPr="007501A6">
        <w:rPr>
          <w:rFonts w:ascii="Arial" w:hAnsi="Arial" w:cs="Arial"/>
          <w:sz w:val="26"/>
          <w:szCs w:val="26"/>
        </w:rPr>
        <w:t xml:space="preserve"> sí cuenta con facultades reconocidas por la ley para pronunciarse respecto de </w:t>
      </w:r>
      <w:r>
        <w:rPr>
          <w:rFonts w:ascii="Arial" w:hAnsi="Arial" w:cs="Arial"/>
          <w:sz w:val="26"/>
          <w:szCs w:val="26"/>
        </w:rPr>
        <w:t xml:space="preserve">dicha petición. </w:t>
      </w:r>
    </w:p>
    <w:p w:rsidR="00B132A5" w:rsidRDefault="00F23799" w:rsidP="00B132A5">
      <w:pPr>
        <w:pStyle w:val="Sinespaciado"/>
        <w:spacing w:line="360" w:lineRule="auto"/>
        <w:ind w:right="49" w:firstLine="567"/>
        <w:jc w:val="both"/>
        <w:rPr>
          <w:rFonts w:ascii="Arial" w:hAnsi="Arial" w:cs="Arial"/>
          <w:sz w:val="26"/>
          <w:szCs w:val="26"/>
        </w:rPr>
      </w:pPr>
      <w:r>
        <w:rPr>
          <w:noProof/>
        </w:rPr>
        <mc:AlternateContent>
          <mc:Choice Requires="wps">
            <w:drawing>
              <wp:anchor distT="0" distB="0" distL="114300" distR="114300" simplePos="0" relativeHeight="251669504" behindDoc="0" locked="0" layoutInCell="1" allowOverlap="1" wp14:anchorId="6ECC8734" wp14:editId="376BB952">
                <wp:simplePos x="0" y="0"/>
                <wp:positionH relativeFrom="column">
                  <wp:posOffset>5525135</wp:posOffset>
                </wp:positionH>
                <wp:positionV relativeFrom="paragraph">
                  <wp:posOffset>1467485</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5.05pt;margin-top:115.5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s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Z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">
                <v:textbox>
                  <w:txbxContent>
                    <w:p w:rsidR="00F23799" w:rsidRPr="00A6596B" w:rsidRDefault="00F23799" w:rsidP="00F23799">
                      <w:pPr>
                        <w:rPr>
                          <w:sz w:val="16"/>
                          <w:szCs w:val="16"/>
                        </w:rPr>
                      </w:pPr>
                      <w:r>
                        <w:rPr>
                          <w:sz w:val="16"/>
                          <w:szCs w:val="16"/>
                        </w:rPr>
                        <w:t>Datos personales protegidos por el Art. 116 de la LGTAIP y el Art. 56 de la LTAIPEO</w:t>
                      </w:r>
                    </w:p>
                  </w:txbxContent>
                </v:textbox>
              </v:shape>
            </w:pict>
          </mc:Fallback>
        </mc:AlternateContent>
      </w:r>
      <w:r w:rsidR="00734D70">
        <w:rPr>
          <w:rFonts w:ascii="Arial" w:hAnsi="Arial" w:cs="Arial"/>
          <w:sz w:val="26"/>
          <w:szCs w:val="26"/>
        </w:rPr>
        <w:t>Bajo esa tesitura,</w:t>
      </w:r>
      <w:r w:rsidR="00734D70" w:rsidRPr="007501A6">
        <w:rPr>
          <w:rFonts w:ascii="Arial" w:hAnsi="Arial" w:cs="Arial"/>
          <w:b/>
          <w:sz w:val="26"/>
          <w:szCs w:val="26"/>
        </w:rPr>
        <w:t xml:space="preserve"> </w:t>
      </w:r>
      <w:r w:rsidR="00734D70" w:rsidRPr="007501A6">
        <w:rPr>
          <w:rFonts w:ascii="Arial" w:hAnsi="Arial" w:cs="Arial"/>
          <w:sz w:val="26"/>
          <w:szCs w:val="26"/>
        </w:rPr>
        <w:t>el planteamiento del aquí disconforme que esencialmente está dirigido a controvertir la competencia del Secretario de Vialidad y Transporte</w:t>
      </w:r>
      <w:r w:rsidR="00734D70">
        <w:rPr>
          <w:rFonts w:ascii="Arial" w:hAnsi="Arial" w:cs="Arial"/>
          <w:sz w:val="26"/>
          <w:szCs w:val="26"/>
        </w:rPr>
        <w:t>,</w:t>
      </w:r>
      <w:r w:rsidR="00734D70" w:rsidRPr="007501A6">
        <w:rPr>
          <w:rFonts w:ascii="Arial" w:hAnsi="Arial" w:cs="Arial"/>
          <w:sz w:val="26"/>
          <w:szCs w:val="26"/>
        </w:rPr>
        <w:t xml:space="preserve"> no puede tomarse en consideración porque ese no es el objeto del acuerdo sujeto a revisión,</w:t>
      </w:r>
      <w:r w:rsidR="00734D70">
        <w:rPr>
          <w:rFonts w:ascii="Arial" w:hAnsi="Arial" w:cs="Arial"/>
          <w:sz w:val="26"/>
          <w:szCs w:val="26"/>
        </w:rPr>
        <w:t xml:space="preserve"> puesto que debía demostrar</w:t>
      </w:r>
      <w:r w:rsidR="00734D70" w:rsidRPr="007501A6">
        <w:rPr>
          <w:rFonts w:ascii="Arial" w:hAnsi="Arial" w:cs="Arial"/>
          <w:sz w:val="26"/>
          <w:szCs w:val="26"/>
        </w:rPr>
        <w:t xml:space="preserve"> que los ef</w:t>
      </w:r>
      <w:r w:rsidR="00734D70">
        <w:rPr>
          <w:rFonts w:ascii="Arial" w:hAnsi="Arial" w:cs="Arial"/>
          <w:sz w:val="26"/>
          <w:szCs w:val="26"/>
        </w:rPr>
        <w:t>ectos impuestos en la sentencia</w:t>
      </w:r>
      <w:r w:rsidR="0024550E">
        <w:rPr>
          <w:rFonts w:ascii="Arial" w:hAnsi="Arial" w:cs="Arial"/>
          <w:sz w:val="26"/>
          <w:szCs w:val="26"/>
        </w:rPr>
        <w:t xml:space="preserve"> no fueron cumplidos por el Director de Concesiones</w:t>
      </w:r>
      <w:r w:rsidR="00734D70">
        <w:rPr>
          <w:rFonts w:ascii="Arial" w:hAnsi="Arial" w:cs="Arial"/>
          <w:sz w:val="26"/>
          <w:szCs w:val="26"/>
        </w:rPr>
        <w:t>;</w:t>
      </w:r>
      <w:r w:rsidR="00734D70" w:rsidRPr="007501A6">
        <w:rPr>
          <w:rFonts w:ascii="Arial" w:hAnsi="Arial" w:cs="Arial"/>
          <w:sz w:val="26"/>
          <w:szCs w:val="26"/>
        </w:rPr>
        <w:t xml:space="preserve"> es decir, que la autoridad demandada no ha emitido un acto en el que </w:t>
      </w:r>
      <w:r w:rsidR="00734D70">
        <w:rPr>
          <w:rFonts w:ascii="Arial" w:hAnsi="Arial" w:cs="Arial"/>
          <w:sz w:val="26"/>
          <w:szCs w:val="26"/>
        </w:rPr>
        <w:t>haya fundado debidamente su competencia para remitir su petición al citado Secretario, y que esta autoridad a su vez no haya emitido un acuerdo dando contestación a su petición.</w:t>
      </w:r>
    </w:p>
    <w:p w:rsidR="00B132A5" w:rsidRDefault="00734D70" w:rsidP="00B132A5">
      <w:pPr>
        <w:pStyle w:val="Sinespaciado"/>
        <w:spacing w:line="360" w:lineRule="auto"/>
        <w:ind w:right="49" w:firstLine="567"/>
        <w:jc w:val="both"/>
        <w:rPr>
          <w:rFonts w:ascii="Arial" w:hAnsi="Arial" w:cs="Arial"/>
          <w:sz w:val="26"/>
          <w:szCs w:val="26"/>
        </w:rPr>
      </w:pPr>
      <w:r w:rsidRPr="007501A6">
        <w:rPr>
          <w:rFonts w:ascii="Arial" w:hAnsi="Arial" w:cs="Arial"/>
          <w:sz w:val="26"/>
          <w:szCs w:val="26"/>
        </w:rPr>
        <w:t xml:space="preserve">Lo que </w:t>
      </w:r>
      <w:r>
        <w:rPr>
          <w:rFonts w:ascii="Arial" w:hAnsi="Arial" w:cs="Arial"/>
          <w:sz w:val="26"/>
          <w:szCs w:val="26"/>
        </w:rPr>
        <w:t>el</w:t>
      </w:r>
      <w:r w:rsidRPr="007501A6">
        <w:rPr>
          <w:rFonts w:ascii="Arial" w:hAnsi="Arial" w:cs="Arial"/>
          <w:sz w:val="26"/>
          <w:szCs w:val="26"/>
        </w:rPr>
        <w:t xml:space="preserve"> aquí recurrente pretende con la forma en que están planteados sus agravios</w:t>
      </w:r>
      <w:r w:rsidR="00A82E3C">
        <w:rPr>
          <w:rFonts w:ascii="Arial" w:hAnsi="Arial" w:cs="Arial"/>
          <w:sz w:val="26"/>
          <w:szCs w:val="26"/>
        </w:rPr>
        <w:t>,</w:t>
      </w:r>
      <w:r w:rsidRPr="007501A6">
        <w:rPr>
          <w:rFonts w:ascii="Arial" w:hAnsi="Arial" w:cs="Arial"/>
          <w:sz w:val="26"/>
          <w:szCs w:val="26"/>
        </w:rPr>
        <w:t xml:space="preserve"> es que esta Superioridad emprenda un análisis respecto de cuestiones que no han sido objeto de discusión en la primera instancia y donde todas las partes puedan tener acceso a una defensa, además que está dirigido a que se emita una nueva </w:t>
      </w:r>
      <w:r w:rsidRPr="007501A6">
        <w:rPr>
          <w:rFonts w:ascii="Arial" w:hAnsi="Arial" w:cs="Arial"/>
          <w:sz w:val="26"/>
          <w:szCs w:val="26"/>
        </w:rPr>
        <w:lastRenderedPageBreak/>
        <w:t>determinación</w:t>
      </w:r>
      <w:r w:rsidR="00812F43">
        <w:rPr>
          <w:rFonts w:ascii="Arial" w:hAnsi="Arial" w:cs="Arial"/>
          <w:sz w:val="26"/>
          <w:szCs w:val="26"/>
        </w:rPr>
        <w:t>;</w:t>
      </w:r>
      <w:r w:rsidRPr="007501A6">
        <w:rPr>
          <w:rFonts w:ascii="Arial" w:hAnsi="Arial" w:cs="Arial"/>
          <w:sz w:val="26"/>
          <w:szCs w:val="26"/>
        </w:rPr>
        <w:t xml:space="preserve"> y tal circunstancia es imposible, porque los lineamientos que rigen el fallo que resolvió </w:t>
      </w:r>
      <w:r>
        <w:rPr>
          <w:rFonts w:ascii="Arial" w:hAnsi="Arial" w:cs="Arial"/>
          <w:sz w:val="26"/>
          <w:szCs w:val="26"/>
        </w:rPr>
        <w:t>la</w:t>
      </w:r>
      <w:r w:rsidRPr="007501A6">
        <w:rPr>
          <w:rFonts w:ascii="Arial" w:hAnsi="Arial" w:cs="Arial"/>
          <w:sz w:val="26"/>
          <w:szCs w:val="26"/>
        </w:rPr>
        <w:t xml:space="preserve"> cuestión de fondo sometida a la jurisdicción de la primera instancia, ya fueron establecidos en la sentencia </w:t>
      </w:r>
      <w:r w:rsidR="00533F7F">
        <w:rPr>
          <w:rFonts w:ascii="Arial" w:hAnsi="Arial" w:cs="Arial"/>
          <w:sz w:val="26"/>
          <w:szCs w:val="26"/>
        </w:rPr>
        <w:t>de 15 quince de noviembre de 2013 dos mil trece.</w:t>
      </w:r>
      <w:r>
        <w:rPr>
          <w:rFonts w:ascii="Arial" w:hAnsi="Arial" w:cs="Arial"/>
          <w:sz w:val="26"/>
          <w:szCs w:val="26"/>
        </w:rPr>
        <w:t xml:space="preserve"> </w:t>
      </w:r>
    </w:p>
    <w:p w:rsidR="00734D70" w:rsidRPr="00AF71B0" w:rsidRDefault="00734D70" w:rsidP="00B132A5">
      <w:pPr>
        <w:pStyle w:val="Sinespaciado"/>
        <w:spacing w:line="360" w:lineRule="auto"/>
        <w:ind w:right="49" w:firstLine="567"/>
        <w:jc w:val="both"/>
        <w:rPr>
          <w:rFonts w:ascii="Arial" w:hAnsi="Arial" w:cs="Arial"/>
          <w:sz w:val="26"/>
          <w:szCs w:val="26"/>
        </w:rPr>
      </w:pPr>
      <w:r w:rsidRPr="002B32BE">
        <w:rPr>
          <w:rFonts w:ascii="Arial" w:hAnsi="Arial" w:cs="Arial"/>
          <w:sz w:val="26"/>
          <w:szCs w:val="26"/>
        </w:rPr>
        <w:t xml:space="preserve">En estas condiciones, son </w:t>
      </w:r>
      <w:r w:rsidRPr="002B32BE">
        <w:rPr>
          <w:rFonts w:ascii="Arial" w:hAnsi="Arial" w:cs="Arial"/>
          <w:b/>
          <w:sz w:val="26"/>
          <w:szCs w:val="26"/>
        </w:rPr>
        <w:t xml:space="preserve">inoperantes </w:t>
      </w:r>
      <w:r w:rsidRPr="007501A6">
        <w:rPr>
          <w:rFonts w:ascii="Arial" w:hAnsi="Arial" w:cs="Arial"/>
          <w:sz w:val="26"/>
          <w:szCs w:val="26"/>
        </w:rPr>
        <w:t xml:space="preserve">los argumentos hechos valer por </w:t>
      </w:r>
      <w:r>
        <w:rPr>
          <w:rFonts w:ascii="Arial" w:hAnsi="Arial" w:cs="Arial"/>
          <w:sz w:val="26"/>
          <w:szCs w:val="26"/>
        </w:rPr>
        <w:t>el</w:t>
      </w:r>
      <w:r w:rsidRPr="007501A6">
        <w:rPr>
          <w:rFonts w:ascii="Arial" w:hAnsi="Arial" w:cs="Arial"/>
          <w:sz w:val="26"/>
          <w:szCs w:val="26"/>
        </w:rPr>
        <w:t xml:space="preserve"> aquí recurrente</w:t>
      </w:r>
      <w:r w:rsidR="00533F7F">
        <w:rPr>
          <w:rFonts w:ascii="Arial" w:hAnsi="Arial" w:cs="Arial"/>
          <w:sz w:val="26"/>
          <w:szCs w:val="26"/>
        </w:rPr>
        <w:t>,</w:t>
      </w:r>
      <w:r w:rsidRPr="007501A6">
        <w:rPr>
          <w:rFonts w:ascii="Arial" w:hAnsi="Arial" w:cs="Arial"/>
          <w:sz w:val="26"/>
          <w:szCs w:val="26"/>
        </w:rPr>
        <w:t xml:space="preserve"> porque la determinación contenida en el auto de </w:t>
      </w:r>
      <w:r w:rsidR="00533F7F">
        <w:rPr>
          <w:rFonts w:ascii="Arial" w:hAnsi="Arial" w:cs="Arial"/>
          <w:sz w:val="26"/>
          <w:szCs w:val="26"/>
        </w:rPr>
        <w:t>18 dieciocho de abril de 2016 dos mil dieciséis</w:t>
      </w:r>
      <w:r>
        <w:rPr>
          <w:rFonts w:ascii="Arial" w:hAnsi="Arial" w:cs="Arial"/>
          <w:sz w:val="26"/>
          <w:szCs w:val="26"/>
        </w:rPr>
        <w:t>,</w:t>
      </w:r>
      <w:r w:rsidR="00533F7F">
        <w:rPr>
          <w:rFonts w:ascii="Arial" w:hAnsi="Arial" w:cs="Arial"/>
          <w:sz w:val="26"/>
          <w:szCs w:val="26"/>
        </w:rPr>
        <w:t xml:space="preserve"> emitido por la Directora de Concesiones de la Secretaría de Vialidad y Transporte del Estado, </w:t>
      </w:r>
      <w:r w:rsidRPr="007501A6">
        <w:rPr>
          <w:rFonts w:ascii="Arial" w:hAnsi="Arial" w:cs="Arial"/>
          <w:sz w:val="26"/>
          <w:szCs w:val="26"/>
        </w:rPr>
        <w:t>cumple con su finalidad que es la de establecer si se han colmado o no las consideraciones contenidas en la sentencia definitiva</w:t>
      </w:r>
      <w:r>
        <w:rPr>
          <w:rFonts w:ascii="Arial" w:hAnsi="Arial" w:cs="Arial"/>
          <w:sz w:val="26"/>
          <w:szCs w:val="26"/>
        </w:rPr>
        <w:t>,</w:t>
      </w:r>
      <w:r w:rsidRPr="007501A6">
        <w:rPr>
          <w:rFonts w:ascii="Arial" w:hAnsi="Arial" w:cs="Arial"/>
          <w:sz w:val="26"/>
          <w:szCs w:val="26"/>
        </w:rPr>
        <w:t xml:space="preserve"> y porque </w:t>
      </w:r>
      <w:r>
        <w:rPr>
          <w:rFonts w:ascii="Arial" w:hAnsi="Arial" w:cs="Arial"/>
          <w:sz w:val="26"/>
          <w:szCs w:val="26"/>
        </w:rPr>
        <w:t xml:space="preserve">sus agravios </w:t>
      </w:r>
      <w:r w:rsidRPr="007501A6">
        <w:rPr>
          <w:rFonts w:ascii="Arial" w:hAnsi="Arial" w:cs="Arial"/>
          <w:sz w:val="26"/>
          <w:szCs w:val="26"/>
        </w:rPr>
        <w:t xml:space="preserve">están dirigidos a controvertir cuestiones que </w:t>
      </w:r>
      <w:r>
        <w:rPr>
          <w:rFonts w:ascii="Arial" w:hAnsi="Arial" w:cs="Arial"/>
          <w:sz w:val="26"/>
          <w:szCs w:val="26"/>
        </w:rPr>
        <w:t xml:space="preserve">no </w:t>
      </w:r>
      <w:r w:rsidRPr="007501A6">
        <w:rPr>
          <w:rFonts w:ascii="Arial" w:hAnsi="Arial" w:cs="Arial"/>
          <w:sz w:val="26"/>
          <w:szCs w:val="26"/>
        </w:rPr>
        <w:t>son motivo ni del auto sujeto a revisión ni del presente medio de defensa.</w:t>
      </w:r>
      <w:r>
        <w:rPr>
          <w:rFonts w:ascii="Arial" w:hAnsi="Arial" w:cs="Arial"/>
          <w:sz w:val="26"/>
          <w:szCs w:val="26"/>
        </w:rPr>
        <w:t xml:space="preserve">- </w:t>
      </w:r>
      <w:r w:rsidRPr="007501A6">
        <w:rPr>
          <w:rFonts w:ascii="Arial" w:hAnsi="Arial" w:cs="Arial"/>
          <w:sz w:val="26"/>
          <w:szCs w:val="26"/>
        </w:rPr>
        <w:t xml:space="preserve">Sirve de apoyo por analogía en el tema la jurisprudencia </w:t>
      </w:r>
      <w:r>
        <w:rPr>
          <w:rFonts w:ascii="Arial" w:hAnsi="Arial" w:cs="Arial"/>
          <w:sz w:val="26"/>
          <w:szCs w:val="26"/>
        </w:rPr>
        <w:t>de la D</w:t>
      </w:r>
      <w:r w:rsidRPr="00AF71B0">
        <w:rPr>
          <w:rFonts w:ascii="Arial" w:hAnsi="Arial" w:cs="Arial"/>
          <w:sz w:val="26"/>
          <w:szCs w:val="26"/>
        </w:rPr>
        <w:t>écima Época</w:t>
      </w:r>
      <w:r>
        <w:rPr>
          <w:rFonts w:ascii="Arial" w:hAnsi="Arial" w:cs="Arial"/>
          <w:sz w:val="26"/>
          <w:szCs w:val="26"/>
        </w:rPr>
        <w:t>, con número de registro</w:t>
      </w:r>
      <w:r w:rsidRPr="00AF71B0">
        <w:rPr>
          <w:rFonts w:ascii="Arial" w:hAnsi="Arial" w:cs="Arial"/>
          <w:sz w:val="26"/>
          <w:szCs w:val="26"/>
        </w:rPr>
        <w:t xml:space="preserve"> 2000879</w:t>
      </w:r>
      <w:r>
        <w:rPr>
          <w:rFonts w:ascii="Arial" w:hAnsi="Arial" w:cs="Arial"/>
          <w:sz w:val="26"/>
          <w:szCs w:val="26"/>
        </w:rPr>
        <w:t xml:space="preserve">, de la Segunda Sala de la Suprema Corte de Justicia de la Nación, publicada en el </w:t>
      </w:r>
      <w:r w:rsidRPr="00AF71B0">
        <w:rPr>
          <w:rFonts w:ascii="Arial" w:hAnsi="Arial" w:cs="Arial"/>
          <w:sz w:val="26"/>
          <w:szCs w:val="26"/>
        </w:rPr>
        <w:t>Semanario Judicial de la Federación y su Gaceta</w:t>
      </w:r>
      <w:r>
        <w:rPr>
          <w:rFonts w:ascii="Arial" w:hAnsi="Arial" w:cs="Arial"/>
          <w:sz w:val="26"/>
          <w:szCs w:val="26"/>
        </w:rPr>
        <w:t xml:space="preserve">, </w:t>
      </w:r>
      <w:r w:rsidRPr="00AF71B0">
        <w:rPr>
          <w:rFonts w:ascii="Arial" w:hAnsi="Arial" w:cs="Arial"/>
          <w:sz w:val="26"/>
          <w:szCs w:val="26"/>
        </w:rPr>
        <w:t>Libro VIII, Mayo de 2012, Tomo 2</w:t>
      </w:r>
      <w:r>
        <w:rPr>
          <w:rFonts w:ascii="Arial" w:hAnsi="Arial" w:cs="Arial"/>
          <w:sz w:val="26"/>
          <w:szCs w:val="26"/>
        </w:rPr>
        <w:t xml:space="preserve">, página </w:t>
      </w:r>
      <w:r w:rsidRPr="00AF71B0">
        <w:rPr>
          <w:rFonts w:ascii="Arial" w:hAnsi="Arial" w:cs="Arial"/>
          <w:sz w:val="26"/>
          <w:szCs w:val="26"/>
        </w:rPr>
        <w:t>1216</w:t>
      </w:r>
      <w:r>
        <w:rPr>
          <w:rFonts w:ascii="Arial" w:hAnsi="Arial" w:cs="Arial"/>
          <w:sz w:val="26"/>
          <w:szCs w:val="26"/>
        </w:rPr>
        <w:t>, de rubro y texto siguientes:</w:t>
      </w:r>
      <w:r w:rsidRPr="00AF71B0">
        <w:rPr>
          <w:rFonts w:ascii="Arial" w:hAnsi="Arial" w:cs="Arial"/>
          <w:sz w:val="26"/>
          <w:szCs w:val="26"/>
        </w:rPr>
        <w:t xml:space="preserve"> </w:t>
      </w:r>
    </w:p>
    <w:p w:rsidR="00734D70" w:rsidRDefault="00734D70" w:rsidP="00734D70">
      <w:pPr>
        <w:pStyle w:val="Sinespaciado"/>
        <w:spacing w:line="360" w:lineRule="auto"/>
        <w:ind w:left="567" w:right="616"/>
        <w:jc w:val="both"/>
        <w:rPr>
          <w:rFonts w:ascii="Arial" w:hAnsi="Arial" w:cs="Arial"/>
          <w:i/>
        </w:rPr>
      </w:pPr>
      <w:r w:rsidRPr="00AF71B0">
        <w:rPr>
          <w:rFonts w:ascii="Arial" w:hAnsi="Arial" w:cs="Arial"/>
          <w:b/>
          <w:i/>
        </w:rPr>
        <w:t>“RECLAMACIÓN. LOS AGRAVIOS QUE CONTROVIERTEN UNA RESOLUCIÓN DIVERSA AL ACUERDO DE PRESIDENCIA RECURRIDO O NO LO COMBATEN DEBEN DECLARARSE INOPERANTES</w:t>
      </w:r>
      <w:r w:rsidRPr="00AF71B0">
        <w:rPr>
          <w:rFonts w:ascii="Arial" w:hAnsi="Arial" w:cs="Arial"/>
          <w:i/>
        </w:rPr>
        <w:t>. El recurso de reclamación constituye un medio de defensa que la Ley de Amparo concede a las partes para impugnar los acuerdos de trámite dictados por el Presidente de la Suprema Corte de Justicia de la Nación, los de sus Salas o los de los Tribunales Colegiados de Circuito. Por tanto, su materia consiste en el acuerdo de trámite impugnado, el cual debe examinarse a través de los agravios expresados por la recurrente; de ahí que si éstos no combaten los razonamientos en que se apoya el acuerdo de Presidencia señalado o están encaminados a controvertir una resolución diversa son inoperantes y, por ende, el referido recurso debe declararse infundado.</w:t>
      </w:r>
      <w:r>
        <w:rPr>
          <w:rFonts w:ascii="Arial" w:hAnsi="Arial" w:cs="Arial"/>
          <w:i/>
        </w:rPr>
        <w:t>”</w:t>
      </w:r>
    </w:p>
    <w:p w:rsidR="00B13839" w:rsidRDefault="00B13839" w:rsidP="00734D70">
      <w:pPr>
        <w:pStyle w:val="Sinespaciado"/>
        <w:spacing w:line="360" w:lineRule="auto"/>
        <w:ind w:left="567" w:right="616"/>
        <w:jc w:val="both"/>
        <w:rPr>
          <w:rFonts w:ascii="Arial" w:hAnsi="Arial" w:cs="Arial"/>
          <w:i/>
        </w:rPr>
      </w:pPr>
    </w:p>
    <w:p w:rsidR="003515D5" w:rsidRPr="006F173F" w:rsidRDefault="003515D5" w:rsidP="003515D5">
      <w:pPr>
        <w:pStyle w:val="Sinespaciado"/>
        <w:spacing w:line="360" w:lineRule="auto"/>
        <w:jc w:val="both"/>
        <w:rPr>
          <w:rFonts w:ascii="Arial" w:hAnsi="Arial" w:cs="Arial"/>
          <w:sz w:val="26"/>
          <w:szCs w:val="26"/>
        </w:rPr>
      </w:pPr>
      <w:r w:rsidRPr="009F667B">
        <w:rPr>
          <w:rFonts w:ascii="Arial" w:eastAsia="Calibri" w:hAnsi="Arial" w:cs="Arial"/>
          <w:bCs/>
          <w:sz w:val="26"/>
          <w:szCs w:val="26"/>
        </w:rPr>
        <w:t xml:space="preserve">Por las narradas consideraciones, </w:t>
      </w:r>
      <w:r>
        <w:rPr>
          <w:rFonts w:ascii="Arial" w:eastAsia="Calibri" w:hAnsi="Arial" w:cs="Arial"/>
          <w:bCs/>
          <w:sz w:val="26"/>
          <w:szCs w:val="26"/>
        </w:rPr>
        <w:t>se</w:t>
      </w:r>
      <w:r w:rsidRPr="006F173F">
        <w:rPr>
          <w:rFonts w:ascii="Arial" w:eastAsia="Calibri" w:hAnsi="Arial" w:cs="Arial"/>
          <w:bCs/>
          <w:sz w:val="26"/>
          <w:szCs w:val="26"/>
        </w:rPr>
        <w:t xml:space="preserve"> </w:t>
      </w:r>
      <w:r w:rsidR="00C21716">
        <w:rPr>
          <w:rFonts w:ascii="Arial" w:eastAsia="Calibri" w:hAnsi="Arial" w:cs="Arial"/>
          <w:b/>
          <w:bCs/>
          <w:sz w:val="26"/>
          <w:szCs w:val="26"/>
        </w:rPr>
        <w:t>CONFIRMA</w:t>
      </w:r>
      <w:r w:rsidRPr="006F173F">
        <w:rPr>
          <w:rFonts w:ascii="Arial" w:eastAsia="Calibri" w:hAnsi="Arial" w:cs="Arial"/>
          <w:b/>
          <w:bCs/>
          <w:sz w:val="26"/>
          <w:szCs w:val="26"/>
        </w:rPr>
        <w:t xml:space="preserve"> </w:t>
      </w:r>
      <w:r w:rsidRPr="006F173F">
        <w:rPr>
          <w:rFonts w:ascii="Arial" w:eastAsia="Calibri" w:hAnsi="Arial" w:cs="Arial"/>
          <w:bCs/>
          <w:sz w:val="26"/>
          <w:szCs w:val="26"/>
        </w:rPr>
        <w:t xml:space="preserve">el </w:t>
      </w:r>
      <w:r>
        <w:rPr>
          <w:rFonts w:ascii="Arial" w:eastAsia="Calibri" w:hAnsi="Arial" w:cs="Arial"/>
          <w:bCs/>
          <w:sz w:val="26"/>
          <w:szCs w:val="26"/>
        </w:rPr>
        <w:t>acuerdo</w:t>
      </w:r>
      <w:r w:rsidRPr="006F173F">
        <w:rPr>
          <w:rFonts w:ascii="Arial" w:eastAsia="Calibri" w:hAnsi="Arial" w:cs="Arial"/>
          <w:bCs/>
          <w:sz w:val="26"/>
          <w:szCs w:val="26"/>
        </w:rPr>
        <w:t xml:space="preserve"> de </w:t>
      </w:r>
      <w:r w:rsidRPr="00533F7F">
        <w:rPr>
          <w:rFonts w:ascii="Arial" w:eastAsia="Calibri" w:hAnsi="Arial" w:cs="Arial"/>
          <w:bCs/>
          <w:sz w:val="26"/>
          <w:szCs w:val="26"/>
        </w:rPr>
        <w:t>25 veinticinco de agosto de 2016 dos mil dieciséis</w:t>
      </w:r>
      <w:r w:rsidRPr="006F173F">
        <w:rPr>
          <w:rFonts w:ascii="Arial" w:eastAsia="Calibri" w:hAnsi="Arial" w:cs="Arial"/>
          <w:bCs/>
          <w:sz w:val="26"/>
          <w:szCs w:val="26"/>
        </w:rPr>
        <w:t xml:space="preserve"> y</w:t>
      </w:r>
      <w:r w:rsidRPr="006F173F">
        <w:rPr>
          <w:rFonts w:ascii="Arial" w:hAnsi="Arial" w:cs="Arial"/>
          <w:b/>
          <w:sz w:val="26"/>
          <w:szCs w:val="26"/>
        </w:rPr>
        <w:t>,</w:t>
      </w:r>
      <w:r w:rsidRPr="006F173F">
        <w:rPr>
          <w:rFonts w:ascii="Arial" w:eastAsia="Calibri" w:hAnsi="Arial" w:cs="Arial"/>
          <w:sz w:val="26"/>
          <w:szCs w:val="26"/>
        </w:rPr>
        <w:t xml:space="preserve"> con fundamento en los artículos </w:t>
      </w:r>
      <w:r w:rsidRPr="006F173F">
        <w:rPr>
          <w:rFonts w:ascii="Arial" w:hAnsi="Arial" w:cs="Arial"/>
          <w:sz w:val="26"/>
          <w:szCs w:val="26"/>
        </w:rPr>
        <w:t>207 y 208 de la Ley de Justicia Administrativa para el Estado, se:</w:t>
      </w:r>
      <w:r>
        <w:rPr>
          <w:rFonts w:ascii="Arial" w:hAnsi="Arial" w:cs="Arial"/>
          <w:sz w:val="26"/>
          <w:szCs w:val="26"/>
        </w:rPr>
        <w:t xml:space="preserve"> </w:t>
      </w:r>
    </w:p>
    <w:p w:rsidR="00F3685E" w:rsidRDefault="003515D5" w:rsidP="00B132A5">
      <w:pPr>
        <w:pStyle w:val="Sinespaciado"/>
        <w:spacing w:line="360" w:lineRule="auto"/>
        <w:jc w:val="center"/>
        <w:rPr>
          <w:rFonts w:ascii="Arial" w:hAnsi="Arial" w:cs="Arial"/>
          <w:b/>
          <w:sz w:val="24"/>
          <w:szCs w:val="24"/>
        </w:rPr>
      </w:pPr>
      <w:r w:rsidRPr="00CB6E8A">
        <w:rPr>
          <w:rFonts w:ascii="Arial" w:hAnsi="Arial" w:cs="Arial"/>
          <w:b/>
          <w:sz w:val="24"/>
          <w:szCs w:val="24"/>
        </w:rPr>
        <w:t>R E S U E L V E</w:t>
      </w:r>
    </w:p>
    <w:p w:rsidR="00B132A5" w:rsidRDefault="00F3685E" w:rsidP="00B132A5">
      <w:pPr>
        <w:pStyle w:val="Sinespaciado"/>
        <w:spacing w:line="360" w:lineRule="auto"/>
        <w:ind w:firstLine="567"/>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00912182" w:rsidRPr="00F209A9">
        <w:rPr>
          <w:rFonts w:ascii="Arial" w:hAnsi="Arial" w:cs="Arial"/>
          <w:sz w:val="26"/>
          <w:szCs w:val="26"/>
        </w:rPr>
        <w:t>23 veintitrés de febrero de 2017 dos mil diecisiete</w:t>
      </w:r>
      <w:r w:rsidRPr="00832C7B">
        <w:rPr>
          <w:rFonts w:ascii="Arial" w:eastAsia="Times New Roman" w:hAnsi="Arial" w:cs="Arial"/>
          <w:bCs/>
          <w:iCs/>
          <w:sz w:val="26"/>
          <w:szCs w:val="26"/>
          <w:lang w:eastAsia="es-ES"/>
        </w:rPr>
        <w:t>, dict</w:t>
      </w:r>
      <w:r>
        <w:rPr>
          <w:rFonts w:ascii="Arial" w:eastAsia="Times New Roman" w:hAnsi="Arial" w:cs="Arial"/>
          <w:bCs/>
          <w:iCs/>
          <w:sz w:val="26"/>
          <w:szCs w:val="26"/>
          <w:lang w:eastAsia="es-ES"/>
        </w:rPr>
        <w:t xml:space="preserve">ada por esta Sala Superior del </w:t>
      </w:r>
      <w:r>
        <w:rPr>
          <w:rFonts w:ascii="Arial" w:eastAsia="Times New Roman" w:hAnsi="Arial" w:cs="Arial"/>
          <w:bCs/>
          <w:iCs/>
          <w:sz w:val="26"/>
          <w:szCs w:val="26"/>
          <w:lang w:eastAsia="es-ES"/>
        </w:rPr>
        <w:lastRenderedPageBreak/>
        <w:t>Tribunal de lo Contencioso Administrativo y de Cuentas del Poder Judicial del Estado</w:t>
      </w:r>
      <w:r>
        <w:rPr>
          <w:rFonts w:ascii="Arial" w:hAnsi="Arial" w:cs="Arial"/>
          <w:sz w:val="26"/>
          <w:szCs w:val="26"/>
          <w:lang w:val="es-MX"/>
        </w:rPr>
        <w:t>.</w:t>
      </w:r>
    </w:p>
    <w:p w:rsidR="00B132A5" w:rsidRDefault="00F3685E" w:rsidP="00B132A5">
      <w:pPr>
        <w:pStyle w:val="Sinespaciado"/>
        <w:spacing w:line="360" w:lineRule="auto"/>
        <w:ind w:firstLine="567"/>
        <w:jc w:val="both"/>
        <w:rPr>
          <w:rFonts w:ascii="Arial" w:hAnsi="Arial" w:cs="Arial"/>
          <w:sz w:val="26"/>
          <w:szCs w:val="26"/>
          <w:lang w:val="es-MX"/>
        </w:rPr>
      </w:pPr>
      <w:r>
        <w:rPr>
          <w:rFonts w:ascii="Arial" w:hAnsi="Arial" w:cs="Arial"/>
          <w:b/>
          <w:sz w:val="26"/>
          <w:szCs w:val="26"/>
          <w:lang w:val="es-MX"/>
        </w:rPr>
        <w:t>SEGUNDO.</w:t>
      </w:r>
      <w:r w:rsidRPr="00D14372">
        <w:rPr>
          <w:rFonts w:ascii="Arial" w:hAnsi="Arial" w:cs="Arial"/>
          <w:b/>
          <w:sz w:val="26"/>
          <w:szCs w:val="26"/>
          <w:lang w:val="es-MX"/>
        </w:rPr>
        <w:t xml:space="preserve"> </w:t>
      </w:r>
      <w:r w:rsidR="00912182" w:rsidRPr="009F667B">
        <w:rPr>
          <w:rFonts w:ascii="Arial" w:hAnsi="Arial" w:cs="Arial"/>
          <w:sz w:val="26"/>
          <w:szCs w:val="26"/>
        </w:rPr>
        <w:t xml:space="preserve">Se </w:t>
      </w:r>
      <w:r w:rsidR="00912182" w:rsidRPr="009F667B">
        <w:rPr>
          <w:rFonts w:ascii="Arial" w:hAnsi="Arial" w:cs="Arial"/>
          <w:b/>
          <w:sz w:val="26"/>
          <w:szCs w:val="26"/>
        </w:rPr>
        <w:t xml:space="preserve">CONFIRMA </w:t>
      </w:r>
      <w:r w:rsidR="00912182" w:rsidRPr="009F667B">
        <w:rPr>
          <w:rFonts w:ascii="Arial" w:hAnsi="Arial" w:cs="Arial"/>
          <w:sz w:val="26"/>
          <w:szCs w:val="26"/>
        </w:rPr>
        <w:t xml:space="preserve">el </w:t>
      </w:r>
      <w:r w:rsidR="00912182">
        <w:rPr>
          <w:rFonts w:ascii="Arial" w:hAnsi="Arial" w:cs="Arial"/>
          <w:sz w:val="26"/>
          <w:szCs w:val="26"/>
        </w:rPr>
        <w:t>acuerdo</w:t>
      </w:r>
      <w:r w:rsidR="00912182" w:rsidRPr="009F667B">
        <w:rPr>
          <w:rFonts w:ascii="Arial" w:hAnsi="Arial" w:cs="Arial"/>
          <w:sz w:val="26"/>
          <w:szCs w:val="26"/>
        </w:rPr>
        <w:t xml:space="preserve"> de </w:t>
      </w:r>
      <w:r w:rsidR="00912182" w:rsidRPr="00533F7F">
        <w:rPr>
          <w:rFonts w:ascii="Arial" w:hAnsi="Arial" w:cs="Arial"/>
          <w:sz w:val="26"/>
          <w:szCs w:val="26"/>
        </w:rPr>
        <w:t>25 veinticinco de agosto de 2016 dos mil dieciséis, tal como quedó pre</w:t>
      </w:r>
      <w:r w:rsidR="00912182" w:rsidRPr="009F667B">
        <w:rPr>
          <w:rFonts w:ascii="Arial" w:hAnsi="Arial" w:cs="Arial"/>
          <w:sz w:val="26"/>
          <w:szCs w:val="26"/>
        </w:rPr>
        <w:t xml:space="preserve">cisado en el </w:t>
      </w:r>
      <w:r w:rsidR="00912182" w:rsidRPr="009F667B">
        <w:rPr>
          <w:rFonts w:ascii="Arial" w:hAnsi="Arial" w:cs="Arial"/>
          <w:sz w:val="26"/>
          <w:szCs w:val="26"/>
          <w:lang w:val="es-MX"/>
        </w:rPr>
        <w:t>Considerando Tercero</w:t>
      </w:r>
      <w:r w:rsidR="00B132A5">
        <w:rPr>
          <w:rFonts w:ascii="Arial" w:hAnsi="Arial" w:cs="Arial"/>
          <w:sz w:val="26"/>
          <w:szCs w:val="26"/>
          <w:lang w:val="es-MX"/>
        </w:rPr>
        <w:t>.</w:t>
      </w:r>
    </w:p>
    <w:p w:rsidR="00F3685E" w:rsidRDefault="00F3685E" w:rsidP="00B132A5">
      <w:pPr>
        <w:pStyle w:val="Sinespaciado"/>
        <w:spacing w:line="360" w:lineRule="auto"/>
        <w:ind w:firstLine="567"/>
        <w:jc w:val="both"/>
        <w:rPr>
          <w:rFonts w:ascii="Arial" w:hAnsi="Arial" w:cs="Arial"/>
          <w:b/>
          <w:sz w:val="24"/>
          <w:szCs w:val="24"/>
        </w:rPr>
      </w:pPr>
      <w:r>
        <w:rPr>
          <w:rFonts w:ascii="Arial" w:hAnsi="Arial" w:cs="Arial"/>
          <w:sz w:val="26"/>
          <w:szCs w:val="26"/>
          <w:lang w:val="es-MX"/>
        </w:rPr>
        <w:t xml:space="preserve">  </w:t>
      </w:r>
      <w:r>
        <w:rPr>
          <w:rFonts w:ascii="Arial" w:hAnsi="Arial" w:cs="Arial"/>
          <w:b/>
          <w:sz w:val="26"/>
          <w:szCs w:val="26"/>
          <w:lang w:val="es-MX"/>
        </w:rPr>
        <w:t xml:space="preserve">TERCERO.  </w:t>
      </w:r>
      <w:r w:rsidRPr="004D43B5">
        <w:rPr>
          <w:rFonts w:ascii="Arial" w:hAnsi="Arial" w:cs="Arial"/>
          <w:sz w:val="26"/>
          <w:szCs w:val="26"/>
        </w:rPr>
        <w:t xml:space="preserve">Remítanse copias certificadas de la presente resolución al </w:t>
      </w:r>
      <w:r>
        <w:rPr>
          <w:rFonts w:ascii="Arial" w:hAnsi="Arial" w:cs="Arial"/>
          <w:sz w:val="26"/>
          <w:szCs w:val="26"/>
        </w:rPr>
        <w:t xml:space="preserve">Juzgado </w:t>
      </w:r>
      <w:r w:rsidR="00912182">
        <w:rPr>
          <w:rFonts w:ascii="Arial" w:hAnsi="Arial" w:cs="Arial"/>
          <w:sz w:val="26"/>
          <w:szCs w:val="26"/>
        </w:rPr>
        <w:t>Decimop</w:t>
      </w:r>
      <w:r>
        <w:rPr>
          <w:rFonts w:ascii="Arial" w:hAnsi="Arial" w:cs="Arial"/>
          <w:sz w:val="26"/>
          <w:szCs w:val="26"/>
        </w:rPr>
        <w:t xml:space="preserve">rimero de Distrito, con residencia en San Bartolo </w:t>
      </w:r>
      <w:proofErr w:type="spellStart"/>
      <w:r>
        <w:rPr>
          <w:rFonts w:ascii="Arial" w:hAnsi="Arial" w:cs="Arial"/>
          <w:sz w:val="26"/>
          <w:szCs w:val="26"/>
        </w:rPr>
        <w:t>Coyotepec</w:t>
      </w:r>
      <w:proofErr w:type="spellEnd"/>
      <w:r w:rsidRPr="004D43B5">
        <w:rPr>
          <w:rFonts w:ascii="Arial" w:hAnsi="Arial" w:cs="Arial"/>
          <w:sz w:val="26"/>
          <w:szCs w:val="26"/>
        </w:rPr>
        <w:t>,</w:t>
      </w:r>
      <w:r>
        <w:rPr>
          <w:rFonts w:ascii="Arial" w:hAnsi="Arial" w:cs="Arial"/>
          <w:sz w:val="26"/>
          <w:szCs w:val="26"/>
        </w:rPr>
        <w:t xml:space="preserve"> Oaxaca,</w:t>
      </w:r>
      <w:r w:rsidRPr="004D43B5">
        <w:rPr>
          <w:rFonts w:ascii="Arial" w:hAnsi="Arial" w:cs="Arial"/>
          <w:sz w:val="26"/>
          <w:szCs w:val="26"/>
        </w:rPr>
        <w:t xml:space="preserve"> como constancia de cumplimiento para los efectos legales correspondientes</w:t>
      </w:r>
      <w:r>
        <w:rPr>
          <w:rFonts w:ascii="Arial" w:hAnsi="Arial" w:cs="Arial"/>
          <w:sz w:val="26"/>
          <w:szCs w:val="26"/>
        </w:rPr>
        <w:t xml:space="preserve">. </w:t>
      </w:r>
    </w:p>
    <w:p w:rsidR="00B132A5" w:rsidRDefault="00912182" w:rsidP="00B132A5">
      <w:pPr>
        <w:pStyle w:val="Sinespaciado"/>
        <w:spacing w:line="360" w:lineRule="auto"/>
        <w:ind w:firstLine="567"/>
        <w:jc w:val="both"/>
        <w:rPr>
          <w:rFonts w:ascii="Arial" w:hAnsi="Arial" w:cs="Arial"/>
          <w:sz w:val="26"/>
          <w:szCs w:val="26"/>
        </w:rPr>
      </w:pPr>
      <w:r>
        <w:rPr>
          <w:rFonts w:ascii="Arial" w:hAnsi="Arial" w:cs="Arial"/>
          <w:b/>
          <w:sz w:val="26"/>
          <w:szCs w:val="26"/>
        </w:rPr>
        <w:t>CUARTO</w:t>
      </w:r>
      <w:r w:rsidR="003515D5">
        <w:rPr>
          <w:rFonts w:ascii="Arial" w:hAnsi="Arial" w:cs="Arial"/>
          <w:b/>
          <w:sz w:val="26"/>
          <w:szCs w:val="26"/>
        </w:rPr>
        <w:t xml:space="preserve">. NOTIFÍQUESE Y CÚMPLASE, </w:t>
      </w:r>
      <w:r w:rsidR="003515D5">
        <w:rPr>
          <w:rFonts w:ascii="Arial" w:hAnsi="Arial" w:cs="Arial"/>
          <w:sz w:val="26"/>
          <w:szCs w:val="26"/>
        </w:rPr>
        <w:t>remítase copia certificada de la presente resolución a la Sexta Sala Unitaria de Primera Instancia de este Tribunal y en su oportunidad archívese el presente cuaderno de revisión como asunto concluido</w:t>
      </w:r>
      <w:r w:rsidR="00B132A5">
        <w:rPr>
          <w:rFonts w:ascii="Arial" w:hAnsi="Arial" w:cs="Arial"/>
          <w:sz w:val="26"/>
          <w:szCs w:val="26"/>
        </w:rPr>
        <w:t>.</w:t>
      </w:r>
    </w:p>
    <w:p w:rsidR="00AA01C0" w:rsidRDefault="00AA01C0" w:rsidP="00B132A5">
      <w:pPr>
        <w:pStyle w:val="Sinespaciado"/>
        <w:spacing w:line="360" w:lineRule="auto"/>
        <w:ind w:firstLine="567"/>
        <w:jc w:val="both"/>
        <w:rPr>
          <w:rFonts w:ascii="Arial" w:hAnsi="Arial" w:cs="Arial"/>
          <w:sz w:val="26"/>
          <w:szCs w:val="26"/>
        </w:rPr>
      </w:pPr>
      <w:r w:rsidRPr="008E5B2C">
        <w:rPr>
          <w:rFonts w:ascii="Arial" w:hAnsi="Arial" w:cs="Arial"/>
          <w:sz w:val="26"/>
          <w:szCs w:val="26"/>
        </w:rPr>
        <w:t>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w:t>
      </w:r>
      <w:r w:rsidR="00B132A5">
        <w:rPr>
          <w:rFonts w:ascii="Arial" w:hAnsi="Arial" w:cs="Arial"/>
          <w:sz w:val="26"/>
          <w:szCs w:val="26"/>
        </w:rPr>
        <w:t xml:space="preserve"> </w:t>
      </w:r>
    </w:p>
    <w:p w:rsidR="0056662C" w:rsidRDefault="0056662C" w:rsidP="00AA01C0">
      <w:pPr>
        <w:pStyle w:val="Sinespaciado"/>
        <w:jc w:val="center"/>
        <w:rPr>
          <w:rFonts w:ascii="Arial" w:hAnsi="Arial" w:cs="Arial"/>
          <w:sz w:val="26"/>
          <w:szCs w:val="26"/>
        </w:rPr>
      </w:pPr>
    </w:p>
    <w:p w:rsidR="00AA01C0" w:rsidRPr="008E5B2C" w:rsidRDefault="00AA01C0" w:rsidP="00AA01C0">
      <w:pPr>
        <w:pStyle w:val="Sinespaciado"/>
        <w:jc w:val="center"/>
        <w:rPr>
          <w:rFonts w:ascii="Arial" w:hAnsi="Arial" w:cs="Arial"/>
          <w:sz w:val="26"/>
          <w:szCs w:val="26"/>
        </w:rPr>
      </w:pPr>
      <w:r w:rsidRPr="008E5B2C">
        <w:rPr>
          <w:rFonts w:ascii="Arial" w:hAnsi="Arial" w:cs="Arial"/>
          <w:sz w:val="26"/>
          <w:szCs w:val="26"/>
        </w:rPr>
        <w:t>MAGISTRADA MARÍA EUGENIA VILLANUEVA ABRAJÁN</w:t>
      </w:r>
    </w:p>
    <w:p w:rsidR="00AA01C0" w:rsidRPr="008E5B2C" w:rsidRDefault="00AA01C0" w:rsidP="00AA01C0">
      <w:pPr>
        <w:pStyle w:val="Sinespaciado"/>
        <w:jc w:val="center"/>
        <w:rPr>
          <w:rFonts w:ascii="Arial" w:hAnsi="Arial" w:cs="Arial"/>
          <w:sz w:val="26"/>
          <w:szCs w:val="26"/>
        </w:rPr>
      </w:pPr>
      <w:r w:rsidRPr="008E5B2C">
        <w:rPr>
          <w:rFonts w:ascii="Arial" w:hAnsi="Arial" w:cs="Arial"/>
          <w:sz w:val="26"/>
          <w:szCs w:val="26"/>
        </w:rPr>
        <w:t>PRESIDENTA</w:t>
      </w:r>
    </w:p>
    <w:p w:rsidR="00AA01C0" w:rsidRDefault="00AA01C0" w:rsidP="00AA01C0">
      <w:pPr>
        <w:pStyle w:val="Sinespaciado"/>
        <w:jc w:val="center"/>
        <w:rPr>
          <w:rFonts w:ascii="Arial" w:hAnsi="Arial" w:cs="Arial"/>
          <w:b/>
          <w:sz w:val="26"/>
          <w:szCs w:val="26"/>
        </w:rPr>
      </w:pPr>
    </w:p>
    <w:p w:rsidR="00912182" w:rsidRPr="008E5B2C" w:rsidRDefault="00912182" w:rsidP="00AA01C0">
      <w:pPr>
        <w:pStyle w:val="Sinespaciado"/>
        <w:jc w:val="center"/>
        <w:rPr>
          <w:rFonts w:ascii="Arial" w:hAnsi="Arial" w:cs="Arial"/>
          <w:b/>
          <w:sz w:val="26"/>
          <w:szCs w:val="26"/>
        </w:rPr>
      </w:pPr>
    </w:p>
    <w:p w:rsidR="00AA01C0" w:rsidRDefault="00AA01C0" w:rsidP="00AA01C0">
      <w:pPr>
        <w:spacing w:line="360" w:lineRule="auto"/>
        <w:jc w:val="center"/>
        <w:rPr>
          <w:rFonts w:ascii="Arial" w:eastAsia="Calibri" w:hAnsi="Arial" w:cs="Arial"/>
          <w:sz w:val="26"/>
          <w:szCs w:val="26"/>
        </w:rPr>
      </w:pPr>
      <w:r w:rsidRPr="008E5B2C">
        <w:rPr>
          <w:rFonts w:ascii="Arial" w:eastAsia="Calibri" w:hAnsi="Arial" w:cs="Arial"/>
          <w:sz w:val="26"/>
          <w:szCs w:val="26"/>
        </w:rPr>
        <w:t>MAGISTRADO HUGO VILLEGAS AQUINO</w:t>
      </w:r>
    </w:p>
    <w:p w:rsidR="00912182" w:rsidRDefault="00F23799" w:rsidP="00AA01C0">
      <w:pPr>
        <w:spacing w:line="360" w:lineRule="auto"/>
        <w:jc w:val="center"/>
        <w:rPr>
          <w:rFonts w:ascii="Arial" w:eastAsia="Calibri" w:hAnsi="Arial" w:cs="Arial"/>
          <w:sz w:val="26"/>
          <w:szCs w:val="26"/>
        </w:rPr>
      </w:pPr>
      <w:r>
        <w:rPr>
          <w:noProof/>
        </w:rPr>
        <mc:AlternateContent>
          <mc:Choice Requires="wps">
            <w:drawing>
              <wp:anchor distT="0" distB="0" distL="114300" distR="114300" simplePos="0" relativeHeight="251671552" behindDoc="0" locked="0" layoutInCell="1" allowOverlap="1" wp14:anchorId="112D2CCD" wp14:editId="0D1C6BFF">
                <wp:simplePos x="0" y="0"/>
                <wp:positionH relativeFrom="column">
                  <wp:posOffset>5372735</wp:posOffset>
                </wp:positionH>
                <wp:positionV relativeFrom="paragraph">
                  <wp:posOffset>168275</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3.05pt;margin-top:13.2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Ef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S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">
                <v:textbox>
                  <w:txbxContent>
                    <w:p w:rsidR="00F23799" w:rsidRPr="00A6596B" w:rsidRDefault="00F23799" w:rsidP="00F2379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A01C0" w:rsidRDefault="00AA01C0" w:rsidP="00AA01C0">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12182" w:rsidRPr="008E5B2C" w:rsidRDefault="00912182" w:rsidP="00AA01C0">
      <w:pPr>
        <w:spacing w:line="360" w:lineRule="auto"/>
        <w:jc w:val="center"/>
        <w:rPr>
          <w:rFonts w:ascii="Arial" w:eastAsia="Calibri" w:hAnsi="Arial" w:cs="Arial"/>
          <w:sz w:val="26"/>
          <w:szCs w:val="26"/>
        </w:rPr>
      </w:pPr>
    </w:p>
    <w:p w:rsidR="00AA01C0" w:rsidRPr="0035155A" w:rsidRDefault="00AA01C0" w:rsidP="00AA01C0">
      <w:pPr>
        <w:pStyle w:val="Sinespaciado"/>
        <w:jc w:val="center"/>
        <w:rPr>
          <w:rFonts w:ascii="Arial" w:hAnsi="Arial" w:cs="Arial"/>
          <w:b/>
        </w:rPr>
      </w:pPr>
    </w:p>
    <w:p w:rsidR="00AA01C0" w:rsidRDefault="00AA01C0" w:rsidP="00AA01C0">
      <w:pPr>
        <w:spacing w:line="360" w:lineRule="auto"/>
        <w:jc w:val="center"/>
        <w:rPr>
          <w:rFonts w:ascii="Arial" w:eastAsia="Calibri" w:hAnsi="Arial" w:cs="Arial"/>
          <w:sz w:val="26"/>
          <w:szCs w:val="26"/>
        </w:rPr>
      </w:pPr>
      <w:r w:rsidRPr="008E5B2C">
        <w:rPr>
          <w:rFonts w:ascii="Arial" w:eastAsia="Calibri" w:hAnsi="Arial" w:cs="Arial"/>
          <w:sz w:val="26"/>
          <w:szCs w:val="26"/>
        </w:rPr>
        <w:t xml:space="preserve">MAGISTRADO ADRIÁN QUIROGA AVENDAÑO </w:t>
      </w:r>
    </w:p>
    <w:p w:rsidR="00912182" w:rsidRPr="008E5B2C" w:rsidRDefault="00912182" w:rsidP="00AA01C0">
      <w:pPr>
        <w:spacing w:line="360" w:lineRule="auto"/>
        <w:jc w:val="center"/>
        <w:rPr>
          <w:rFonts w:ascii="Arial" w:eastAsia="Calibri" w:hAnsi="Arial" w:cs="Arial"/>
          <w:sz w:val="26"/>
          <w:szCs w:val="26"/>
        </w:rPr>
      </w:pPr>
    </w:p>
    <w:p w:rsidR="00AA01C0" w:rsidRDefault="00AA01C0" w:rsidP="00AA01C0">
      <w:pPr>
        <w:spacing w:line="360" w:lineRule="auto"/>
        <w:jc w:val="center"/>
        <w:rPr>
          <w:rFonts w:ascii="Arial" w:eastAsia="Calibri" w:hAnsi="Arial" w:cs="Arial"/>
          <w:sz w:val="26"/>
          <w:szCs w:val="26"/>
        </w:rPr>
      </w:pPr>
      <w:r w:rsidRPr="008E5B2C">
        <w:rPr>
          <w:rFonts w:ascii="Arial" w:eastAsia="Calibri" w:hAnsi="Arial" w:cs="Arial"/>
          <w:sz w:val="26"/>
          <w:szCs w:val="26"/>
        </w:rPr>
        <w:t>MAGISTRADO ENRIQUE PACHECO MARTÍNEZ</w:t>
      </w:r>
    </w:p>
    <w:p w:rsidR="00912182" w:rsidRPr="008E5B2C" w:rsidRDefault="00912182" w:rsidP="00AA01C0">
      <w:pPr>
        <w:spacing w:line="360" w:lineRule="auto"/>
        <w:jc w:val="center"/>
        <w:rPr>
          <w:rFonts w:ascii="Arial" w:eastAsia="Calibri" w:hAnsi="Arial" w:cs="Arial"/>
          <w:sz w:val="26"/>
          <w:szCs w:val="26"/>
        </w:rPr>
      </w:pPr>
    </w:p>
    <w:p w:rsidR="00AA01C0" w:rsidRPr="008E5B2C" w:rsidRDefault="00AA01C0" w:rsidP="00AA01C0">
      <w:pPr>
        <w:spacing w:after="0" w:line="240" w:lineRule="auto"/>
        <w:jc w:val="center"/>
        <w:rPr>
          <w:rFonts w:ascii="Arial" w:eastAsia="Calibri" w:hAnsi="Arial" w:cs="Arial"/>
          <w:sz w:val="26"/>
          <w:szCs w:val="26"/>
        </w:rPr>
      </w:pPr>
      <w:r w:rsidRPr="008E5B2C">
        <w:rPr>
          <w:rFonts w:ascii="Arial" w:eastAsia="Calibri" w:hAnsi="Arial" w:cs="Arial"/>
          <w:sz w:val="26"/>
          <w:szCs w:val="26"/>
        </w:rPr>
        <w:t>LICENCIADA SANDRA PÉREZ CRUZ,</w:t>
      </w:r>
    </w:p>
    <w:p w:rsidR="00AA01C0" w:rsidRPr="008E5B2C" w:rsidRDefault="00AA01C0" w:rsidP="00AA01C0">
      <w:pPr>
        <w:spacing w:after="0" w:line="240" w:lineRule="auto"/>
        <w:jc w:val="center"/>
        <w:rPr>
          <w:rFonts w:ascii="Arial" w:eastAsia="Calibri" w:hAnsi="Arial" w:cs="Arial"/>
          <w:sz w:val="26"/>
          <w:szCs w:val="26"/>
        </w:rPr>
      </w:pPr>
      <w:r w:rsidRPr="008E5B2C">
        <w:rPr>
          <w:rFonts w:ascii="Arial" w:eastAsia="Calibri" w:hAnsi="Arial" w:cs="Arial"/>
          <w:sz w:val="26"/>
          <w:szCs w:val="26"/>
        </w:rPr>
        <w:t>SECRETARIA GENERAL DE ACUERDOS</w:t>
      </w:r>
    </w:p>
    <w:p w:rsidR="00AA01C0" w:rsidRPr="00CE5C32" w:rsidRDefault="00AA01C0" w:rsidP="00AA01C0">
      <w:pPr>
        <w:spacing w:line="360" w:lineRule="auto"/>
        <w:ind w:firstLine="708"/>
        <w:jc w:val="both"/>
        <w:rPr>
          <w:sz w:val="26"/>
          <w:szCs w:val="26"/>
        </w:rPr>
      </w:pPr>
    </w:p>
    <w:p w:rsidR="003515D5" w:rsidRPr="004608B7" w:rsidRDefault="003515D5" w:rsidP="00AA01C0">
      <w:pPr>
        <w:spacing w:line="360" w:lineRule="auto"/>
        <w:jc w:val="both"/>
        <w:rPr>
          <w:rFonts w:ascii="Arial" w:hAnsi="Arial" w:cs="Arial"/>
          <w:sz w:val="26"/>
          <w:szCs w:val="26"/>
        </w:rPr>
      </w:pPr>
    </w:p>
    <w:sectPr w:rsidR="003515D5" w:rsidRPr="004608B7" w:rsidSect="0084263B">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C8" w:rsidRDefault="001608C8">
      <w:pPr>
        <w:spacing w:after="0" w:line="240" w:lineRule="auto"/>
      </w:pPr>
      <w:r>
        <w:separator/>
      </w:r>
    </w:p>
  </w:endnote>
  <w:endnote w:type="continuationSeparator" w:id="0">
    <w:p w:rsidR="001608C8" w:rsidRDefault="0016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C8" w:rsidRDefault="001608C8">
      <w:pPr>
        <w:spacing w:after="0" w:line="240" w:lineRule="auto"/>
      </w:pPr>
      <w:r>
        <w:separator/>
      </w:r>
    </w:p>
  </w:footnote>
  <w:footnote w:type="continuationSeparator" w:id="0">
    <w:p w:rsidR="001608C8" w:rsidRDefault="0016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B1FA4" w:rsidRDefault="007B1FA4">
        <w:pPr>
          <w:pStyle w:val="Encabezado"/>
          <w:jc w:val="center"/>
        </w:pPr>
        <w:r>
          <w:fldChar w:fldCharType="begin"/>
        </w:r>
        <w:r>
          <w:instrText>PAGE   \* MERGEFORMAT</w:instrText>
        </w:r>
        <w:r>
          <w:fldChar w:fldCharType="separate"/>
        </w:r>
        <w:r w:rsidR="00F23799">
          <w:rPr>
            <w:noProof/>
          </w:rPr>
          <w:t>14</w:t>
        </w:r>
        <w:r>
          <w:fldChar w:fldCharType="end"/>
        </w:r>
      </w:p>
    </w:sdtContent>
  </w:sdt>
  <w:p w:rsidR="007B1FA4" w:rsidRDefault="007B1F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B1FA4" w:rsidRDefault="00F23799"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799" w:rsidRPr="00A6596B" w:rsidRDefault="00F23799" w:rsidP="00F237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F23799" w:rsidRPr="00A6596B" w:rsidRDefault="00F23799" w:rsidP="00F23799">
                        <w:pPr>
                          <w:rPr>
                            <w:sz w:val="16"/>
                            <w:szCs w:val="16"/>
                          </w:rPr>
                        </w:pPr>
                        <w:r>
                          <w:rPr>
                            <w:sz w:val="16"/>
                            <w:szCs w:val="16"/>
                          </w:rPr>
                          <w:t>Datos personales protegidos por el Art. 116 de la LGTAIP y el Art. 56 de la LTAIPEO</w:t>
                        </w:r>
                      </w:p>
                    </w:txbxContent>
                  </v:textbox>
                </v:shape>
              </w:pict>
            </mc:Fallback>
          </mc:AlternateContent>
        </w:r>
        <w:r w:rsidR="007B1FA4">
          <w:fldChar w:fldCharType="begin"/>
        </w:r>
        <w:r w:rsidR="007B1FA4">
          <w:instrText xml:space="preserve"> PAGE   \* MERGEFORMAT </w:instrText>
        </w:r>
        <w:r w:rsidR="007B1FA4">
          <w:fldChar w:fldCharType="separate"/>
        </w:r>
        <w:r>
          <w:rPr>
            <w:noProof/>
          </w:rPr>
          <w:t>13</w:t>
        </w:r>
        <w:r w:rsidR="007B1FA4">
          <w:rPr>
            <w:noProof/>
          </w:rPr>
          <w:fldChar w:fldCharType="end"/>
        </w:r>
      </w:p>
      <w:p w:rsidR="007B1FA4" w:rsidRDefault="00F23799" w:rsidP="00206B99">
        <w:pPr>
          <w:pStyle w:val="Encabezado"/>
          <w:jc w:val="center"/>
        </w:pPr>
      </w:p>
    </w:sdtContent>
  </w:sdt>
  <w:p w:rsidR="007B1FA4" w:rsidRDefault="007B1FA4"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D104948"/>
    <w:multiLevelType w:val="hybridMultilevel"/>
    <w:tmpl w:val="8C424094"/>
    <w:lvl w:ilvl="0" w:tplc="A82E6524">
      <w:start w:val="10"/>
      <w:numFmt w:val="bullet"/>
      <w:lvlText w:val=""/>
      <w:lvlJc w:val="left"/>
      <w:pPr>
        <w:ind w:left="1776" w:hanging="360"/>
      </w:pPr>
      <w:rPr>
        <w:rFonts w:ascii="Symbol" w:eastAsiaTheme="minorHAnsi"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15482C"/>
    <w:multiLevelType w:val="hybridMultilevel"/>
    <w:tmpl w:val="F69A1568"/>
    <w:lvl w:ilvl="0" w:tplc="E5B2595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34A56D03"/>
    <w:multiLevelType w:val="hybridMultilevel"/>
    <w:tmpl w:val="55F2931E"/>
    <w:lvl w:ilvl="0" w:tplc="793430F8">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4BF94CAB"/>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46C4416"/>
    <w:multiLevelType w:val="hybridMultilevel"/>
    <w:tmpl w:val="597A2524"/>
    <w:lvl w:ilvl="0" w:tplc="E976037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35C"/>
    <w:rsid w:val="0000437C"/>
    <w:rsid w:val="0001087E"/>
    <w:rsid w:val="0001227D"/>
    <w:rsid w:val="00026C11"/>
    <w:rsid w:val="000330FB"/>
    <w:rsid w:val="0003393F"/>
    <w:rsid w:val="0003582F"/>
    <w:rsid w:val="00041E1D"/>
    <w:rsid w:val="00052954"/>
    <w:rsid w:val="00056CF4"/>
    <w:rsid w:val="000616B5"/>
    <w:rsid w:val="00063300"/>
    <w:rsid w:val="000638F0"/>
    <w:rsid w:val="00070740"/>
    <w:rsid w:val="00070777"/>
    <w:rsid w:val="000715B6"/>
    <w:rsid w:val="000737BF"/>
    <w:rsid w:val="00075D16"/>
    <w:rsid w:val="00076CEA"/>
    <w:rsid w:val="00085132"/>
    <w:rsid w:val="00086496"/>
    <w:rsid w:val="00090347"/>
    <w:rsid w:val="000A09BA"/>
    <w:rsid w:val="000B1A06"/>
    <w:rsid w:val="000B2341"/>
    <w:rsid w:val="000B3B3B"/>
    <w:rsid w:val="000C3FEE"/>
    <w:rsid w:val="000C4166"/>
    <w:rsid w:val="000C4541"/>
    <w:rsid w:val="000C5A3C"/>
    <w:rsid w:val="000D1F8C"/>
    <w:rsid w:val="000D5048"/>
    <w:rsid w:val="000D7253"/>
    <w:rsid w:val="000E3C6E"/>
    <w:rsid w:val="000F0055"/>
    <w:rsid w:val="000F05CA"/>
    <w:rsid w:val="000F511A"/>
    <w:rsid w:val="000F54B0"/>
    <w:rsid w:val="000F62C3"/>
    <w:rsid w:val="000F7CA8"/>
    <w:rsid w:val="00101B4C"/>
    <w:rsid w:val="00104BA8"/>
    <w:rsid w:val="0010644A"/>
    <w:rsid w:val="0010722B"/>
    <w:rsid w:val="00107D02"/>
    <w:rsid w:val="00111BFC"/>
    <w:rsid w:val="00111D26"/>
    <w:rsid w:val="00114AC5"/>
    <w:rsid w:val="00116579"/>
    <w:rsid w:val="00117998"/>
    <w:rsid w:val="00122F5E"/>
    <w:rsid w:val="00124515"/>
    <w:rsid w:val="00126325"/>
    <w:rsid w:val="00126F80"/>
    <w:rsid w:val="00130500"/>
    <w:rsid w:val="0013099F"/>
    <w:rsid w:val="00131CDF"/>
    <w:rsid w:val="00136897"/>
    <w:rsid w:val="00140C70"/>
    <w:rsid w:val="00140FD8"/>
    <w:rsid w:val="001413B8"/>
    <w:rsid w:val="00143189"/>
    <w:rsid w:val="001441D3"/>
    <w:rsid w:val="001443C4"/>
    <w:rsid w:val="0014535B"/>
    <w:rsid w:val="0014588F"/>
    <w:rsid w:val="00146509"/>
    <w:rsid w:val="00146DD7"/>
    <w:rsid w:val="00150F3A"/>
    <w:rsid w:val="0015351E"/>
    <w:rsid w:val="00154243"/>
    <w:rsid w:val="001608C8"/>
    <w:rsid w:val="00161A5E"/>
    <w:rsid w:val="001629CF"/>
    <w:rsid w:val="00166D35"/>
    <w:rsid w:val="00171448"/>
    <w:rsid w:val="00172205"/>
    <w:rsid w:val="00173DEF"/>
    <w:rsid w:val="00175708"/>
    <w:rsid w:val="001761CB"/>
    <w:rsid w:val="00185043"/>
    <w:rsid w:val="00192287"/>
    <w:rsid w:val="00193ACF"/>
    <w:rsid w:val="00194270"/>
    <w:rsid w:val="001A3755"/>
    <w:rsid w:val="001B4A01"/>
    <w:rsid w:val="001B6566"/>
    <w:rsid w:val="001C39BB"/>
    <w:rsid w:val="001C40E4"/>
    <w:rsid w:val="001D2AFD"/>
    <w:rsid w:val="001D3B81"/>
    <w:rsid w:val="001D694C"/>
    <w:rsid w:val="001E2332"/>
    <w:rsid w:val="001E3B11"/>
    <w:rsid w:val="001E61DA"/>
    <w:rsid w:val="001F62A0"/>
    <w:rsid w:val="001F7109"/>
    <w:rsid w:val="001F72DF"/>
    <w:rsid w:val="0020247E"/>
    <w:rsid w:val="00203FD3"/>
    <w:rsid w:val="00205235"/>
    <w:rsid w:val="00206222"/>
    <w:rsid w:val="00206B99"/>
    <w:rsid w:val="002116FC"/>
    <w:rsid w:val="00214B96"/>
    <w:rsid w:val="00216595"/>
    <w:rsid w:val="00217AA6"/>
    <w:rsid w:val="00223F75"/>
    <w:rsid w:val="002258CA"/>
    <w:rsid w:val="002265A4"/>
    <w:rsid w:val="00231898"/>
    <w:rsid w:val="00232D85"/>
    <w:rsid w:val="00234B43"/>
    <w:rsid w:val="00240DB9"/>
    <w:rsid w:val="0024497C"/>
    <w:rsid w:val="0024550E"/>
    <w:rsid w:val="00246915"/>
    <w:rsid w:val="00247875"/>
    <w:rsid w:val="00247D11"/>
    <w:rsid w:val="00262666"/>
    <w:rsid w:val="002628E0"/>
    <w:rsid w:val="00263720"/>
    <w:rsid w:val="00263BE9"/>
    <w:rsid w:val="00266299"/>
    <w:rsid w:val="00270E27"/>
    <w:rsid w:val="00273171"/>
    <w:rsid w:val="00274846"/>
    <w:rsid w:val="0027795B"/>
    <w:rsid w:val="002805AC"/>
    <w:rsid w:val="00282568"/>
    <w:rsid w:val="00282E66"/>
    <w:rsid w:val="00283B3F"/>
    <w:rsid w:val="002844AF"/>
    <w:rsid w:val="00291333"/>
    <w:rsid w:val="00294A09"/>
    <w:rsid w:val="00294D38"/>
    <w:rsid w:val="00294D50"/>
    <w:rsid w:val="0029638C"/>
    <w:rsid w:val="00296748"/>
    <w:rsid w:val="002A19C5"/>
    <w:rsid w:val="002A2985"/>
    <w:rsid w:val="002A4088"/>
    <w:rsid w:val="002A5418"/>
    <w:rsid w:val="002A6D8E"/>
    <w:rsid w:val="002A6EF0"/>
    <w:rsid w:val="002B0771"/>
    <w:rsid w:val="002B430B"/>
    <w:rsid w:val="002B4D54"/>
    <w:rsid w:val="002B5C82"/>
    <w:rsid w:val="002B79C4"/>
    <w:rsid w:val="002D11DC"/>
    <w:rsid w:val="002D1979"/>
    <w:rsid w:val="002D58F8"/>
    <w:rsid w:val="002E0354"/>
    <w:rsid w:val="002E5366"/>
    <w:rsid w:val="002F19AF"/>
    <w:rsid w:val="002F4F72"/>
    <w:rsid w:val="002F7173"/>
    <w:rsid w:val="002F7484"/>
    <w:rsid w:val="00300B3B"/>
    <w:rsid w:val="003023C8"/>
    <w:rsid w:val="00304851"/>
    <w:rsid w:val="00304999"/>
    <w:rsid w:val="00307E06"/>
    <w:rsid w:val="00310E25"/>
    <w:rsid w:val="00312470"/>
    <w:rsid w:val="00321C0F"/>
    <w:rsid w:val="00321CC2"/>
    <w:rsid w:val="00323662"/>
    <w:rsid w:val="00323C11"/>
    <w:rsid w:val="00324E82"/>
    <w:rsid w:val="003253CA"/>
    <w:rsid w:val="00327BE8"/>
    <w:rsid w:val="00331836"/>
    <w:rsid w:val="003320CD"/>
    <w:rsid w:val="00333BB4"/>
    <w:rsid w:val="003350EA"/>
    <w:rsid w:val="00337583"/>
    <w:rsid w:val="0034097E"/>
    <w:rsid w:val="0034180B"/>
    <w:rsid w:val="003422AB"/>
    <w:rsid w:val="00342CE5"/>
    <w:rsid w:val="003471B6"/>
    <w:rsid w:val="003515D5"/>
    <w:rsid w:val="00355E72"/>
    <w:rsid w:val="00360212"/>
    <w:rsid w:val="0036129E"/>
    <w:rsid w:val="003633B9"/>
    <w:rsid w:val="003646B9"/>
    <w:rsid w:val="003708D3"/>
    <w:rsid w:val="00371268"/>
    <w:rsid w:val="0037221A"/>
    <w:rsid w:val="00375628"/>
    <w:rsid w:val="003759AC"/>
    <w:rsid w:val="00376CBF"/>
    <w:rsid w:val="00381DC3"/>
    <w:rsid w:val="00382442"/>
    <w:rsid w:val="00382B68"/>
    <w:rsid w:val="00386D9A"/>
    <w:rsid w:val="003A28FC"/>
    <w:rsid w:val="003A35B7"/>
    <w:rsid w:val="003A5E7C"/>
    <w:rsid w:val="003B1F7B"/>
    <w:rsid w:val="003B373B"/>
    <w:rsid w:val="003B4BAF"/>
    <w:rsid w:val="003B6C7E"/>
    <w:rsid w:val="003B70F8"/>
    <w:rsid w:val="003C5550"/>
    <w:rsid w:val="003E0BF8"/>
    <w:rsid w:val="003E0F2A"/>
    <w:rsid w:val="003E2997"/>
    <w:rsid w:val="003E7801"/>
    <w:rsid w:val="0040470E"/>
    <w:rsid w:val="004058A6"/>
    <w:rsid w:val="00406661"/>
    <w:rsid w:val="00410D26"/>
    <w:rsid w:val="00411707"/>
    <w:rsid w:val="00412F92"/>
    <w:rsid w:val="00416F0A"/>
    <w:rsid w:val="004224F9"/>
    <w:rsid w:val="004238C1"/>
    <w:rsid w:val="00424E46"/>
    <w:rsid w:val="00426EBC"/>
    <w:rsid w:val="00430DE6"/>
    <w:rsid w:val="0043753E"/>
    <w:rsid w:val="00446A25"/>
    <w:rsid w:val="00450B98"/>
    <w:rsid w:val="00463D12"/>
    <w:rsid w:val="00465C92"/>
    <w:rsid w:val="00470303"/>
    <w:rsid w:val="004713AE"/>
    <w:rsid w:val="00484AB8"/>
    <w:rsid w:val="00486A51"/>
    <w:rsid w:val="004961AD"/>
    <w:rsid w:val="004A16F8"/>
    <w:rsid w:val="004A2326"/>
    <w:rsid w:val="004A319F"/>
    <w:rsid w:val="004A75E0"/>
    <w:rsid w:val="004B459E"/>
    <w:rsid w:val="004B5940"/>
    <w:rsid w:val="004B748E"/>
    <w:rsid w:val="004B7E1B"/>
    <w:rsid w:val="004C015A"/>
    <w:rsid w:val="004C325D"/>
    <w:rsid w:val="004C46BF"/>
    <w:rsid w:val="004D3ADD"/>
    <w:rsid w:val="004D5713"/>
    <w:rsid w:val="004D5934"/>
    <w:rsid w:val="004F5821"/>
    <w:rsid w:val="004F674E"/>
    <w:rsid w:val="004F7897"/>
    <w:rsid w:val="0050654C"/>
    <w:rsid w:val="005068B9"/>
    <w:rsid w:val="00510956"/>
    <w:rsid w:val="005115C3"/>
    <w:rsid w:val="00514B2A"/>
    <w:rsid w:val="005209EE"/>
    <w:rsid w:val="00521D92"/>
    <w:rsid w:val="00526DC4"/>
    <w:rsid w:val="005300DF"/>
    <w:rsid w:val="00531B2A"/>
    <w:rsid w:val="00533F7F"/>
    <w:rsid w:val="0053715D"/>
    <w:rsid w:val="00537C01"/>
    <w:rsid w:val="00541B18"/>
    <w:rsid w:val="00544CC9"/>
    <w:rsid w:val="00553578"/>
    <w:rsid w:val="00554DC1"/>
    <w:rsid w:val="00557727"/>
    <w:rsid w:val="005609AA"/>
    <w:rsid w:val="00563B9C"/>
    <w:rsid w:val="0056662C"/>
    <w:rsid w:val="0056764E"/>
    <w:rsid w:val="005707BD"/>
    <w:rsid w:val="00570D1A"/>
    <w:rsid w:val="005720EB"/>
    <w:rsid w:val="00574F03"/>
    <w:rsid w:val="005755A6"/>
    <w:rsid w:val="005768C7"/>
    <w:rsid w:val="00577E5E"/>
    <w:rsid w:val="005817AB"/>
    <w:rsid w:val="005822D1"/>
    <w:rsid w:val="005905A3"/>
    <w:rsid w:val="00591091"/>
    <w:rsid w:val="00593333"/>
    <w:rsid w:val="00593B8B"/>
    <w:rsid w:val="005978F3"/>
    <w:rsid w:val="005A118F"/>
    <w:rsid w:val="005A4480"/>
    <w:rsid w:val="005A493F"/>
    <w:rsid w:val="005A7DBC"/>
    <w:rsid w:val="005B1FA4"/>
    <w:rsid w:val="005B2365"/>
    <w:rsid w:val="005B62E5"/>
    <w:rsid w:val="005B666D"/>
    <w:rsid w:val="005D1708"/>
    <w:rsid w:val="005D4FEA"/>
    <w:rsid w:val="005D57CA"/>
    <w:rsid w:val="005D65FC"/>
    <w:rsid w:val="005E03F1"/>
    <w:rsid w:val="005E302D"/>
    <w:rsid w:val="005E40A8"/>
    <w:rsid w:val="005F2B81"/>
    <w:rsid w:val="005F3543"/>
    <w:rsid w:val="005F35D0"/>
    <w:rsid w:val="006012BD"/>
    <w:rsid w:val="00602086"/>
    <w:rsid w:val="006031E8"/>
    <w:rsid w:val="00607309"/>
    <w:rsid w:val="00607F3D"/>
    <w:rsid w:val="00610A7C"/>
    <w:rsid w:val="00610C46"/>
    <w:rsid w:val="00613986"/>
    <w:rsid w:val="006152FC"/>
    <w:rsid w:val="00616204"/>
    <w:rsid w:val="00621CC7"/>
    <w:rsid w:val="00623CD6"/>
    <w:rsid w:val="00626858"/>
    <w:rsid w:val="00630C62"/>
    <w:rsid w:val="00633FA0"/>
    <w:rsid w:val="00637049"/>
    <w:rsid w:val="006418C8"/>
    <w:rsid w:val="006427D9"/>
    <w:rsid w:val="00643498"/>
    <w:rsid w:val="00645E2A"/>
    <w:rsid w:val="006475E4"/>
    <w:rsid w:val="00647A0C"/>
    <w:rsid w:val="00647B1B"/>
    <w:rsid w:val="00655BA3"/>
    <w:rsid w:val="00660AE6"/>
    <w:rsid w:val="006638F0"/>
    <w:rsid w:val="00663AB9"/>
    <w:rsid w:val="00665723"/>
    <w:rsid w:val="00670E17"/>
    <w:rsid w:val="00676D68"/>
    <w:rsid w:val="0068300B"/>
    <w:rsid w:val="0068325D"/>
    <w:rsid w:val="0068370C"/>
    <w:rsid w:val="00692778"/>
    <w:rsid w:val="00696616"/>
    <w:rsid w:val="00696F11"/>
    <w:rsid w:val="006A05B6"/>
    <w:rsid w:val="006A76BF"/>
    <w:rsid w:val="006A7ADC"/>
    <w:rsid w:val="006B0B08"/>
    <w:rsid w:val="006B10A8"/>
    <w:rsid w:val="006B4FD6"/>
    <w:rsid w:val="006C2F23"/>
    <w:rsid w:val="006C585C"/>
    <w:rsid w:val="006E3954"/>
    <w:rsid w:val="006E6539"/>
    <w:rsid w:val="006E6E6B"/>
    <w:rsid w:val="006F2412"/>
    <w:rsid w:val="006F2FA7"/>
    <w:rsid w:val="00700013"/>
    <w:rsid w:val="00702862"/>
    <w:rsid w:val="00704496"/>
    <w:rsid w:val="00707245"/>
    <w:rsid w:val="00707F47"/>
    <w:rsid w:val="00714685"/>
    <w:rsid w:val="00720681"/>
    <w:rsid w:val="0072215B"/>
    <w:rsid w:val="00723EDE"/>
    <w:rsid w:val="007273A5"/>
    <w:rsid w:val="00727C09"/>
    <w:rsid w:val="00734D70"/>
    <w:rsid w:val="00747DC2"/>
    <w:rsid w:val="00754C32"/>
    <w:rsid w:val="007561B2"/>
    <w:rsid w:val="00756819"/>
    <w:rsid w:val="00760541"/>
    <w:rsid w:val="00762C4B"/>
    <w:rsid w:val="00766389"/>
    <w:rsid w:val="007758EE"/>
    <w:rsid w:val="007806D4"/>
    <w:rsid w:val="00782019"/>
    <w:rsid w:val="00782966"/>
    <w:rsid w:val="00791D21"/>
    <w:rsid w:val="007927D3"/>
    <w:rsid w:val="00792E46"/>
    <w:rsid w:val="007974EA"/>
    <w:rsid w:val="007A0DD5"/>
    <w:rsid w:val="007A53A7"/>
    <w:rsid w:val="007B1FA4"/>
    <w:rsid w:val="007B3B2D"/>
    <w:rsid w:val="007B4DA5"/>
    <w:rsid w:val="007B57A7"/>
    <w:rsid w:val="007B6070"/>
    <w:rsid w:val="007B60EE"/>
    <w:rsid w:val="007C065F"/>
    <w:rsid w:val="007C19D3"/>
    <w:rsid w:val="007C36E4"/>
    <w:rsid w:val="007C4D7C"/>
    <w:rsid w:val="007D2A13"/>
    <w:rsid w:val="007D3AE8"/>
    <w:rsid w:val="007D4645"/>
    <w:rsid w:val="007D74BC"/>
    <w:rsid w:val="007E2547"/>
    <w:rsid w:val="007E32FC"/>
    <w:rsid w:val="007E340D"/>
    <w:rsid w:val="007F198F"/>
    <w:rsid w:val="007F7F91"/>
    <w:rsid w:val="00801F35"/>
    <w:rsid w:val="00805044"/>
    <w:rsid w:val="00812F43"/>
    <w:rsid w:val="008138FC"/>
    <w:rsid w:val="00822081"/>
    <w:rsid w:val="00825B89"/>
    <w:rsid w:val="00827161"/>
    <w:rsid w:val="00830CE8"/>
    <w:rsid w:val="00831B55"/>
    <w:rsid w:val="00833F50"/>
    <w:rsid w:val="00834B29"/>
    <w:rsid w:val="0084114B"/>
    <w:rsid w:val="0084263B"/>
    <w:rsid w:val="0084483E"/>
    <w:rsid w:val="00846554"/>
    <w:rsid w:val="00864F72"/>
    <w:rsid w:val="00866BBE"/>
    <w:rsid w:val="00867705"/>
    <w:rsid w:val="00867DAC"/>
    <w:rsid w:val="00873D60"/>
    <w:rsid w:val="00875C51"/>
    <w:rsid w:val="0088123D"/>
    <w:rsid w:val="008813B2"/>
    <w:rsid w:val="00884154"/>
    <w:rsid w:val="008946EA"/>
    <w:rsid w:val="00894A17"/>
    <w:rsid w:val="00894D4A"/>
    <w:rsid w:val="00897993"/>
    <w:rsid w:val="008B1D4F"/>
    <w:rsid w:val="008B3480"/>
    <w:rsid w:val="008B4EBC"/>
    <w:rsid w:val="008B547D"/>
    <w:rsid w:val="008B6516"/>
    <w:rsid w:val="008C508D"/>
    <w:rsid w:val="008C7B57"/>
    <w:rsid w:val="008D1236"/>
    <w:rsid w:val="008D20C1"/>
    <w:rsid w:val="008D3F16"/>
    <w:rsid w:val="008D5F62"/>
    <w:rsid w:val="008D6586"/>
    <w:rsid w:val="008F1187"/>
    <w:rsid w:val="008F2B60"/>
    <w:rsid w:val="008F5143"/>
    <w:rsid w:val="008F52F4"/>
    <w:rsid w:val="008F69E5"/>
    <w:rsid w:val="00900C7B"/>
    <w:rsid w:val="0090149E"/>
    <w:rsid w:val="00902C96"/>
    <w:rsid w:val="00903F1B"/>
    <w:rsid w:val="009069B3"/>
    <w:rsid w:val="0091170B"/>
    <w:rsid w:val="00912182"/>
    <w:rsid w:val="00912E2B"/>
    <w:rsid w:val="009133A9"/>
    <w:rsid w:val="009231FE"/>
    <w:rsid w:val="00926FCD"/>
    <w:rsid w:val="00927607"/>
    <w:rsid w:val="0093110B"/>
    <w:rsid w:val="009323EE"/>
    <w:rsid w:val="00942F98"/>
    <w:rsid w:val="00945633"/>
    <w:rsid w:val="00947785"/>
    <w:rsid w:val="00962EF7"/>
    <w:rsid w:val="00964A87"/>
    <w:rsid w:val="00970C5E"/>
    <w:rsid w:val="00970FB8"/>
    <w:rsid w:val="00971C0C"/>
    <w:rsid w:val="00973D15"/>
    <w:rsid w:val="00974204"/>
    <w:rsid w:val="0097768E"/>
    <w:rsid w:val="00980291"/>
    <w:rsid w:val="0099232A"/>
    <w:rsid w:val="009A1AA6"/>
    <w:rsid w:val="009A33BE"/>
    <w:rsid w:val="009B1EAF"/>
    <w:rsid w:val="009B38C8"/>
    <w:rsid w:val="009B3EBC"/>
    <w:rsid w:val="009B5F17"/>
    <w:rsid w:val="009C15F4"/>
    <w:rsid w:val="009C1C47"/>
    <w:rsid w:val="009C30C1"/>
    <w:rsid w:val="009C3D3E"/>
    <w:rsid w:val="009C68A7"/>
    <w:rsid w:val="009D031D"/>
    <w:rsid w:val="009D7058"/>
    <w:rsid w:val="009E0336"/>
    <w:rsid w:val="009E10EC"/>
    <w:rsid w:val="009E3066"/>
    <w:rsid w:val="009E6A3A"/>
    <w:rsid w:val="009F1532"/>
    <w:rsid w:val="009F24F9"/>
    <w:rsid w:val="009F7D7F"/>
    <w:rsid w:val="00A022D9"/>
    <w:rsid w:val="00A034EF"/>
    <w:rsid w:val="00A0357E"/>
    <w:rsid w:val="00A0695D"/>
    <w:rsid w:val="00A20F43"/>
    <w:rsid w:val="00A21B13"/>
    <w:rsid w:val="00A2319C"/>
    <w:rsid w:val="00A235B6"/>
    <w:rsid w:val="00A27138"/>
    <w:rsid w:val="00A3359F"/>
    <w:rsid w:val="00A33F38"/>
    <w:rsid w:val="00A36501"/>
    <w:rsid w:val="00A3690C"/>
    <w:rsid w:val="00A4105D"/>
    <w:rsid w:val="00A419DF"/>
    <w:rsid w:val="00A432D3"/>
    <w:rsid w:val="00A44571"/>
    <w:rsid w:val="00A4628E"/>
    <w:rsid w:val="00A478E9"/>
    <w:rsid w:val="00A51725"/>
    <w:rsid w:val="00A61673"/>
    <w:rsid w:val="00A638E6"/>
    <w:rsid w:val="00A64CF4"/>
    <w:rsid w:val="00A72E07"/>
    <w:rsid w:val="00A8007D"/>
    <w:rsid w:val="00A82E3C"/>
    <w:rsid w:val="00A83A56"/>
    <w:rsid w:val="00A83D36"/>
    <w:rsid w:val="00A87174"/>
    <w:rsid w:val="00A87B47"/>
    <w:rsid w:val="00A90E6E"/>
    <w:rsid w:val="00A91148"/>
    <w:rsid w:val="00A924E3"/>
    <w:rsid w:val="00A93954"/>
    <w:rsid w:val="00A94E2C"/>
    <w:rsid w:val="00A97751"/>
    <w:rsid w:val="00AA01C0"/>
    <w:rsid w:val="00AA7F6D"/>
    <w:rsid w:val="00AB00F1"/>
    <w:rsid w:val="00AB4EBB"/>
    <w:rsid w:val="00AB628D"/>
    <w:rsid w:val="00AC053E"/>
    <w:rsid w:val="00AC7873"/>
    <w:rsid w:val="00AD2DDF"/>
    <w:rsid w:val="00AD38ED"/>
    <w:rsid w:val="00AD4282"/>
    <w:rsid w:val="00AD77FD"/>
    <w:rsid w:val="00AD7F20"/>
    <w:rsid w:val="00AE357F"/>
    <w:rsid w:val="00AF22D2"/>
    <w:rsid w:val="00AF6E1F"/>
    <w:rsid w:val="00AF7816"/>
    <w:rsid w:val="00B01B15"/>
    <w:rsid w:val="00B04632"/>
    <w:rsid w:val="00B047B9"/>
    <w:rsid w:val="00B049EC"/>
    <w:rsid w:val="00B04DD6"/>
    <w:rsid w:val="00B10264"/>
    <w:rsid w:val="00B1212B"/>
    <w:rsid w:val="00B132A5"/>
    <w:rsid w:val="00B13839"/>
    <w:rsid w:val="00B14D0B"/>
    <w:rsid w:val="00B2587F"/>
    <w:rsid w:val="00B31114"/>
    <w:rsid w:val="00B35026"/>
    <w:rsid w:val="00B37C1A"/>
    <w:rsid w:val="00B4154B"/>
    <w:rsid w:val="00B47925"/>
    <w:rsid w:val="00B55C20"/>
    <w:rsid w:val="00B57568"/>
    <w:rsid w:val="00B6193A"/>
    <w:rsid w:val="00B63FDC"/>
    <w:rsid w:val="00B7058E"/>
    <w:rsid w:val="00B70EC1"/>
    <w:rsid w:val="00B70F70"/>
    <w:rsid w:val="00B7103E"/>
    <w:rsid w:val="00B72FDD"/>
    <w:rsid w:val="00B735C9"/>
    <w:rsid w:val="00B74E24"/>
    <w:rsid w:val="00B76531"/>
    <w:rsid w:val="00B76804"/>
    <w:rsid w:val="00B83594"/>
    <w:rsid w:val="00B87E94"/>
    <w:rsid w:val="00B90ED9"/>
    <w:rsid w:val="00B9364E"/>
    <w:rsid w:val="00B94628"/>
    <w:rsid w:val="00B958F3"/>
    <w:rsid w:val="00BA06D5"/>
    <w:rsid w:val="00BA42E0"/>
    <w:rsid w:val="00BB0E1B"/>
    <w:rsid w:val="00BB2686"/>
    <w:rsid w:val="00BB3A20"/>
    <w:rsid w:val="00BC1172"/>
    <w:rsid w:val="00BC2832"/>
    <w:rsid w:val="00BD0E39"/>
    <w:rsid w:val="00BD3656"/>
    <w:rsid w:val="00BE0582"/>
    <w:rsid w:val="00BE1BBE"/>
    <w:rsid w:val="00BE4FDC"/>
    <w:rsid w:val="00BF2AD9"/>
    <w:rsid w:val="00BF44E3"/>
    <w:rsid w:val="00C00BC7"/>
    <w:rsid w:val="00C023EA"/>
    <w:rsid w:val="00C06502"/>
    <w:rsid w:val="00C07ADF"/>
    <w:rsid w:val="00C14B07"/>
    <w:rsid w:val="00C20BF7"/>
    <w:rsid w:val="00C21716"/>
    <w:rsid w:val="00C21AB4"/>
    <w:rsid w:val="00C22D64"/>
    <w:rsid w:val="00C32FBE"/>
    <w:rsid w:val="00C3398D"/>
    <w:rsid w:val="00C360C6"/>
    <w:rsid w:val="00C37F40"/>
    <w:rsid w:val="00C41357"/>
    <w:rsid w:val="00C4356D"/>
    <w:rsid w:val="00C43A33"/>
    <w:rsid w:val="00C46651"/>
    <w:rsid w:val="00C469E6"/>
    <w:rsid w:val="00C536AA"/>
    <w:rsid w:val="00C56885"/>
    <w:rsid w:val="00C57680"/>
    <w:rsid w:val="00C57997"/>
    <w:rsid w:val="00C60288"/>
    <w:rsid w:val="00C6230B"/>
    <w:rsid w:val="00C62657"/>
    <w:rsid w:val="00C64939"/>
    <w:rsid w:val="00C73AA7"/>
    <w:rsid w:val="00C80261"/>
    <w:rsid w:val="00C81091"/>
    <w:rsid w:val="00C831C3"/>
    <w:rsid w:val="00C8509C"/>
    <w:rsid w:val="00C9510A"/>
    <w:rsid w:val="00C962CF"/>
    <w:rsid w:val="00CA43C6"/>
    <w:rsid w:val="00CB0B6B"/>
    <w:rsid w:val="00CB2720"/>
    <w:rsid w:val="00CC610F"/>
    <w:rsid w:val="00CD1491"/>
    <w:rsid w:val="00CD452E"/>
    <w:rsid w:val="00CD4B0E"/>
    <w:rsid w:val="00CD64DE"/>
    <w:rsid w:val="00CE0E75"/>
    <w:rsid w:val="00CE1095"/>
    <w:rsid w:val="00CE269E"/>
    <w:rsid w:val="00CE4143"/>
    <w:rsid w:val="00CE5C32"/>
    <w:rsid w:val="00CF09D3"/>
    <w:rsid w:val="00CF1602"/>
    <w:rsid w:val="00CF2515"/>
    <w:rsid w:val="00CF6971"/>
    <w:rsid w:val="00D00AC1"/>
    <w:rsid w:val="00D14149"/>
    <w:rsid w:val="00D16547"/>
    <w:rsid w:val="00D20368"/>
    <w:rsid w:val="00D22D73"/>
    <w:rsid w:val="00D23095"/>
    <w:rsid w:val="00D23422"/>
    <w:rsid w:val="00D24260"/>
    <w:rsid w:val="00D25EFC"/>
    <w:rsid w:val="00D26A92"/>
    <w:rsid w:val="00D3635F"/>
    <w:rsid w:val="00D3727F"/>
    <w:rsid w:val="00D471E0"/>
    <w:rsid w:val="00D521AA"/>
    <w:rsid w:val="00D52F8B"/>
    <w:rsid w:val="00D53284"/>
    <w:rsid w:val="00D566F5"/>
    <w:rsid w:val="00D62EBA"/>
    <w:rsid w:val="00D66344"/>
    <w:rsid w:val="00D7141B"/>
    <w:rsid w:val="00D718E2"/>
    <w:rsid w:val="00D7305D"/>
    <w:rsid w:val="00D731A8"/>
    <w:rsid w:val="00D74FDC"/>
    <w:rsid w:val="00D76B04"/>
    <w:rsid w:val="00D77418"/>
    <w:rsid w:val="00D80D42"/>
    <w:rsid w:val="00D85467"/>
    <w:rsid w:val="00D9154A"/>
    <w:rsid w:val="00D93271"/>
    <w:rsid w:val="00D96319"/>
    <w:rsid w:val="00DA0CA2"/>
    <w:rsid w:val="00DA158D"/>
    <w:rsid w:val="00DA16B7"/>
    <w:rsid w:val="00DA2051"/>
    <w:rsid w:val="00DA4B87"/>
    <w:rsid w:val="00DA65C7"/>
    <w:rsid w:val="00DB0766"/>
    <w:rsid w:val="00DB4D86"/>
    <w:rsid w:val="00DB5630"/>
    <w:rsid w:val="00DC061D"/>
    <w:rsid w:val="00DC5269"/>
    <w:rsid w:val="00DD006E"/>
    <w:rsid w:val="00DD02F0"/>
    <w:rsid w:val="00DD1BAF"/>
    <w:rsid w:val="00DD45B9"/>
    <w:rsid w:val="00DD4E98"/>
    <w:rsid w:val="00DD58B8"/>
    <w:rsid w:val="00DD5AD4"/>
    <w:rsid w:val="00DD7E73"/>
    <w:rsid w:val="00DE3477"/>
    <w:rsid w:val="00DE5048"/>
    <w:rsid w:val="00DE7CFE"/>
    <w:rsid w:val="00DF5C62"/>
    <w:rsid w:val="00DF61AD"/>
    <w:rsid w:val="00DF6B72"/>
    <w:rsid w:val="00DF70AA"/>
    <w:rsid w:val="00E013E9"/>
    <w:rsid w:val="00E02932"/>
    <w:rsid w:val="00E04931"/>
    <w:rsid w:val="00E071B3"/>
    <w:rsid w:val="00E11D03"/>
    <w:rsid w:val="00E12B19"/>
    <w:rsid w:val="00E16654"/>
    <w:rsid w:val="00E16C1B"/>
    <w:rsid w:val="00E2021C"/>
    <w:rsid w:val="00E21043"/>
    <w:rsid w:val="00E21CDD"/>
    <w:rsid w:val="00E240BD"/>
    <w:rsid w:val="00E2412D"/>
    <w:rsid w:val="00E33520"/>
    <w:rsid w:val="00E3623E"/>
    <w:rsid w:val="00E37775"/>
    <w:rsid w:val="00E42A16"/>
    <w:rsid w:val="00E43435"/>
    <w:rsid w:val="00E4398E"/>
    <w:rsid w:val="00E458F6"/>
    <w:rsid w:val="00E60761"/>
    <w:rsid w:val="00E659F7"/>
    <w:rsid w:val="00E67D3C"/>
    <w:rsid w:val="00E72E1B"/>
    <w:rsid w:val="00E7497C"/>
    <w:rsid w:val="00E74F9A"/>
    <w:rsid w:val="00E75BB5"/>
    <w:rsid w:val="00E75C06"/>
    <w:rsid w:val="00E806C7"/>
    <w:rsid w:val="00E80A78"/>
    <w:rsid w:val="00E813A4"/>
    <w:rsid w:val="00E83311"/>
    <w:rsid w:val="00E836C7"/>
    <w:rsid w:val="00E864C5"/>
    <w:rsid w:val="00E87051"/>
    <w:rsid w:val="00E90E54"/>
    <w:rsid w:val="00E92F27"/>
    <w:rsid w:val="00E94929"/>
    <w:rsid w:val="00E9519B"/>
    <w:rsid w:val="00E95345"/>
    <w:rsid w:val="00EA1B5E"/>
    <w:rsid w:val="00EA2C19"/>
    <w:rsid w:val="00EA31F3"/>
    <w:rsid w:val="00EA4F63"/>
    <w:rsid w:val="00EB0DD5"/>
    <w:rsid w:val="00EC2B6A"/>
    <w:rsid w:val="00EC45FC"/>
    <w:rsid w:val="00EC4A4E"/>
    <w:rsid w:val="00EC6A8E"/>
    <w:rsid w:val="00EC6BCB"/>
    <w:rsid w:val="00ED073E"/>
    <w:rsid w:val="00ED12AC"/>
    <w:rsid w:val="00ED161C"/>
    <w:rsid w:val="00ED1986"/>
    <w:rsid w:val="00ED315C"/>
    <w:rsid w:val="00EE3B8C"/>
    <w:rsid w:val="00EE5FD6"/>
    <w:rsid w:val="00EF3560"/>
    <w:rsid w:val="00F02DE0"/>
    <w:rsid w:val="00F053FC"/>
    <w:rsid w:val="00F079CC"/>
    <w:rsid w:val="00F158B5"/>
    <w:rsid w:val="00F166F9"/>
    <w:rsid w:val="00F16DE1"/>
    <w:rsid w:val="00F209A9"/>
    <w:rsid w:val="00F23799"/>
    <w:rsid w:val="00F25A32"/>
    <w:rsid w:val="00F264FC"/>
    <w:rsid w:val="00F26CE1"/>
    <w:rsid w:val="00F27182"/>
    <w:rsid w:val="00F27BD1"/>
    <w:rsid w:val="00F27CCA"/>
    <w:rsid w:val="00F3056C"/>
    <w:rsid w:val="00F30F7B"/>
    <w:rsid w:val="00F313C9"/>
    <w:rsid w:val="00F342F1"/>
    <w:rsid w:val="00F35DBE"/>
    <w:rsid w:val="00F3685E"/>
    <w:rsid w:val="00F404C0"/>
    <w:rsid w:val="00F404D6"/>
    <w:rsid w:val="00F41164"/>
    <w:rsid w:val="00F4377C"/>
    <w:rsid w:val="00F464B8"/>
    <w:rsid w:val="00F5044F"/>
    <w:rsid w:val="00F52C3B"/>
    <w:rsid w:val="00F551B0"/>
    <w:rsid w:val="00F55739"/>
    <w:rsid w:val="00F56F3B"/>
    <w:rsid w:val="00F620B5"/>
    <w:rsid w:val="00F6381F"/>
    <w:rsid w:val="00F6398A"/>
    <w:rsid w:val="00F65610"/>
    <w:rsid w:val="00F672C6"/>
    <w:rsid w:val="00F676A5"/>
    <w:rsid w:val="00F71F22"/>
    <w:rsid w:val="00F83C99"/>
    <w:rsid w:val="00F845C6"/>
    <w:rsid w:val="00F84E4D"/>
    <w:rsid w:val="00F87114"/>
    <w:rsid w:val="00F8757D"/>
    <w:rsid w:val="00F902CA"/>
    <w:rsid w:val="00F9076E"/>
    <w:rsid w:val="00F91E0B"/>
    <w:rsid w:val="00F92334"/>
    <w:rsid w:val="00F92A66"/>
    <w:rsid w:val="00F92DF2"/>
    <w:rsid w:val="00FA0211"/>
    <w:rsid w:val="00FA0BEA"/>
    <w:rsid w:val="00FA12FB"/>
    <w:rsid w:val="00FA3C84"/>
    <w:rsid w:val="00FA77E7"/>
    <w:rsid w:val="00FB2F52"/>
    <w:rsid w:val="00FB7B00"/>
    <w:rsid w:val="00FC1289"/>
    <w:rsid w:val="00FC1EB5"/>
    <w:rsid w:val="00FC3AAB"/>
    <w:rsid w:val="00FC53F6"/>
    <w:rsid w:val="00FC598A"/>
    <w:rsid w:val="00FC7940"/>
    <w:rsid w:val="00FD0CFA"/>
    <w:rsid w:val="00FD3D56"/>
    <w:rsid w:val="00FD46BA"/>
    <w:rsid w:val="00FD5D4A"/>
    <w:rsid w:val="00FE20A0"/>
    <w:rsid w:val="00FE485B"/>
    <w:rsid w:val="00FE5B59"/>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corte3centro">
    <w:name w:val="corte3 centro"/>
    <w:basedOn w:val="Normal"/>
    <w:link w:val="corte3centroCar"/>
    <w:rsid w:val="008B3480"/>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8B348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8B3480"/>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8B3480"/>
    <w:rPr>
      <w:rFonts w:ascii="Arial" w:eastAsia="Times New Roman" w:hAnsi="Arial" w:cs="Times New Roman"/>
      <w:b/>
      <w:sz w:val="30"/>
      <w:szCs w:val="20"/>
      <w:lang w:val="es-ES_tradnl" w:eastAsia="es-ES"/>
    </w:rPr>
  </w:style>
  <w:style w:type="paragraph" w:styleId="NormalWeb">
    <w:name w:val="Normal (Web)"/>
    <w:basedOn w:val="Normal"/>
    <w:uiPriority w:val="99"/>
    <w:semiHidden/>
    <w:unhideWhenUsed/>
    <w:rsid w:val="001D2AF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corte3centro">
    <w:name w:val="corte3 centro"/>
    <w:basedOn w:val="Normal"/>
    <w:link w:val="corte3centroCar"/>
    <w:rsid w:val="008B3480"/>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8B348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8B3480"/>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8B3480"/>
    <w:rPr>
      <w:rFonts w:ascii="Arial" w:eastAsia="Times New Roman" w:hAnsi="Arial" w:cs="Times New Roman"/>
      <w:b/>
      <w:sz w:val="30"/>
      <w:szCs w:val="20"/>
      <w:lang w:val="es-ES_tradnl" w:eastAsia="es-ES"/>
    </w:rPr>
  </w:style>
  <w:style w:type="paragraph" w:styleId="NormalWeb">
    <w:name w:val="Normal (Web)"/>
    <w:basedOn w:val="Normal"/>
    <w:uiPriority w:val="99"/>
    <w:semiHidden/>
    <w:unhideWhenUsed/>
    <w:rsid w:val="001D2AF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9200">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838078005">
      <w:bodyDiv w:val="1"/>
      <w:marLeft w:val="0"/>
      <w:marRight w:val="0"/>
      <w:marTop w:val="0"/>
      <w:marBottom w:val="0"/>
      <w:divBdr>
        <w:top w:val="none" w:sz="0" w:space="0" w:color="auto"/>
        <w:left w:val="none" w:sz="0" w:space="0" w:color="auto"/>
        <w:bottom w:val="none" w:sz="0" w:space="0" w:color="auto"/>
        <w:right w:val="none" w:sz="0" w:space="0" w:color="auto"/>
      </w:divBdr>
      <w:divsChild>
        <w:div w:id="1037588900">
          <w:marLeft w:val="0"/>
          <w:marRight w:val="0"/>
          <w:marTop w:val="0"/>
          <w:marBottom w:val="0"/>
          <w:divBdr>
            <w:top w:val="none" w:sz="0" w:space="0" w:color="auto"/>
            <w:left w:val="none" w:sz="0" w:space="0" w:color="auto"/>
            <w:bottom w:val="none" w:sz="0" w:space="0" w:color="auto"/>
            <w:right w:val="none" w:sz="0" w:space="0" w:color="auto"/>
          </w:divBdr>
        </w:div>
        <w:div w:id="209535874">
          <w:marLeft w:val="0"/>
          <w:marRight w:val="0"/>
          <w:marTop w:val="0"/>
          <w:marBottom w:val="0"/>
          <w:divBdr>
            <w:top w:val="none" w:sz="0" w:space="0" w:color="auto"/>
            <w:left w:val="none" w:sz="0" w:space="0" w:color="auto"/>
            <w:bottom w:val="none" w:sz="0" w:space="0" w:color="auto"/>
            <w:right w:val="none" w:sz="0" w:space="0" w:color="auto"/>
          </w:divBdr>
        </w:div>
        <w:div w:id="1616791763">
          <w:marLeft w:val="0"/>
          <w:marRight w:val="0"/>
          <w:marTop w:val="0"/>
          <w:marBottom w:val="0"/>
          <w:divBdr>
            <w:top w:val="none" w:sz="0" w:space="0" w:color="auto"/>
            <w:left w:val="none" w:sz="0" w:space="0" w:color="auto"/>
            <w:bottom w:val="none" w:sz="0" w:space="0" w:color="auto"/>
            <w:right w:val="none" w:sz="0" w:space="0" w:color="auto"/>
          </w:divBdr>
        </w:div>
        <w:div w:id="1413742949">
          <w:marLeft w:val="0"/>
          <w:marRight w:val="0"/>
          <w:marTop w:val="0"/>
          <w:marBottom w:val="0"/>
          <w:divBdr>
            <w:top w:val="none" w:sz="0" w:space="0" w:color="auto"/>
            <w:left w:val="none" w:sz="0" w:space="0" w:color="auto"/>
            <w:bottom w:val="none" w:sz="0" w:space="0" w:color="auto"/>
            <w:right w:val="none" w:sz="0" w:space="0" w:color="auto"/>
          </w:divBdr>
        </w:div>
        <w:div w:id="241717055">
          <w:marLeft w:val="0"/>
          <w:marRight w:val="0"/>
          <w:marTop w:val="0"/>
          <w:marBottom w:val="0"/>
          <w:divBdr>
            <w:top w:val="none" w:sz="0" w:space="0" w:color="auto"/>
            <w:left w:val="none" w:sz="0" w:space="0" w:color="auto"/>
            <w:bottom w:val="none" w:sz="0" w:space="0" w:color="auto"/>
            <w:right w:val="none" w:sz="0" w:space="0" w:color="auto"/>
          </w:divBdr>
        </w:div>
        <w:div w:id="1411459680">
          <w:marLeft w:val="0"/>
          <w:marRight w:val="0"/>
          <w:marTop w:val="0"/>
          <w:marBottom w:val="0"/>
          <w:divBdr>
            <w:top w:val="none" w:sz="0" w:space="0" w:color="auto"/>
            <w:left w:val="none" w:sz="0" w:space="0" w:color="auto"/>
            <w:bottom w:val="none" w:sz="0" w:space="0" w:color="auto"/>
            <w:right w:val="none" w:sz="0" w:space="0" w:color="auto"/>
          </w:divBdr>
        </w:div>
      </w:divsChild>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0F91-00AF-4F4D-8D32-D392DABB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14</Pages>
  <Words>4858</Words>
  <Characters>26722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125</cp:revision>
  <cp:lastPrinted>2018-01-22T18:43:00Z</cp:lastPrinted>
  <dcterms:created xsi:type="dcterms:W3CDTF">2018-01-10T17:27:00Z</dcterms:created>
  <dcterms:modified xsi:type="dcterms:W3CDTF">2018-12-05T21:21:00Z</dcterms:modified>
</cp:coreProperties>
</file>