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8CF" w:rsidRDefault="008238CF" w:rsidP="00E456F0">
      <w:pPr>
        <w:spacing w:after="0" w:line="360" w:lineRule="auto"/>
        <w:jc w:val="both"/>
        <w:rPr>
          <w:rFonts w:ascii="Arial" w:hAnsi="Arial" w:cs="Arial"/>
          <w:b/>
          <w:iCs/>
          <w:caps/>
          <w:sz w:val="26"/>
          <w:szCs w:val="26"/>
        </w:rPr>
      </w:pPr>
    </w:p>
    <w:p w:rsidR="00B336AC" w:rsidRDefault="00B336AC" w:rsidP="00B336AC">
      <w:pPr>
        <w:spacing w:line="240" w:lineRule="auto"/>
        <w:ind w:left="2124"/>
        <w:jc w:val="both"/>
        <w:rPr>
          <w:rFonts w:ascii="Arial" w:hAnsi="Arial" w:cs="Arial"/>
          <w:b/>
          <w:sz w:val="26"/>
          <w:szCs w:val="26"/>
        </w:rPr>
      </w:pPr>
      <w:r>
        <w:rPr>
          <w:rFonts w:ascii="Arial" w:hAnsi="Arial" w:cs="Arial"/>
          <w:b/>
          <w:sz w:val="26"/>
          <w:szCs w:val="26"/>
        </w:rPr>
        <w:t>SALA SUPERIOR DEL TRIBUNAL DE JUSTICIA ADMINISTRATIVA DEL ESTADO DE OAXACA</w:t>
      </w:r>
    </w:p>
    <w:p w:rsidR="00B336AC" w:rsidRDefault="00B336AC" w:rsidP="00B336AC">
      <w:pPr>
        <w:spacing w:line="240" w:lineRule="auto"/>
        <w:ind w:left="2124"/>
        <w:jc w:val="both"/>
        <w:rPr>
          <w:rFonts w:ascii="Arial" w:hAnsi="Arial" w:cs="Arial"/>
          <w:b/>
          <w:sz w:val="26"/>
          <w:szCs w:val="26"/>
        </w:rPr>
      </w:pPr>
      <w:r>
        <w:rPr>
          <w:rFonts w:ascii="Arial" w:hAnsi="Arial" w:cs="Arial"/>
          <w:b/>
          <w:sz w:val="26"/>
          <w:szCs w:val="26"/>
        </w:rPr>
        <w:t>RECURSO DE REVISIÓN:</w:t>
      </w:r>
      <w:r>
        <w:rPr>
          <w:rFonts w:ascii="Arial" w:hAnsi="Arial" w:cs="Arial"/>
          <w:b/>
          <w:sz w:val="26"/>
          <w:szCs w:val="26"/>
        </w:rPr>
        <w:tab/>
        <w:t>0396/2018</w:t>
      </w:r>
    </w:p>
    <w:p w:rsidR="00B336AC" w:rsidRDefault="00B336AC" w:rsidP="00B336AC">
      <w:pPr>
        <w:spacing w:line="240" w:lineRule="auto"/>
        <w:ind w:left="2124"/>
        <w:jc w:val="both"/>
        <w:rPr>
          <w:rFonts w:ascii="Arial" w:hAnsi="Arial" w:cs="Arial"/>
          <w:b/>
          <w:sz w:val="26"/>
          <w:szCs w:val="26"/>
        </w:rPr>
      </w:pPr>
      <w:r>
        <w:rPr>
          <w:rFonts w:ascii="Arial" w:hAnsi="Arial" w:cs="Arial"/>
          <w:b/>
          <w:sz w:val="26"/>
          <w:szCs w:val="26"/>
        </w:rPr>
        <w:t>EXPEDIENTE:</w:t>
      </w:r>
      <w:r>
        <w:rPr>
          <w:rFonts w:ascii="Arial" w:hAnsi="Arial" w:cs="Arial"/>
          <w:b/>
          <w:sz w:val="26"/>
          <w:szCs w:val="26"/>
        </w:rPr>
        <w:tab/>
        <w:t>0054/2018 SEGUNDA SALA UNITARIA DE PRIMERA INSTANCIA</w:t>
      </w:r>
    </w:p>
    <w:p w:rsidR="00B336AC" w:rsidRDefault="00B336AC" w:rsidP="00B336AC">
      <w:pPr>
        <w:spacing w:line="240" w:lineRule="auto"/>
        <w:ind w:left="2124"/>
        <w:jc w:val="both"/>
        <w:rPr>
          <w:rFonts w:ascii="Arial" w:hAnsi="Arial" w:cs="Arial"/>
          <w:b/>
          <w:sz w:val="26"/>
          <w:szCs w:val="26"/>
        </w:rPr>
      </w:pPr>
      <w:r>
        <w:rPr>
          <w:rFonts w:ascii="Arial" w:hAnsi="Arial" w:cs="Arial"/>
          <w:b/>
          <w:sz w:val="26"/>
          <w:szCs w:val="26"/>
        </w:rPr>
        <w:t>PONENTE: MAGISTRADO ENRIQUE PACHECO MARTÍNEZ.</w:t>
      </w:r>
    </w:p>
    <w:p w:rsidR="00B336AC" w:rsidRDefault="00B336AC" w:rsidP="00B336AC">
      <w:pPr>
        <w:spacing w:line="240" w:lineRule="auto"/>
        <w:ind w:left="2124"/>
        <w:jc w:val="both"/>
        <w:rPr>
          <w:rFonts w:ascii="Arial" w:hAnsi="Arial" w:cs="Arial"/>
          <w:b/>
          <w:sz w:val="26"/>
          <w:szCs w:val="26"/>
        </w:rPr>
      </w:pPr>
    </w:p>
    <w:p w:rsidR="00B336AC" w:rsidRDefault="00B336AC" w:rsidP="00B336AC">
      <w:pPr>
        <w:spacing w:before="240" w:line="360" w:lineRule="auto"/>
        <w:jc w:val="both"/>
        <w:rPr>
          <w:rFonts w:ascii="Arial" w:hAnsi="Arial" w:cs="Arial"/>
          <w:b/>
          <w:sz w:val="26"/>
          <w:szCs w:val="26"/>
        </w:rPr>
      </w:pPr>
      <w:r>
        <w:rPr>
          <w:rFonts w:ascii="Arial" w:hAnsi="Arial" w:cs="Arial"/>
          <w:b/>
          <w:sz w:val="26"/>
          <w:szCs w:val="26"/>
        </w:rPr>
        <w:t>OAXACA DE JUÁREZ, OAXACA, DIECISÉIS DE MAYO DE DOS MIL DIECINUEVE.</w:t>
      </w:r>
    </w:p>
    <w:p w:rsidR="00B336AC" w:rsidRPr="00CB6405" w:rsidRDefault="00B336AC" w:rsidP="00B336AC">
      <w:pPr>
        <w:spacing w:line="360" w:lineRule="auto"/>
        <w:ind w:firstLine="708"/>
        <w:jc w:val="both"/>
        <w:rPr>
          <w:rFonts w:ascii="Arial" w:hAnsi="Arial" w:cs="Arial"/>
          <w:sz w:val="26"/>
          <w:szCs w:val="26"/>
        </w:rPr>
      </w:pPr>
      <w:r>
        <w:rPr>
          <w:rFonts w:ascii="Arial" w:hAnsi="Arial" w:cs="Arial"/>
          <w:sz w:val="26"/>
          <w:szCs w:val="26"/>
        </w:rPr>
        <w:t>P</w:t>
      </w:r>
      <w:r w:rsidRPr="006E349D">
        <w:rPr>
          <w:rFonts w:ascii="Arial" w:hAnsi="Arial" w:cs="Arial"/>
          <w:sz w:val="26"/>
          <w:szCs w:val="26"/>
        </w:rPr>
        <w:t xml:space="preserve">or recibido el Cuaderno de Revisión </w:t>
      </w:r>
      <w:r w:rsidRPr="00623318">
        <w:rPr>
          <w:rFonts w:ascii="Arial" w:hAnsi="Arial" w:cs="Arial"/>
          <w:b/>
          <w:sz w:val="26"/>
          <w:szCs w:val="26"/>
        </w:rPr>
        <w:t>0</w:t>
      </w:r>
      <w:r>
        <w:rPr>
          <w:rFonts w:ascii="Arial" w:hAnsi="Arial" w:cs="Arial"/>
          <w:b/>
          <w:sz w:val="26"/>
          <w:szCs w:val="26"/>
        </w:rPr>
        <w:t>396</w:t>
      </w:r>
      <w:r w:rsidRPr="00623318">
        <w:rPr>
          <w:rFonts w:ascii="Arial" w:hAnsi="Arial" w:cs="Arial"/>
          <w:b/>
          <w:sz w:val="26"/>
          <w:szCs w:val="26"/>
        </w:rPr>
        <w:t>/201</w:t>
      </w:r>
      <w:r>
        <w:rPr>
          <w:rFonts w:ascii="Arial" w:hAnsi="Arial" w:cs="Arial"/>
          <w:b/>
          <w:sz w:val="26"/>
          <w:szCs w:val="26"/>
        </w:rPr>
        <w:t>8</w:t>
      </w:r>
      <w:r w:rsidRPr="006E349D">
        <w:rPr>
          <w:rFonts w:ascii="Arial" w:hAnsi="Arial" w:cs="Arial"/>
          <w:sz w:val="26"/>
          <w:szCs w:val="26"/>
        </w:rPr>
        <w:t>, que remite la Secretaría General de Acuerdos, con motivo del recurso de revisión interpuesto por</w:t>
      </w:r>
      <w:r>
        <w:rPr>
          <w:rFonts w:ascii="Arial" w:hAnsi="Arial" w:cs="Arial"/>
          <w:sz w:val="26"/>
          <w:szCs w:val="26"/>
        </w:rPr>
        <w:t xml:space="preserve"> </w:t>
      </w:r>
      <w:r w:rsidR="00183E97">
        <w:rPr>
          <w:rFonts w:ascii="Arial" w:hAnsi="Arial" w:cs="Arial"/>
          <w:b/>
          <w:sz w:val="26"/>
          <w:szCs w:val="26"/>
        </w:rPr>
        <w:t>**********</w:t>
      </w:r>
      <w:r w:rsidRPr="005D4677">
        <w:rPr>
          <w:rFonts w:ascii="Arial" w:hAnsi="Arial" w:cs="Arial"/>
          <w:sz w:val="26"/>
          <w:szCs w:val="26"/>
        </w:rPr>
        <w:t>,</w:t>
      </w:r>
      <w:r w:rsidRPr="00FA5B98">
        <w:rPr>
          <w:rFonts w:ascii="Arial" w:hAnsi="Arial" w:cs="Arial"/>
          <w:sz w:val="26"/>
          <w:szCs w:val="26"/>
        </w:rPr>
        <w:t xml:space="preserve"> </w:t>
      </w:r>
      <w:r>
        <w:rPr>
          <w:rFonts w:ascii="Arial" w:hAnsi="Arial" w:cs="Arial"/>
          <w:sz w:val="26"/>
          <w:szCs w:val="26"/>
        </w:rPr>
        <w:t xml:space="preserve">en contra del acuerdo de cinco de septiembre de dos mil dieciocho, dictado en el expediente </w:t>
      </w:r>
      <w:r>
        <w:rPr>
          <w:rFonts w:ascii="Arial" w:hAnsi="Arial" w:cs="Arial"/>
          <w:b/>
          <w:sz w:val="26"/>
          <w:szCs w:val="26"/>
        </w:rPr>
        <w:t>0054</w:t>
      </w:r>
      <w:r w:rsidRPr="005540FC">
        <w:rPr>
          <w:rFonts w:ascii="Arial" w:hAnsi="Arial" w:cs="Arial"/>
          <w:b/>
          <w:sz w:val="26"/>
          <w:szCs w:val="26"/>
        </w:rPr>
        <w:t>/201</w:t>
      </w:r>
      <w:r>
        <w:rPr>
          <w:rFonts w:ascii="Arial" w:hAnsi="Arial" w:cs="Arial"/>
          <w:b/>
          <w:sz w:val="26"/>
          <w:szCs w:val="26"/>
        </w:rPr>
        <w:t xml:space="preserve">8 </w:t>
      </w:r>
      <w:r>
        <w:rPr>
          <w:rFonts w:ascii="Arial" w:hAnsi="Arial" w:cs="Arial"/>
          <w:sz w:val="26"/>
          <w:szCs w:val="26"/>
        </w:rPr>
        <w:t xml:space="preserve">de la Segunda Sala Unitaria de Primera Instancia, relativo al juicio de nulidad promovido por el </w:t>
      </w:r>
      <w:r w:rsidRPr="009E7117">
        <w:rPr>
          <w:rFonts w:ascii="Arial" w:hAnsi="Arial" w:cs="Arial"/>
          <w:b/>
          <w:sz w:val="26"/>
          <w:szCs w:val="26"/>
        </w:rPr>
        <w:t>RECURRENTE</w:t>
      </w:r>
      <w:r w:rsidRPr="005D4677">
        <w:rPr>
          <w:rFonts w:ascii="Arial" w:hAnsi="Arial" w:cs="Arial"/>
          <w:sz w:val="26"/>
          <w:szCs w:val="26"/>
        </w:rPr>
        <w:t>,</w:t>
      </w:r>
      <w:r>
        <w:rPr>
          <w:rFonts w:ascii="Arial" w:hAnsi="Arial" w:cs="Arial"/>
          <w:b/>
          <w:sz w:val="26"/>
          <w:szCs w:val="26"/>
        </w:rPr>
        <w:t xml:space="preserve"> </w:t>
      </w:r>
      <w:r>
        <w:rPr>
          <w:rFonts w:ascii="Arial" w:hAnsi="Arial" w:cs="Arial"/>
          <w:sz w:val="26"/>
          <w:szCs w:val="26"/>
        </w:rPr>
        <w:t xml:space="preserve">en contra del </w:t>
      </w:r>
      <w:r>
        <w:rPr>
          <w:rFonts w:ascii="Arial" w:hAnsi="Arial" w:cs="Arial"/>
          <w:b/>
          <w:sz w:val="26"/>
          <w:szCs w:val="26"/>
        </w:rPr>
        <w:t>DIRECTOR GENERAL DE LA OFICINA DE PENSIONES DEL ESTADO DE OAXACA</w:t>
      </w:r>
      <w:r w:rsidRPr="005D4677">
        <w:rPr>
          <w:rFonts w:ascii="Arial" w:hAnsi="Arial" w:cs="Arial"/>
          <w:sz w:val="26"/>
          <w:szCs w:val="26"/>
        </w:rPr>
        <w:t>;</w:t>
      </w:r>
      <w:r>
        <w:rPr>
          <w:rFonts w:ascii="Arial" w:hAnsi="Arial" w:cs="Arial"/>
          <w:b/>
          <w:sz w:val="26"/>
          <w:szCs w:val="26"/>
        </w:rPr>
        <w:t xml:space="preserve"> </w:t>
      </w:r>
      <w:r w:rsidRPr="00CB6405">
        <w:rPr>
          <w:rFonts w:ascii="Arial" w:hAnsi="Arial" w:cs="Arial"/>
          <w:sz w:val="26"/>
          <w:szCs w:val="26"/>
        </w:rPr>
        <w:t xml:space="preserve">por lo que con fundamento en los </w:t>
      </w:r>
      <w:r>
        <w:rPr>
          <w:rFonts w:ascii="Arial" w:hAnsi="Arial" w:cs="Arial"/>
          <w:sz w:val="26"/>
          <w:szCs w:val="26"/>
        </w:rPr>
        <w:t>artículos 236 y 23</w:t>
      </w:r>
      <w:r w:rsidRPr="00CB6405">
        <w:rPr>
          <w:rFonts w:ascii="Arial" w:hAnsi="Arial" w:cs="Arial"/>
          <w:sz w:val="26"/>
          <w:szCs w:val="26"/>
        </w:rPr>
        <w:t xml:space="preserve">8 de la Ley de </w:t>
      </w:r>
      <w:r>
        <w:rPr>
          <w:rFonts w:ascii="Arial" w:hAnsi="Arial" w:cs="Arial"/>
          <w:sz w:val="26"/>
          <w:szCs w:val="26"/>
        </w:rPr>
        <w:t xml:space="preserve">Procedimiento y Justicia Administrativa para el </w:t>
      </w:r>
      <w:r w:rsidRPr="00CB6405">
        <w:rPr>
          <w:rFonts w:ascii="Arial" w:hAnsi="Arial" w:cs="Arial"/>
          <w:sz w:val="26"/>
          <w:szCs w:val="26"/>
        </w:rPr>
        <w:t>Estado de Oaxaca</w:t>
      </w:r>
      <w:r>
        <w:rPr>
          <w:rFonts w:ascii="Arial" w:hAnsi="Arial" w:cs="Arial"/>
          <w:sz w:val="26"/>
          <w:szCs w:val="26"/>
        </w:rPr>
        <w:t xml:space="preserve">, </w:t>
      </w:r>
      <w:r w:rsidRPr="00CB6405">
        <w:rPr>
          <w:rFonts w:ascii="Arial" w:hAnsi="Arial" w:cs="Arial"/>
          <w:sz w:val="26"/>
          <w:szCs w:val="26"/>
        </w:rPr>
        <w:t>se admite. En consecuencia, se procede a dictar resolución en los siguientes términos:</w:t>
      </w:r>
    </w:p>
    <w:p w:rsidR="00B336AC" w:rsidRDefault="00B336AC" w:rsidP="00B336AC">
      <w:pPr>
        <w:spacing w:line="360" w:lineRule="auto"/>
        <w:ind w:firstLine="708"/>
        <w:jc w:val="center"/>
        <w:rPr>
          <w:rFonts w:ascii="Arial" w:hAnsi="Arial" w:cs="Arial"/>
          <w:b/>
          <w:bCs/>
          <w:sz w:val="26"/>
          <w:szCs w:val="26"/>
        </w:rPr>
      </w:pPr>
      <w:r>
        <w:rPr>
          <w:rFonts w:ascii="Arial" w:hAnsi="Arial" w:cs="Arial"/>
          <w:b/>
          <w:bCs/>
          <w:sz w:val="26"/>
          <w:szCs w:val="26"/>
        </w:rPr>
        <w:t>R E S U L T A N D O</w:t>
      </w:r>
    </w:p>
    <w:p w:rsidR="00B336AC" w:rsidRDefault="00B336AC" w:rsidP="00B336AC">
      <w:pPr>
        <w:spacing w:line="360" w:lineRule="auto"/>
        <w:ind w:firstLine="708"/>
        <w:jc w:val="both"/>
        <w:rPr>
          <w:rFonts w:ascii="Arial" w:hAnsi="Arial" w:cs="Arial"/>
          <w:sz w:val="26"/>
          <w:szCs w:val="26"/>
        </w:rPr>
      </w:pPr>
      <w:r>
        <w:rPr>
          <w:rFonts w:ascii="Arial" w:hAnsi="Arial" w:cs="Arial"/>
          <w:b/>
          <w:bCs/>
          <w:sz w:val="26"/>
          <w:szCs w:val="26"/>
        </w:rPr>
        <w:t xml:space="preserve">PRIMERO. </w:t>
      </w:r>
      <w:r>
        <w:rPr>
          <w:rFonts w:ascii="Arial" w:hAnsi="Arial" w:cs="Arial"/>
          <w:sz w:val="26"/>
          <w:szCs w:val="26"/>
        </w:rPr>
        <w:t xml:space="preserve">Inconforme con el acuerdo de cinco de septiembre de dos mil dieciocho, dictado por la Segunda Sala Unitaria de Primera Instancia, </w:t>
      </w:r>
      <w:r w:rsidR="00183E97">
        <w:rPr>
          <w:rFonts w:ascii="Arial" w:hAnsi="Arial" w:cs="Arial"/>
          <w:b/>
          <w:sz w:val="26"/>
          <w:szCs w:val="26"/>
        </w:rPr>
        <w:t>**********</w:t>
      </w:r>
      <w:r w:rsidRPr="005D4677">
        <w:rPr>
          <w:rFonts w:ascii="Arial" w:hAnsi="Arial" w:cs="Arial"/>
          <w:sz w:val="26"/>
          <w:szCs w:val="26"/>
        </w:rPr>
        <w:t>,</w:t>
      </w:r>
      <w:r>
        <w:rPr>
          <w:rFonts w:ascii="Arial" w:hAnsi="Arial" w:cs="Arial"/>
          <w:b/>
          <w:sz w:val="26"/>
          <w:szCs w:val="26"/>
        </w:rPr>
        <w:t xml:space="preserve"> </w:t>
      </w:r>
      <w:r>
        <w:rPr>
          <w:rFonts w:ascii="Arial" w:hAnsi="Arial" w:cs="Arial"/>
          <w:sz w:val="26"/>
          <w:szCs w:val="26"/>
        </w:rPr>
        <w:t>interpuso en su contra recurso de revisión.</w:t>
      </w:r>
    </w:p>
    <w:p w:rsidR="00B336AC" w:rsidRDefault="00B336AC" w:rsidP="00B336AC">
      <w:pPr>
        <w:spacing w:after="0" w:line="360" w:lineRule="auto"/>
        <w:ind w:firstLine="708"/>
        <w:jc w:val="both"/>
        <w:rPr>
          <w:rFonts w:ascii="Arial" w:hAnsi="Arial" w:cs="Arial"/>
          <w:sz w:val="26"/>
          <w:szCs w:val="26"/>
        </w:rPr>
      </w:pPr>
      <w:r>
        <w:rPr>
          <w:rFonts w:ascii="Arial" w:hAnsi="Arial" w:cs="Arial"/>
          <w:b/>
          <w:bCs/>
          <w:sz w:val="26"/>
          <w:szCs w:val="26"/>
        </w:rPr>
        <w:t xml:space="preserve">SEGUNDO. </w:t>
      </w:r>
      <w:r>
        <w:rPr>
          <w:rFonts w:ascii="Arial" w:hAnsi="Arial" w:cs="Arial"/>
          <w:bCs/>
          <w:sz w:val="26"/>
          <w:szCs w:val="26"/>
        </w:rPr>
        <w:t xml:space="preserve">El acuerdo </w:t>
      </w:r>
      <w:r>
        <w:rPr>
          <w:rFonts w:ascii="Arial" w:hAnsi="Arial" w:cs="Arial"/>
          <w:sz w:val="26"/>
          <w:szCs w:val="26"/>
        </w:rPr>
        <w:t>recurrido es el siguiente:</w:t>
      </w:r>
    </w:p>
    <w:p w:rsidR="00B336AC" w:rsidRDefault="00B336AC" w:rsidP="00B336AC">
      <w:pPr>
        <w:spacing w:before="240"/>
        <w:ind w:left="1134" w:right="566"/>
        <w:jc w:val="both"/>
        <w:rPr>
          <w:rFonts w:ascii="Arial" w:eastAsia="Calibri" w:hAnsi="Arial" w:cs="Arial"/>
          <w:b/>
          <w:bCs/>
          <w:i/>
          <w:color w:val="000000" w:themeColor="text1"/>
          <w:sz w:val="24"/>
          <w:szCs w:val="24"/>
        </w:rPr>
      </w:pPr>
      <w:r w:rsidRPr="008A3D91">
        <w:rPr>
          <w:rFonts w:ascii="Arial" w:eastAsia="Calibri" w:hAnsi="Arial" w:cs="Arial"/>
          <w:bCs/>
          <w:color w:val="000000" w:themeColor="text1"/>
          <w:sz w:val="24"/>
          <w:szCs w:val="24"/>
        </w:rPr>
        <w:t>“</w:t>
      </w:r>
      <w:r>
        <w:rPr>
          <w:rFonts w:ascii="Arial" w:eastAsia="Calibri" w:hAnsi="Arial" w:cs="Arial"/>
          <w:b/>
          <w:bCs/>
          <w:i/>
          <w:color w:val="000000" w:themeColor="text1"/>
          <w:sz w:val="24"/>
          <w:szCs w:val="24"/>
        </w:rPr>
        <w:t>OAXACA DE JUÁREZ, OAXACA, A CINCO DE SEPTIEMBRE DE DOS MIL DIECIOCHO.</w:t>
      </w:r>
    </w:p>
    <w:p w:rsidR="00B336AC" w:rsidRDefault="00B336AC" w:rsidP="00B336AC">
      <w:pPr>
        <w:spacing w:before="240"/>
        <w:ind w:left="1134" w:right="566"/>
        <w:jc w:val="both"/>
        <w:rPr>
          <w:rFonts w:ascii="Arial" w:eastAsia="Calibri" w:hAnsi="Arial" w:cs="Arial"/>
          <w:bCs/>
          <w:i/>
          <w:color w:val="000000" w:themeColor="text1"/>
          <w:sz w:val="24"/>
          <w:szCs w:val="24"/>
        </w:rPr>
      </w:pPr>
      <w:r>
        <w:rPr>
          <w:rFonts w:ascii="Arial" w:eastAsia="Calibri" w:hAnsi="Arial" w:cs="Arial"/>
          <w:bCs/>
          <w:i/>
          <w:color w:val="000000" w:themeColor="text1"/>
          <w:sz w:val="24"/>
          <w:szCs w:val="24"/>
        </w:rPr>
        <w:t xml:space="preserve">Agréguese el escrito de </w:t>
      </w:r>
      <w:r w:rsidR="00183E97">
        <w:rPr>
          <w:rFonts w:ascii="Arial" w:hAnsi="Arial" w:cs="Arial"/>
          <w:b/>
          <w:i/>
        </w:rPr>
        <w:t>**********</w:t>
      </w:r>
      <w:r w:rsidRPr="009E7117">
        <w:rPr>
          <w:rFonts w:ascii="Arial" w:hAnsi="Arial" w:cs="Arial"/>
          <w:i/>
          <w:sz w:val="24"/>
          <w:szCs w:val="24"/>
        </w:rPr>
        <w:t>,</w:t>
      </w:r>
      <w:r w:rsidRPr="009E7117">
        <w:rPr>
          <w:rFonts w:ascii="Arial" w:eastAsia="Calibri" w:hAnsi="Arial" w:cs="Arial"/>
          <w:bCs/>
          <w:i/>
          <w:color w:val="000000" w:themeColor="text1"/>
          <w:sz w:val="24"/>
          <w:szCs w:val="24"/>
        </w:rPr>
        <w:t xml:space="preserve"> </w:t>
      </w:r>
      <w:r>
        <w:rPr>
          <w:rFonts w:ascii="Arial" w:eastAsia="Calibri" w:hAnsi="Arial" w:cs="Arial"/>
          <w:bCs/>
          <w:i/>
          <w:color w:val="000000" w:themeColor="text1"/>
          <w:sz w:val="24"/>
          <w:szCs w:val="24"/>
        </w:rPr>
        <w:t xml:space="preserve">presentado el cuatro de septiembre de dos mil dieciocho, con copias simples como anexos, mediante el cual promueve el incidente de nulidad de notificaciones, respecto el auto de </w:t>
      </w:r>
      <w:r>
        <w:rPr>
          <w:rFonts w:ascii="Arial" w:eastAsia="Calibri" w:hAnsi="Arial" w:cs="Arial"/>
          <w:b/>
          <w:bCs/>
          <w:i/>
          <w:color w:val="000000" w:themeColor="text1"/>
          <w:sz w:val="24"/>
          <w:szCs w:val="24"/>
        </w:rPr>
        <w:t xml:space="preserve">veintitrés de agosto de dos mil dieciocho, </w:t>
      </w:r>
      <w:r>
        <w:rPr>
          <w:rFonts w:ascii="Arial" w:eastAsia="Calibri" w:hAnsi="Arial" w:cs="Arial"/>
          <w:bCs/>
          <w:i/>
          <w:color w:val="000000" w:themeColor="text1"/>
          <w:sz w:val="24"/>
          <w:szCs w:val="24"/>
        </w:rPr>
        <w:t>y reitera se autorice a las asesoras que ahí menciona para oír, recibir notificaciones y recoger documentos.</w:t>
      </w:r>
    </w:p>
    <w:p w:rsidR="00B336AC" w:rsidRDefault="00B336AC" w:rsidP="00B336AC">
      <w:pPr>
        <w:spacing w:before="240"/>
        <w:ind w:left="1134" w:right="566"/>
        <w:jc w:val="both"/>
        <w:rPr>
          <w:rFonts w:ascii="Arial" w:eastAsia="Calibri" w:hAnsi="Arial" w:cs="Arial"/>
          <w:bCs/>
          <w:i/>
          <w:color w:val="000000" w:themeColor="text1"/>
          <w:sz w:val="24"/>
          <w:szCs w:val="24"/>
        </w:rPr>
      </w:pPr>
      <w:r>
        <w:rPr>
          <w:rFonts w:ascii="Arial" w:eastAsia="Calibri" w:hAnsi="Arial" w:cs="Arial"/>
          <w:bCs/>
          <w:i/>
          <w:color w:val="000000" w:themeColor="text1"/>
          <w:sz w:val="24"/>
          <w:szCs w:val="24"/>
        </w:rPr>
        <w:t xml:space="preserve">Con fundamento en los artículos 175, párrafos primero, segundo; y 224 última parte, Ley de Procedimiento y Justicia </w:t>
      </w:r>
      <w:r>
        <w:rPr>
          <w:rFonts w:ascii="Arial" w:eastAsia="Calibri" w:hAnsi="Arial" w:cs="Arial"/>
          <w:bCs/>
          <w:i/>
          <w:color w:val="000000" w:themeColor="text1"/>
          <w:sz w:val="24"/>
          <w:szCs w:val="24"/>
        </w:rPr>
        <w:lastRenderedPageBreak/>
        <w:t>Administrativa para el Estado de Oaxaca, se desecha el incidente de notificaciones promovido por notoriamente improcedente.</w:t>
      </w:r>
    </w:p>
    <w:p w:rsidR="00B336AC" w:rsidRDefault="00B336AC" w:rsidP="00B336AC">
      <w:pPr>
        <w:spacing w:before="240"/>
        <w:ind w:left="1134" w:right="566"/>
        <w:jc w:val="both"/>
        <w:rPr>
          <w:rFonts w:ascii="Arial" w:eastAsia="Calibri" w:hAnsi="Arial" w:cs="Arial"/>
          <w:bCs/>
          <w:i/>
          <w:color w:val="000000" w:themeColor="text1"/>
          <w:sz w:val="24"/>
          <w:szCs w:val="24"/>
        </w:rPr>
      </w:pPr>
      <w:r>
        <w:rPr>
          <w:rFonts w:ascii="Arial" w:eastAsia="Calibri" w:hAnsi="Arial" w:cs="Arial"/>
          <w:bCs/>
          <w:i/>
          <w:color w:val="000000" w:themeColor="text1"/>
          <w:sz w:val="24"/>
          <w:szCs w:val="24"/>
        </w:rPr>
        <w:t>…</w:t>
      </w:r>
    </w:p>
    <w:p w:rsidR="00B336AC" w:rsidRDefault="00B336AC" w:rsidP="00B336AC">
      <w:pPr>
        <w:spacing w:before="240"/>
        <w:ind w:left="1134" w:right="566"/>
        <w:jc w:val="both"/>
        <w:rPr>
          <w:rFonts w:ascii="Arial" w:eastAsia="Calibri" w:hAnsi="Arial" w:cs="Arial"/>
          <w:bCs/>
          <w:i/>
          <w:color w:val="000000" w:themeColor="text1"/>
          <w:sz w:val="24"/>
          <w:szCs w:val="24"/>
        </w:rPr>
      </w:pPr>
      <w:r>
        <w:rPr>
          <w:rFonts w:ascii="Arial" w:eastAsia="Calibri" w:hAnsi="Arial" w:cs="Arial"/>
          <w:bCs/>
          <w:i/>
          <w:color w:val="000000" w:themeColor="text1"/>
          <w:sz w:val="24"/>
          <w:szCs w:val="24"/>
        </w:rPr>
        <w:t xml:space="preserve">Lo anterior es así, por las siguientes razones, que la nulidad la debe promover </w:t>
      </w:r>
      <w:r w:rsidRPr="002578FE">
        <w:rPr>
          <w:rFonts w:ascii="Arial" w:eastAsia="Calibri" w:hAnsi="Arial" w:cs="Arial"/>
          <w:b/>
          <w:bCs/>
          <w:i/>
          <w:color w:val="000000" w:themeColor="text1"/>
          <w:sz w:val="24"/>
          <w:szCs w:val="24"/>
          <w:u w:val="single"/>
        </w:rPr>
        <w:t>la parte afectada</w:t>
      </w:r>
      <w:r>
        <w:rPr>
          <w:rFonts w:ascii="Arial" w:eastAsia="Calibri" w:hAnsi="Arial" w:cs="Arial"/>
          <w:bCs/>
          <w:i/>
          <w:color w:val="000000" w:themeColor="text1"/>
          <w:sz w:val="24"/>
          <w:szCs w:val="24"/>
        </w:rPr>
        <w:t xml:space="preserve"> y en el presente caso, no se advierte que la notificación del acuerdo por instructivo de notificación realizado por el actuario adscrito a ésta Sala Unitaria, le afecte ya que en esencia su demanda fue admitida a trámite.</w:t>
      </w:r>
    </w:p>
    <w:p w:rsidR="00B336AC" w:rsidRDefault="00B336AC" w:rsidP="00B336AC">
      <w:pPr>
        <w:spacing w:before="240"/>
        <w:ind w:left="1134" w:right="566"/>
        <w:jc w:val="both"/>
        <w:rPr>
          <w:rFonts w:ascii="Arial" w:eastAsia="Calibri" w:hAnsi="Arial" w:cs="Arial"/>
          <w:bCs/>
          <w:i/>
          <w:color w:val="000000" w:themeColor="text1"/>
          <w:sz w:val="24"/>
          <w:szCs w:val="24"/>
        </w:rPr>
      </w:pPr>
      <w:r>
        <w:rPr>
          <w:rFonts w:ascii="Arial" w:eastAsia="Calibri" w:hAnsi="Arial" w:cs="Arial"/>
          <w:bCs/>
          <w:i/>
          <w:color w:val="000000" w:themeColor="text1"/>
          <w:sz w:val="24"/>
          <w:szCs w:val="24"/>
        </w:rPr>
        <w:t xml:space="preserve">Es un hecho notorio que en el local que dejó citatorio y el instructivo de notificación es la oficina que ocupan los asesores de éste Tribunal. Que no entendió la notificación personal con los mismos en forma directa, ni le dejó que firmaran el citatorio ni el instructivo de notificación con los mismos ya que en el acuerdo de inicio no se les autorizó como lo solicitó, es decir únicamente para los efectos del artículo 140, de la Ley de PROCEDIMIENTO Y Justicia Administrativa para el Estado de Oaxaca, </w:t>
      </w:r>
      <w:r w:rsidRPr="00BF05DB">
        <w:rPr>
          <w:rFonts w:ascii="Arial" w:eastAsia="Calibri" w:hAnsi="Arial" w:cs="Arial"/>
          <w:b/>
          <w:bCs/>
          <w:i/>
          <w:color w:val="000000" w:themeColor="text1"/>
          <w:sz w:val="24"/>
          <w:szCs w:val="24"/>
          <w:u w:val="single"/>
        </w:rPr>
        <w:t>cuyas funciones están delimitadas como servidores públicos; es decir, no encuadran en la generalidad de cualquier persona como si fueran particulares</w:t>
      </w:r>
      <w:r>
        <w:rPr>
          <w:rFonts w:ascii="Arial" w:eastAsia="Calibri" w:hAnsi="Arial" w:cs="Arial"/>
          <w:bCs/>
          <w:i/>
          <w:color w:val="000000" w:themeColor="text1"/>
          <w:sz w:val="24"/>
          <w:szCs w:val="24"/>
        </w:rPr>
        <w:t>. El fedatario público utilizó en forma supletoria el Código de Procedimientos Civiles para el Estado de Oaxaca, para realizar su notificación, ya que la ley de la materia no prevé todos los supuestos que puedan acontecer al realizar las notificaciones ordenadas.</w:t>
      </w:r>
    </w:p>
    <w:p w:rsidR="00B336AC" w:rsidRPr="00496E28" w:rsidRDefault="00B336AC" w:rsidP="00B336AC">
      <w:pPr>
        <w:spacing w:before="240"/>
        <w:ind w:left="1134" w:right="566"/>
        <w:jc w:val="both"/>
        <w:rPr>
          <w:rFonts w:ascii="Arial" w:eastAsia="Calibri" w:hAnsi="Arial" w:cs="Arial"/>
          <w:bCs/>
          <w:color w:val="000000" w:themeColor="text1"/>
          <w:sz w:val="24"/>
          <w:szCs w:val="24"/>
        </w:rPr>
      </w:pPr>
      <w:r>
        <w:rPr>
          <w:rFonts w:ascii="Arial" w:eastAsia="Calibri" w:hAnsi="Arial" w:cs="Arial"/>
          <w:bCs/>
          <w:i/>
          <w:color w:val="000000" w:themeColor="text1"/>
          <w:sz w:val="24"/>
          <w:szCs w:val="24"/>
        </w:rPr>
        <w:t>Además sin prejuzgar sobre la irregularidad o no de la notificación del acuerdo de veintitrés de agosto de dos mil dieciocho, la parte actora se ostenta sabedora de su contenido desde el veintinueve de agosto de dos mil dieciocho, la cual se entiende legalmente hecha, conforme a la última parte del artículo 175, de la Ley de Procedimiento y Justicia Administrativa para el Estado de Oaxaca…</w:t>
      </w:r>
      <w:r>
        <w:rPr>
          <w:rFonts w:ascii="Arial" w:eastAsia="Calibri" w:hAnsi="Arial" w:cs="Arial"/>
          <w:bCs/>
          <w:color w:val="000000" w:themeColor="text1"/>
          <w:sz w:val="24"/>
          <w:szCs w:val="24"/>
        </w:rPr>
        <w:t>”</w:t>
      </w:r>
    </w:p>
    <w:p w:rsidR="00B336AC" w:rsidRPr="00126E20" w:rsidRDefault="00B336AC" w:rsidP="00B336AC">
      <w:pPr>
        <w:tabs>
          <w:tab w:val="left" w:pos="2460"/>
          <w:tab w:val="center" w:pos="4253"/>
        </w:tabs>
        <w:spacing w:line="360" w:lineRule="auto"/>
        <w:ind w:left="851" w:right="616"/>
        <w:jc w:val="center"/>
        <w:rPr>
          <w:rFonts w:ascii="Arial" w:eastAsia="Calibri" w:hAnsi="Arial" w:cs="Arial"/>
          <w:b/>
          <w:bCs/>
          <w:sz w:val="26"/>
          <w:szCs w:val="26"/>
        </w:rPr>
      </w:pPr>
      <w:r w:rsidRPr="00126E20">
        <w:rPr>
          <w:rFonts w:ascii="Arial" w:eastAsia="Calibri" w:hAnsi="Arial" w:cs="Arial"/>
          <w:b/>
          <w:bCs/>
          <w:sz w:val="26"/>
          <w:szCs w:val="26"/>
        </w:rPr>
        <w:t>C O N S I D E R A N D O:</w:t>
      </w:r>
    </w:p>
    <w:p w:rsidR="00B336AC" w:rsidRPr="00CB6405" w:rsidRDefault="00B336AC" w:rsidP="00B336AC">
      <w:pPr>
        <w:spacing w:before="240" w:line="360" w:lineRule="auto"/>
        <w:ind w:firstLine="708"/>
        <w:jc w:val="both"/>
        <w:rPr>
          <w:rFonts w:ascii="Arial" w:hAnsi="Arial" w:cs="Arial"/>
          <w:b/>
          <w:bCs/>
          <w:iCs/>
          <w:sz w:val="26"/>
          <w:szCs w:val="26"/>
        </w:rPr>
      </w:pPr>
      <w:r>
        <w:rPr>
          <w:rFonts w:ascii="Arial" w:hAnsi="Arial" w:cs="Arial"/>
          <w:b/>
          <w:bCs/>
          <w:iCs/>
          <w:sz w:val="26"/>
          <w:szCs w:val="26"/>
          <w:lang w:eastAsia="es-ES"/>
        </w:rPr>
        <w:t>PRIMERO.</w:t>
      </w:r>
      <w:r>
        <w:rPr>
          <w:rFonts w:ascii="Arial" w:hAnsi="Arial" w:cs="Arial"/>
          <w:b/>
          <w:bCs/>
          <w:iCs/>
          <w:sz w:val="26"/>
          <w:szCs w:val="26"/>
        </w:rPr>
        <w:t xml:space="preserve"> </w:t>
      </w:r>
      <w:r>
        <w:rPr>
          <w:rFonts w:ascii="Arial" w:hAnsi="Arial" w:cs="Arial"/>
          <w:bCs/>
          <w:iCs/>
          <w:sz w:val="26"/>
          <w:szCs w:val="26"/>
        </w:rPr>
        <w:t xml:space="preserve">Esta Sala Superior es competente para conocer del presente asunto, de </w:t>
      </w:r>
      <w:r>
        <w:rPr>
          <w:rFonts w:ascii="Arial" w:hAnsi="Arial" w:cs="Arial"/>
          <w:bCs/>
          <w:iCs/>
          <w:sz w:val="26"/>
          <w:szCs w:val="26"/>
          <w:lang w:eastAsia="es-ES"/>
        </w:rPr>
        <w:t xml:space="preserve">conformidad con lo dispuesto por los </w:t>
      </w:r>
      <w:r>
        <w:rPr>
          <w:rFonts w:ascii="Arial" w:hAnsi="Arial" w:cs="Arial"/>
          <w:bCs/>
          <w:iCs/>
          <w:sz w:val="26"/>
          <w:szCs w:val="26"/>
        </w:rPr>
        <w:t>artículos 114 Quáter de la Constitución Política del Estado Libre y Soberano de Oaxaca;</w:t>
      </w:r>
      <w:r>
        <w:rPr>
          <w:rFonts w:ascii="Arial" w:hAnsi="Arial" w:cs="Arial"/>
          <w:bCs/>
          <w:iCs/>
          <w:sz w:val="26"/>
          <w:szCs w:val="26"/>
          <w:lang w:eastAsia="es-ES"/>
        </w:rPr>
        <w:t xml:space="preserve"> 125</w:t>
      </w:r>
      <w:r>
        <w:rPr>
          <w:rFonts w:ascii="Arial" w:hAnsi="Arial" w:cs="Arial"/>
          <w:bCs/>
          <w:iCs/>
          <w:sz w:val="26"/>
          <w:szCs w:val="26"/>
        </w:rPr>
        <w:t xml:space="preserve">, 127, 129, 130, fracción I, 131, 231, 236 y 238 de la Ley de Procedimiento y Justicia Administrativa para el Estado de Oaxaca, </w:t>
      </w:r>
      <w:r w:rsidRPr="00CB6405">
        <w:rPr>
          <w:rFonts w:ascii="Arial" w:hAnsi="Arial" w:cs="Arial"/>
          <w:bCs/>
          <w:iCs/>
          <w:sz w:val="26"/>
          <w:szCs w:val="26"/>
        </w:rPr>
        <w:t>dado que se trata de un Recurso de Revisión interpuesto en contra del</w:t>
      </w:r>
      <w:r>
        <w:rPr>
          <w:rFonts w:ascii="Arial" w:hAnsi="Arial" w:cs="Arial"/>
          <w:bCs/>
          <w:iCs/>
          <w:sz w:val="26"/>
          <w:szCs w:val="26"/>
        </w:rPr>
        <w:t xml:space="preserve"> auto de cinco de septiembre de dos mil dieciocho, dictado </w:t>
      </w:r>
      <w:r w:rsidRPr="00CB6405">
        <w:rPr>
          <w:rFonts w:ascii="Arial" w:hAnsi="Arial" w:cs="Arial"/>
          <w:bCs/>
          <w:iCs/>
          <w:sz w:val="26"/>
          <w:szCs w:val="26"/>
        </w:rPr>
        <w:t xml:space="preserve">por la </w:t>
      </w:r>
      <w:r>
        <w:rPr>
          <w:rFonts w:ascii="Arial" w:hAnsi="Arial" w:cs="Arial"/>
          <w:bCs/>
          <w:iCs/>
          <w:sz w:val="26"/>
          <w:szCs w:val="26"/>
        </w:rPr>
        <w:t xml:space="preserve">Segunda Sala </w:t>
      </w:r>
      <w:r w:rsidRPr="00CB6405">
        <w:rPr>
          <w:rFonts w:ascii="Arial" w:hAnsi="Arial" w:cs="Arial"/>
          <w:bCs/>
          <w:iCs/>
          <w:sz w:val="26"/>
          <w:szCs w:val="26"/>
        </w:rPr>
        <w:t xml:space="preserve">Unitaria de Primera Instancia de este Tribunal, en el expediente </w:t>
      </w:r>
      <w:r>
        <w:rPr>
          <w:rFonts w:ascii="Arial" w:hAnsi="Arial" w:cs="Arial"/>
          <w:b/>
          <w:bCs/>
          <w:iCs/>
          <w:sz w:val="26"/>
          <w:szCs w:val="26"/>
        </w:rPr>
        <w:t>0054/2018</w:t>
      </w:r>
      <w:r w:rsidRPr="00CB6405">
        <w:rPr>
          <w:rFonts w:ascii="Arial" w:hAnsi="Arial" w:cs="Arial"/>
          <w:sz w:val="26"/>
          <w:szCs w:val="26"/>
        </w:rPr>
        <w:t>.</w:t>
      </w:r>
    </w:p>
    <w:p w:rsidR="00B336AC" w:rsidRDefault="00B336AC" w:rsidP="00B336AC">
      <w:pPr>
        <w:spacing w:before="240" w:line="360" w:lineRule="auto"/>
        <w:ind w:firstLine="708"/>
        <w:jc w:val="both"/>
        <w:rPr>
          <w:rFonts w:ascii="Arial" w:hAnsi="Arial" w:cs="Arial"/>
          <w:color w:val="000000"/>
          <w:sz w:val="26"/>
          <w:szCs w:val="26"/>
        </w:rPr>
      </w:pPr>
      <w:r w:rsidRPr="006E349D">
        <w:rPr>
          <w:rFonts w:ascii="Arial" w:hAnsi="Arial" w:cs="Arial"/>
          <w:b/>
          <w:bCs/>
          <w:sz w:val="26"/>
          <w:szCs w:val="26"/>
        </w:rPr>
        <w:lastRenderedPageBreak/>
        <w:t>SEGUNDO.</w:t>
      </w:r>
      <w:r w:rsidRPr="006E349D">
        <w:rPr>
          <w:rFonts w:ascii="Arial" w:hAnsi="Arial" w:cs="Arial"/>
          <w:bCs/>
          <w:sz w:val="26"/>
          <w:szCs w:val="26"/>
        </w:rPr>
        <w:t xml:space="preserve"> </w:t>
      </w:r>
      <w:r>
        <w:rPr>
          <w:rFonts w:ascii="Arial" w:hAnsi="Arial" w:cs="Arial"/>
          <w:color w:val="000000"/>
          <w:sz w:val="26"/>
          <w:szCs w:val="26"/>
        </w:rPr>
        <w:t>El recurrente se inconforma del acuerdo de cinco de septiembre de dos mil dieciocho, en el que la Primera Instancia, desecho el incidente de notificación que promovió.</w:t>
      </w:r>
    </w:p>
    <w:p w:rsidR="00B336AC" w:rsidRDefault="00B336AC" w:rsidP="00B336AC">
      <w:pPr>
        <w:spacing w:before="240" w:line="360" w:lineRule="auto"/>
        <w:ind w:firstLine="708"/>
        <w:jc w:val="both"/>
        <w:rPr>
          <w:rFonts w:ascii="Arial" w:hAnsi="Arial" w:cs="Arial"/>
          <w:sz w:val="26"/>
          <w:szCs w:val="26"/>
        </w:rPr>
      </w:pPr>
      <w:r>
        <w:rPr>
          <w:rFonts w:ascii="Arial" w:hAnsi="Arial" w:cs="Arial"/>
          <w:sz w:val="26"/>
          <w:szCs w:val="26"/>
        </w:rPr>
        <w:t>El artículo 236 de la Ley de Procedimiento y Justicia Administrativa para el Estado de Oaxaca, establece:</w:t>
      </w:r>
    </w:p>
    <w:p w:rsidR="00B336AC" w:rsidRPr="00852732" w:rsidRDefault="00B336AC" w:rsidP="0088442E">
      <w:pPr>
        <w:spacing w:after="0"/>
        <w:ind w:left="851" w:right="778"/>
        <w:jc w:val="both"/>
        <w:rPr>
          <w:rFonts w:ascii="Arial" w:hAnsi="Arial" w:cs="Arial"/>
          <w:i/>
          <w:sz w:val="24"/>
          <w:szCs w:val="24"/>
        </w:rPr>
      </w:pPr>
      <w:r w:rsidRPr="00643A6E">
        <w:rPr>
          <w:rFonts w:ascii="Arial" w:hAnsi="Arial" w:cs="Arial"/>
          <w:sz w:val="24"/>
          <w:szCs w:val="24"/>
        </w:rPr>
        <w:t>“</w:t>
      </w:r>
      <w:r w:rsidRPr="00852732">
        <w:rPr>
          <w:rFonts w:ascii="Arial" w:hAnsi="Arial" w:cs="Arial"/>
          <w:b/>
          <w:i/>
          <w:sz w:val="24"/>
          <w:szCs w:val="24"/>
        </w:rPr>
        <w:t>Artículo 2</w:t>
      </w:r>
      <w:r>
        <w:rPr>
          <w:rFonts w:ascii="Arial" w:hAnsi="Arial" w:cs="Arial"/>
          <w:b/>
          <w:i/>
          <w:sz w:val="24"/>
          <w:szCs w:val="24"/>
        </w:rPr>
        <w:t>3</w:t>
      </w:r>
      <w:r w:rsidRPr="00852732">
        <w:rPr>
          <w:rFonts w:ascii="Arial" w:hAnsi="Arial" w:cs="Arial"/>
          <w:b/>
          <w:i/>
          <w:sz w:val="24"/>
          <w:szCs w:val="24"/>
        </w:rPr>
        <w:t>6</w:t>
      </w:r>
      <w:r w:rsidRPr="00852732">
        <w:rPr>
          <w:rFonts w:ascii="Arial" w:hAnsi="Arial" w:cs="Arial"/>
          <w:i/>
          <w:sz w:val="24"/>
          <w:szCs w:val="24"/>
        </w:rPr>
        <w:t>.- Contra los acuerdos y resoluciones dictados por l</w:t>
      </w:r>
      <w:r>
        <w:rPr>
          <w:rFonts w:ascii="Arial" w:hAnsi="Arial" w:cs="Arial"/>
          <w:i/>
          <w:sz w:val="24"/>
          <w:szCs w:val="24"/>
        </w:rPr>
        <w:t xml:space="preserve">as Salas Unitarias de </w:t>
      </w:r>
      <w:r w:rsidRPr="00852732">
        <w:rPr>
          <w:rFonts w:ascii="Arial" w:hAnsi="Arial" w:cs="Arial"/>
          <w:i/>
          <w:sz w:val="24"/>
          <w:szCs w:val="24"/>
        </w:rPr>
        <w:t>Primera Instancia, procede el recurso de revisión, cuyo conocimiento y resolución corresponde a la Sala Superior.</w:t>
      </w:r>
    </w:p>
    <w:p w:rsidR="00B336AC" w:rsidRPr="00852732" w:rsidRDefault="00B336AC" w:rsidP="0088442E">
      <w:pPr>
        <w:spacing w:after="0"/>
        <w:ind w:left="851" w:right="778"/>
        <w:jc w:val="both"/>
        <w:rPr>
          <w:rFonts w:ascii="Arial" w:hAnsi="Arial" w:cs="Arial"/>
          <w:i/>
          <w:sz w:val="24"/>
          <w:szCs w:val="24"/>
        </w:rPr>
      </w:pPr>
      <w:r w:rsidRPr="00852732">
        <w:rPr>
          <w:rFonts w:ascii="Arial" w:hAnsi="Arial" w:cs="Arial"/>
          <w:i/>
          <w:sz w:val="24"/>
          <w:szCs w:val="24"/>
        </w:rPr>
        <w:t>Podrán ser impugnados por las partes, mediante recurso de revisión:</w:t>
      </w:r>
    </w:p>
    <w:p w:rsidR="00B336AC" w:rsidRPr="00852732" w:rsidRDefault="00B336AC" w:rsidP="0088442E">
      <w:pPr>
        <w:spacing w:after="0"/>
        <w:ind w:left="851" w:right="778"/>
        <w:jc w:val="both"/>
        <w:rPr>
          <w:rFonts w:ascii="Arial" w:hAnsi="Arial" w:cs="Arial"/>
          <w:i/>
          <w:sz w:val="24"/>
          <w:szCs w:val="24"/>
        </w:rPr>
      </w:pPr>
      <w:r w:rsidRPr="00852732">
        <w:rPr>
          <w:rFonts w:ascii="Arial" w:hAnsi="Arial" w:cs="Arial"/>
          <w:i/>
          <w:sz w:val="24"/>
          <w:szCs w:val="24"/>
        </w:rPr>
        <w:t>I. Los acuerdos que admitan o desechen la demanda, su contestación o ampliación;</w:t>
      </w:r>
    </w:p>
    <w:p w:rsidR="00B336AC" w:rsidRPr="00852732" w:rsidRDefault="00B336AC" w:rsidP="0088442E">
      <w:pPr>
        <w:spacing w:after="0"/>
        <w:ind w:left="851" w:right="778"/>
        <w:jc w:val="both"/>
        <w:rPr>
          <w:rFonts w:ascii="Arial" w:hAnsi="Arial" w:cs="Arial"/>
          <w:i/>
          <w:sz w:val="24"/>
          <w:szCs w:val="24"/>
        </w:rPr>
      </w:pPr>
      <w:r w:rsidRPr="00852732">
        <w:rPr>
          <w:rFonts w:ascii="Arial" w:hAnsi="Arial" w:cs="Arial"/>
          <w:i/>
          <w:sz w:val="24"/>
          <w:szCs w:val="24"/>
        </w:rPr>
        <w:t>II. El acuerdo que deseche pruebas;</w:t>
      </w:r>
    </w:p>
    <w:p w:rsidR="00B336AC" w:rsidRPr="00852732" w:rsidRDefault="00B336AC" w:rsidP="0088442E">
      <w:pPr>
        <w:spacing w:after="0"/>
        <w:ind w:left="851" w:right="778"/>
        <w:jc w:val="both"/>
        <w:rPr>
          <w:rFonts w:ascii="Arial" w:hAnsi="Arial" w:cs="Arial"/>
          <w:i/>
          <w:sz w:val="24"/>
          <w:szCs w:val="24"/>
        </w:rPr>
      </w:pPr>
      <w:r w:rsidRPr="00852732">
        <w:rPr>
          <w:rFonts w:ascii="Arial" w:hAnsi="Arial" w:cs="Arial"/>
          <w:i/>
          <w:sz w:val="24"/>
          <w:szCs w:val="24"/>
        </w:rPr>
        <w:t>III. El acuerdo que rechace la intervención del tercero;</w:t>
      </w:r>
    </w:p>
    <w:p w:rsidR="00B336AC" w:rsidRPr="00852732" w:rsidRDefault="00B336AC" w:rsidP="0088442E">
      <w:pPr>
        <w:spacing w:after="0"/>
        <w:ind w:left="851" w:right="778"/>
        <w:jc w:val="both"/>
        <w:rPr>
          <w:rFonts w:ascii="Arial" w:hAnsi="Arial" w:cs="Arial"/>
          <w:i/>
          <w:sz w:val="24"/>
          <w:szCs w:val="24"/>
        </w:rPr>
      </w:pPr>
      <w:r w:rsidRPr="00852732">
        <w:rPr>
          <w:rFonts w:ascii="Arial" w:hAnsi="Arial" w:cs="Arial"/>
          <w:i/>
          <w:sz w:val="24"/>
          <w:szCs w:val="24"/>
        </w:rPr>
        <w:t>IV. Los acuerdos que decreten, nieguen o revoquen la suspensión;</w:t>
      </w:r>
    </w:p>
    <w:p w:rsidR="00B336AC" w:rsidRPr="00852732" w:rsidRDefault="00B336AC" w:rsidP="0088442E">
      <w:pPr>
        <w:spacing w:after="0"/>
        <w:ind w:left="851" w:right="778"/>
        <w:jc w:val="both"/>
        <w:rPr>
          <w:rFonts w:ascii="Arial" w:hAnsi="Arial" w:cs="Arial"/>
          <w:i/>
          <w:sz w:val="24"/>
          <w:szCs w:val="24"/>
        </w:rPr>
      </w:pPr>
      <w:r w:rsidRPr="00852732">
        <w:rPr>
          <w:rFonts w:ascii="Arial" w:hAnsi="Arial" w:cs="Arial"/>
          <w:i/>
          <w:sz w:val="24"/>
          <w:szCs w:val="24"/>
        </w:rPr>
        <w:t>V. Las resoluciones que decidan incidentes</w:t>
      </w:r>
      <w:r>
        <w:rPr>
          <w:rFonts w:ascii="Arial" w:hAnsi="Arial" w:cs="Arial"/>
          <w:i/>
          <w:sz w:val="24"/>
          <w:szCs w:val="24"/>
        </w:rPr>
        <w:t xml:space="preserve"> a que se refiere el artículo 224 de esta Ley</w:t>
      </w:r>
      <w:r w:rsidRPr="00852732">
        <w:rPr>
          <w:rFonts w:ascii="Arial" w:hAnsi="Arial" w:cs="Arial"/>
          <w:i/>
          <w:sz w:val="24"/>
          <w:szCs w:val="24"/>
        </w:rPr>
        <w:t>;</w:t>
      </w:r>
    </w:p>
    <w:p w:rsidR="00B336AC" w:rsidRPr="00852732" w:rsidRDefault="00B336AC" w:rsidP="0088442E">
      <w:pPr>
        <w:spacing w:after="0"/>
        <w:ind w:left="851" w:right="778"/>
        <w:jc w:val="both"/>
        <w:rPr>
          <w:rFonts w:ascii="Arial" w:hAnsi="Arial" w:cs="Arial"/>
          <w:i/>
          <w:sz w:val="24"/>
          <w:szCs w:val="24"/>
        </w:rPr>
      </w:pPr>
      <w:r w:rsidRPr="00852732">
        <w:rPr>
          <w:rFonts w:ascii="Arial" w:hAnsi="Arial" w:cs="Arial"/>
          <w:i/>
          <w:sz w:val="24"/>
          <w:szCs w:val="24"/>
        </w:rPr>
        <w:t>VI. Las resoluciones que decreten o nieguen el sobreseimiento;</w:t>
      </w:r>
    </w:p>
    <w:p w:rsidR="00B336AC" w:rsidRDefault="00B336AC" w:rsidP="0088442E">
      <w:pPr>
        <w:spacing w:after="0"/>
        <w:ind w:left="851" w:right="778"/>
        <w:jc w:val="both"/>
        <w:rPr>
          <w:rFonts w:ascii="Arial" w:hAnsi="Arial" w:cs="Arial"/>
          <w:i/>
          <w:sz w:val="24"/>
          <w:szCs w:val="24"/>
        </w:rPr>
      </w:pPr>
      <w:r w:rsidRPr="00852732">
        <w:rPr>
          <w:rFonts w:ascii="Arial" w:hAnsi="Arial" w:cs="Arial"/>
          <w:i/>
          <w:sz w:val="24"/>
          <w:szCs w:val="24"/>
        </w:rPr>
        <w:t>VII. Las sentencias que decidan la cuestión planteada</w:t>
      </w:r>
      <w:r>
        <w:rPr>
          <w:rFonts w:ascii="Arial" w:hAnsi="Arial" w:cs="Arial"/>
          <w:i/>
          <w:sz w:val="24"/>
          <w:szCs w:val="24"/>
        </w:rPr>
        <w:t>;</w:t>
      </w:r>
    </w:p>
    <w:p w:rsidR="00B336AC" w:rsidRPr="00852732" w:rsidRDefault="00B336AC" w:rsidP="0088442E">
      <w:pPr>
        <w:spacing w:after="0"/>
        <w:ind w:left="851" w:right="778"/>
        <w:jc w:val="both"/>
        <w:rPr>
          <w:rFonts w:ascii="Arial" w:hAnsi="Arial" w:cs="Arial"/>
          <w:i/>
          <w:sz w:val="24"/>
          <w:szCs w:val="24"/>
        </w:rPr>
      </w:pPr>
      <w:r>
        <w:rPr>
          <w:rFonts w:ascii="Arial" w:hAnsi="Arial" w:cs="Arial"/>
          <w:i/>
          <w:sz w:val="24"/>
          <w:szCs w:val="24"/>
        </w:rPr>
        <w:t>VIII</w:t>
      </w:r>
      <w:r w:rsidRPr="00852732">
        <w:rPr>
          <w:rFonts w:ascii="Arial" w:hAnsi="Arial" w:cs="Arial"/>
          <w:i/>
          <w:sz w:val="24"/>
          <w:szCs w:val="24"/>
        </w:rPr>
        <w:t>. Por violaciones cometidas durante el procedimiento del juicio, cuando hayan dejado sin defensa al recurrente y trasciendan al sentido de la sentencia; y</w:t>
      </w:r>
    </w:p>
    <w:p w:rsidR="00B336AC" w:rsidRDefault="00B336AC" w:rsidP="0088442E">
      <w:pPr>
        <w:spacing w:after="0"/>
        <w:ind w:left="851" w:right="778"/>
        <w:jc w:val="both"/>
        <w:rPr>
          <w:rFonts w:ascii="Arial" w:hAnsi="Arial" w:cs="Arial"/>
          <w:sz w:val="24"/>
          <w:szCs w:val="24"/>
        </w:rPr>
      </w:pPr>
      <w:r>
        <w:rPr>
          <w:rFonts w:ascii="Arial" w:hAnsi="Arial" w:cs="Arial"/>
          <w:i/>
          <w:sz w:val="24"/>
          <w:szCs w:val="24"/>
        </w:rPr>
        <w:t>IX</w:t>
      </w:r>
      <w:r w:rsidRPr="00852732">
        <w:rPr>
          <w:rFonts w:ascii="Arial" w:hAnsi="Arial" w:cs="Arial"/>
          <w:i/>
          <w:sz w:val="24"/>
          <w:szCs w:val="24"/>
        </w:rPr>
        <w:t>. Las resoluciones que pongan fin al procedimiento de ejecución de la sentencia.</w:t>
      </w:r>
      <w:r>
        <w:rPr>
          <w:rFonts w:ascii="Arial" w:hAnsi="Arial" w:cs="Arial"/>
          <w:sz w:val="24"/>
          <w:szCs w:val="24"/>
        </w:rPr>
        <w:t>”</w:t>
      </w:r>
    </w:p>
    <w:p w:rsidR="0088442E" w:rsidRDefault="0088442E" w:rsidP="0088442E">
      <w:pPr>
        <w:spacing w:after="0"/>
        <w:ind w:left="851" w:right="778"/>
        <w:jc w:val="both"/>
        <w:rPr>
          <w:rFonts w:ascii="Arial" w:hAnsi="Arial" w:cs="Arial"/>
          <w:sz w:val="24"/>
          <w:szCs w:val="24"/>
        </w:rPr>
      </w:pPr>
    </w:p>
    <w:p w:rsidR="00B336AC" w:rsidRDefault="00B336AC" w:rsidP="00B336AC">
      <w:pPr>
        <w:spacing w:line="360" w:lineRule="auto"/>
        <w:ind w:firstLine="709"/>
        <w:jc w:val="both"/>
        <w:rPr>
          <w:rFonts w:ascii="Arial" w:hAnsi="Arial" w:cs="Arial"/>
          <w:color w:val="000000"/>
          <w:sz w:val="26"/>
          <w:szCs w:val="26"/>
        </w:rPr>
      </w:pPr>
      <w:r>
        <w:rPr>
          <w:rFonts w:ascii="Arial" w:hAnsi="Arial" w:cs="Arial"/>
          <w:bCs/>
          <w:sz w:val="26"/>
          <w:szCs w:val="26"/>
        </w:rPr>
        <w:t xml:space="preserve">Como se ve de la transcripción anterior, el presente medio de impugnación resulta </w:t>
      </w:r>
      <w:r w:rsidRPr="004F3EBB">
        <w:rPr>
          <w:rFonts w:ascii="Arial" w:hAnsi="Arial" w:cs="Arial"/>
          <w:b/>
          <w:bCs/>
          <w:sz w:val="26"/>
          <w:szCs w:val="26"/>
        </w:rPr>
        <w:t>improcedente</w:t>
      </w:r>
      <w:r>
        <w:rPr>
          <w:rFonts w:ascii="Arial" w:hAnsi="Arial" w:cs="Arial"/>
          <w:bCs/>
          <w:sz w:val="26"/>
          <w:szCs w:val="26"/>
        </w:rPr>
        <w:t>, pues la determinación de la que se duele el recurrente, como ya se apuntó consistente en el desechamiento del incidente de notificación que promovió en Primera Instancia</w:t>
      </w:r>
      <w:r>
        <w:rPr>
          <w:rFonts w:ascii="Arial" w:hAnsi="Arial" w:cs="Arial"/>
          <w:color w:val="000000"/>
          <w:sz w:val="26"/>
          <w:szCs w:val="26"/>
        </w:rPr>
        <w:t xml:space="preserve">; el cual </w:t>
      </w:r>
      <w:r>
        <w:rPr>
          <w:rFonts w:ascii="Arial" w:hAnsi="Arial" w:cs="Arial"/>
          <w:bCs/>
          <w:sz w:val="26"/>
          <w:szCs w:val="26"/>
        </w:rPr>
        <w:t>no encuadra en ninguna de las hipótesis previstas en el mencionado artículo para su revisión en esta instancia; pues si bien se desechó incidente de notificación, no se trata de una resolución que haya resuelto dicho incidente, para que en todo caso encuadrará en la fracción V, del artículo citado.</w:t>
      </w:r>
    </w:p>
    <w:p w:rsidR="00B336AC" w:rsidRDefault="00B336AC" w:rsidP="00B336AC">
      <w:pPr>
        <w:spacing w:line="360" w:lineRule="auto"/>
        <w:ind w:firstLine="709"/>
        <w:jc w:val="both"/>
        <w:rPr>
          <w:rFonts w:ascii="Arial" w:hAnsi="Arial" w:cs="Arial"/>
          <w:sz w:val="26"/>
          <w:szCs w:val="26"/>
        </w:rPr>
      </w:pPr>
      <w:r>
        <w:rPr>
          <w:rFonts w:ascii="Arial" w:hAnsi="Arial" w:cs="Arial"/>
          <w:color w:val="000000"/>
          <w:sz w:val="26"/>
          <w:szCs w:val="26"/>
        </w:rPr>
        <w:t xml:space="preserve">Por </w:t>
      </w:r>
      <w:r>
        <w:rPr>
          <w:rFonts w:ascii="Arial" w:hAnsi="Arial" w:cs="Arial"/>
          <w:bCs/>
          <w:sz w:val="26"/>
          <w:szCs w:val="26"/>
        </w:rPr>
        <w:t xml:space="preserve">lo que, en atención a lo expuesto, </w:t>
      </w:r>
      <w:r>
        <w:rPr>
          <w:rFonts w:ascii="Arial" w:hAnsi="Arial" w:cs="Arial"/>
          <w:sz w:val="26"/>
          <w:szCs w:val="26"/>
        </w:rPr>
        <w:t xml:space="preserve">con fundamento en el aludido artículo 236 y diverso 238 de la Ley de Procedimiento y Justicia Administrativa para el Estado de Oaxaca, se </w:t>
      </w:r>
      <w:r w:rsidRPr="009226AC">
        <w:rPr>
          <w:rFonts w:ascii="Arial" w:hAnsi="Arial" w:cs="Arial"/>
          <w:b/>
          <w:sz w:val="26"/>
          <w:szCs w:val="26"/>
        </w:rPr>
        <w:t xml:space="preserve">DESECHA </w:t>
      </w:r>
      <w:r>
        <w:rPr>
          <w:rFonts w:ascii="Arial" w:hAnsi="Arial" w:cs="Arial"/>
          <w:sz w:val="26"/>
          <w:szCs w:val="26"/>
        </w:rPr>
        <w:t xml:space="preserve">por </w:t>
      </w:r>
      <w:r w:rsidRPr="002D18AB">
        <w:rPr>
          <w:rFonts w:ascii="Arial" w:hAnsi="Arial" w:cs="Arial"/>
          <w:b/>
          <w:sz w:val="26"/>
          <w:szCs w:val="26"/>
        </w:rPr>
        <w:t xml:space="preserve">IMPROCEDENTE </w:t>
      </w:r>
      <w:r>
        <w:rPr>
          <w:rFonts w:ascii="Arial" w:hAnsi="Arial" w:cs="Arial"/>
          <w:sz w:val="26"/>
          <w:szCs w:val="26"/>
        </w:rPr>
        <w:t xml:space="preserve">el recurso de revisión interpuesto por </w:t>
      </w:r>
      <w:r w:rsidR="00183E97">
        <w:rPr>
          <w:rFonts w:ascii="Arial" w:hAnsi="Arial" w:cs="Arial"/>
          <w:b/>
          <w:sz w:val="26"/>
          <w:szCs w:val="26"/>
        </w:rPr>
        <w:t>**********</w:t>
      </w:r>
      <w:r>
        <w:rPr>
          <w:rFonts w:ascii="Arial" w:hAnsi="Arial" w:cs="Arial"/>
          <w:sz w:val="26"/>
          <w:szCs w:val="26"/>
        </w:rPr>
        <w:t xml:space="preserve">, </w:t>
      </w:r>
      <w:r w:rsidRPr="0070243B">
        <w:rPr>
          <w:rFonts w:ascii="Arial" w:hAnsi="Arial" w:cs="Arial"/>
          <w:sz w:val="26"/>
          <w:szCs w:val="26"/>
        </w:rPr>
        <w:t>en c</w:t>
      </w:r>
      <w:r>
        <w:rPr>
          <w:rFonts w:ascii="Arial" w:hAnsi="Arial" w:cs="Arial"/>
          <w:sz w:val="26"/>
          <w:szCs w:val="26"/>
        </w:rPr>
        <w:t>ontra del acuerdo de cinco de septiembre de dos mil dieciocho.</w:t>
      </w:r>
    </w:p>
    <w:p w:rsidR="00B336AC" w:rsidRDefault="00B336AC" w:rsidP="00B336AC">
      <w:pPr>
        <w:spacing w:line="360" w:lineRule="auto"/>
        <w:ind w:firstLine="708"/>
        <w:jc w:val="both"/>
        <w:rPr>
          <w:rFonts w:ascii="Arial" w:hAnsi="Arial" w:cs="Arial"/>
          <w:sz w:val="26"/>
          <w:szCs w:val="26"/>
        </w:rPr>
      </w:pPr>
      <w:r>
        <w:rPr>
          <w:rFonts w:ascii="Arial" w:hAnsi="Arial" w:cs="Arial"/>
          <w:sz w:val="26"/>
          <w:szCs w:val="26"/>
        </w:rPr>
        <w:lastRenderedPageBreak/>
        <w:t>En mérito de lo anterior, con fundamento en los artículos 237 y 238 de la Ley de Procedimiento y Justicia Administrativa para el Estado, se:</w:t>
      </w:r>
    </w:p>
    <w:p w:rsidR="00B336AC" w:rsidRDefault="00B336AC" w:rsidP="00B336AC">
      <w:pPr>
        <w:tabs>
          <w:tab w:val="left" w:pos="1134"/>
        </w:tabs>
        <w:spacing w:line="360" w:lineRule="auto"/>
        <w:jc w:val="center"/>
        <w:rPr>
          <w:rFonts w:ascii="Arial" w:hAnsi="Arial" w:cs="Arial"/>
          <w:b/>
          <w:sz w:val="26"/>
          <w:szCs w:val="26"/>
        </w:rPr>
      </w:pPr>
      <w:r>
        <w:rPr>
          <w:rFonts w:ascii="Arial" w:hAnsi="Arial" w:cs="Arial"/>
          <w:b/>
          <w:sz w:val="26"/>
          <w:szCs w:val="26"/>
        </w:rPr>
        <w:t>R E S U E L V E</w:t>
      </w:r>
    </w:p>
    <w:p w:rsidR="00B336AC" w:rsidRDefault="00B336AC" w:rsidP="00B336AC">
      <w:pPr>
        <w:pStyle w:val="Textoindependiente21"/>
        <w:tabs>
          <w:tab w:val="left" w:pos="7938"/>
        </w:tabs>
        <w:spacing w:line="360" w:lineRule="auto"/>
        <w:ind w:right="17" w:firstLine="709"/>
        <w:rPr>
          <w:rFonts w:ascii="Arial" w:hAnsi="Arial" w:cs="Arial"/>
          <w:b/>
          <w:sz w:val="26"/>
          <w:szCs w:val="26"/>
        </w:rPr>
      </w:pPr>
      <w:r>
        <w:rPr>
          <w:rFonts w:ascii="Arial" w:hAnsi="Arial" w:cs="Arial"/>
          <w:b/>
          <w:sz w:val="26"/>
          <w:szCs w:val="26"/>
        </w:rPr>
        <w:t>PRIMERO</w:t>
      </w:r>
      <w:r>
        <w:rPr>
          <w:rFonts w:ascii="Arial" w:hAnsi="Arial" w:cs="Arial"/>
          <w:sz w:val="26"/>
          <w:szCs w:val="26"/>
          <w:lang w:val="es-MX"/>
        </w:rPr>
        <w:t xml:space="preserve">. Se </w:t>
      </w:r>
      <w:r w:rsidRPr="00EE4606">
        <w:rPr>
          <w:rFonts w:ascii="Arial" w:hAnsi="Arial" w:cs="Arial"/>
          <w:b/>
          <w:sz w:val="26"/>
          <w:szCs w:val="26"/>
          <w:lang w:val="es-MX"/>
        </w:rPr>
        <w:t>DESECHA</w:t>
      </w:r>
      <w:r>
        <w:rPr>
          <w:rFonts w:ascii="Arial" w:hAnsi="Arial" w:cs="Arial"/>
          <w:sz w:val="26"/>
          <w:szCs w:val="26"/>
          <w:lang w:val="es-MX"/>
        </w:rPr>
        <w:t xml:space="preserve"> por </w:t>
      </w:r>
      <w:r>
        <w:rPr>
          <w:rFonts w:ascii="Arial" w:hAnsi="Arial" w:cs="Arial"/>
          <w:b/>
          <w:sz w:val="26"/>
          <w:szCs w:val="26"/>
          <w:lang w:val="es-MX"/>
        </w:rPr>
        <w:t xml:space="preserve">IMPROCEDENTE </w:t>
      </w:r>
      <w:r>
        <w:rPr>
          <w:rFonts w:ascii="Arial" w:hAnsi="Arial" w:cs="Arial"/>
          <w:sz w:val="26"/>
          <w:szCs w:val="26"/>
          <w:lang w:val="es-MX"/>
        </w:rPr>
        <w:t>el recurso de revisión interpuesto, por las razones expuestas en el considerando que antecede.</w:t>
      </w:r>
    </w:p>
    <w:p w:rsidR="00B336AC" w:rsidRDefault="00B336AC" w:rsidP="00B336AC">
      <w:pPr>
        <w:spacing w:before="240" w:line="360" w:lineRule="auto"/>
        <w:ind w:firstLine="708"/>
        <w:jc w:val="both"/>
        <w:rPr>
          <w:rFonts w:ascii="Arial" w:hAnsi="Arial" w:cs="Arial"/>
          <w:sz w:val="26"/>
          <w:szCs w:val="26"/>
        </w:rPr>
      </w:pPr>
      <w:r>
        <w:rPr>
          <w:rFonts w:ascii="Arial" w:hAnsi="Arial" w:cs="Arial"/>
          <w:b/>
          <w:sz w:val="26"/>
          <w:szCs w:val="26"/>
        </w:rPr>
        <w:t>SEGUNDO</w:t>
      </w:r>
      <w:r>
        <w:rPr>
          <w:rFonts w:ascii="Arial" w:hAnsi="Arial" w:cs="Arial"/>
          <w:sz w:val="26"/>
          <w:szCs w:val="26"/>
        </w:rPr>
        <w:t>.</w:t>
      </w:r>
      <w:r>
        <w:rPr>
          <w:rFonts w:ascii="Arial" w:hAnsi="Arial" w:cs="Arial"/>
          <w:b/>
          <w:sz w:val="26"/>
          <w:szCs w:val="26"/>
        </w:rPr>
        <w:t xml:space="preserve"> </w:t>
      </w:r>
      <w:r w:rsidRPr="007B1E95">
        <w:rPr>
          <w:rFonts w:ascii="Arial" w:hAnsi="Arial" w:cs="Arial"/>
          <w:b/>
          <w:sz w:val="26"/>
          <w:szCs w:val="26"/>
        </w:rPr>
        <w:t>N</w:t>
      </w:r>
      <w:r w:rsidRPr="006E349D">
        <w:rPr>
          <w:rFonts w:ascii="Arial" w:hAnsi="Arial" w:cs="Arial"/>
          <w:b/>
          <w:sz w:val="26"/>
          <w:szCs w:val="26"/>
        </w:rPr>
        <w:t>OTIFÍQUESE</w:t>
      </w:r>
      <w:r>
        <w:rPr>
          <w:rFonts w:ascii="Arial" w:hAnsi="Arial" w:cs="Arial"/>
          <w:b/>
          <w:sz w:val="26"/>
          <w:szCs w:val="26"/>
        </w:rPr>
        <w:t xml:space="preserve"> Y CÚMPLASE</w:t>
      </w:r>
      <w:r w:rsidRPr="006E349D">
        <w:rPr>
          <w:rFonts w:ascii="Arial" w:hAnsi="Arial" w:cs="Arial"/>
          <w:b/>
          <w:sz w:val="26"/>
          <w:szCs w:val="26"/>
        </w:rPr>
        <w:t>,</w:t>
      </w:r>
      <w:r w:rsidRPr="006E349D">
        <w:rPr>
          <w:rFonts w:ascii="Arial" w:hAnsi="Arial" w:cs="Arial"/>
          <w:sz w:val="26"/>
          <w:szCs w:val="26"/>
        </w:rPr>
        <w:t xml:space="preserve"> </w:t>
      </w:r>
      <w:r>
        <w:rPr>
          <w:rFonts w:ascii="Arial" w:hAnsi="Arial" w:cs="Arial"/>
          <w:sz w:val="26"/>
          <w:szCs w:val="26"/>
        </w:rPr>
        <w:t xml:space="preserve">con copia certificada de la presente resolución, vuelvan las constancias remitidas a la Segunda Sala Unitaria de Primera Instancia, </w:t>
      </w:r>
      <w:r w:rsidRPr="00D81DA7">
        <w:rPr>
          <w:rFonts w:ascii="Arial" w:hAnsi="Arial" w:cs="Arial"/>
          <w:sz w:val="26"/>
          <w:szCs w:val="26"/>
        </w:rPr>
        <w:t>y en su oportunidad archívese el cuaderno de revisión como concluido.</w:t>
      </w:r>
    </w:p>
    <w:p w:rsidR="00B336AC" w:rsidRPr="00B336AC" w:rsidRDefault="00B336AC" w:rsidP="00B336AC">
      <w:pPr>
        <w:pStyle w:val="Sinespaciado"/>
        <w:spacing w:before="240" w:after="240" w:line="360" w:lineRule="auto"/>
        <w:ind w:firstLine="708"/>
        <w:jc w:val="both"/>
        <w:rPr>
          <w:rFonts w:ascii="Arial" w:hAnsi="Arial" w:cs="Arial"/>
          <w:b/>
          <w:sz w:val="26"/>
          <w:szCs w:val="26"/>
        </w:rPr>
      </w:pPr>
      <w:r>
        <w:rPr>
          <w:rFonts w:ascii="Arial" w:hAnsi="Arial" w:cs="Arial"/>
          <w:b/>
          <w:sz w:val="26"/>
          <w:szCs w:val="26"/>
        </w:rPr>
        <w:t xml:space="preserve">TERCERO. </w:t>
      </w:r>
      <w:r>
        <w:rPr>
          <w:rFonts w:ascii="Arial" w:hAnsi="Arial" w:cs="Arial"/>
          <w:sz w:val="26"/>
          <w:szCs w:val="26"/>
        </w:rPr>
        <w:t>Finalmente, por Acuerdo General AG/TJAO/015/2018, aprobado en sesión administrativa de fecha veintisiete de noviembre de dos mil dieciocho, por el Pleno de la Sala Superior de este órgano jurisdiccional, se autorizó el cambio de domicilio del Tribunal de Justicia Administrativa del Estado de Oaxaca, y en atención a la fe de erratas del referido acuerdo, hágase del conocimiento a las partes que el inmueble que alberga las instalaciones de este Tribunal a partir del uno de enero de dos mil diecinueve, es el ubicado en la Calle Miguel Hidalgo número 215, Colonia Centro, Municipio de Oaxaca de Juárez, Oaxaca, Código Postal 68000.</w:t>
      </w:r>
    </w:p>
    <w:p w:rsidR="0069242C" w:rsidRPr="0088442E" w:rsidRDefault="0069242C" w:rsidP="0088442E">
      <w:pPr>
        <w:spacing w:after="0" w:line="360" w:lineRule="auto"/>
        <w:ind w:firstLine="708"/>
        <w:jc w:val="both"/>
        <w:rPr>
          <w:rFonts w:ascii="Arial" w:hAnsi="Arial" w:cs="Arial"/>
          <w:sz w:val="26"/>
          <w:szCs w:val="26"/>
        </w:rPr>
      </w:pPr>
      <w:r>
        <w:rPr>
          <w:rFonts w:ascii="Arial" w:hAnsi="Arial" w:cs="Arial"/>
          <w:sz w:val="26"/>
          <w:szCs w:val="26"/>
        </w:rPr>
        <w:t>Así por unanimidad de votos, lo resolvieron y firmaron los Magistrados integrantes de la Sala Superior del Tribunal de Justicia Administrativa para el Estado de Oaxaca, quienes actúan con la Secretaria General de Acuerdos de este Tribunal, que autoriza y da fe.</w:t>
      </w:r>
    </w:p>
    <w:p w:rsidR="003B4A29" w:rsidRDefault="003B4A29" w:rsidP="0069242C">
      <w:pPr>
        <w:rPr>
          <w:rFonts w:ascii="Arial" w:eastAsia="Calibri" w:hAnsi="Arial" w:cs="Arial"/>
          <w:sz w:val="26"/>
          <w:szCs w:val="26"/>
        </w:rPr>
      </w:pPr>
    </w:p>
    <w:p w:rsidR="0088442E" w:rsidRDefault="0088442E" w:rsidP="0069242C">
      <w:pPr>
        <w:rPr>
          <w:rFonts w:ascii="Arial" w:eastAsia="Calibri" w:hAnsi="Arial" w:cs="Arial"/>
          <w:sz w:val="26"/>
          <w:szCs w:val="26"/>
        </w:rPr>
      </w:pPr>
    </w:p>
    <w:p w:rsidR="0069242C" w:rsidRPr="009B6852" w:rsidRDefault="0069242C" w:rsidP="0069242C">
      <w:pPr>
        <w:spacing w:after="0"/>
        <w:jc w:val="center"/>
        <w:rPr>
          <w:rFonts w:ascii="Arial" w:hAnsi="Arial" w:cs="Arial"/>
          <w:sz w:val="26"/>
          <w:szCs w:val="26"/>
        </w:rPr>
      </w:pPr>
      <w:r w:rsidRPr="009B6852">
        <w:rPr>
          <w:rFonts w:ascii="Arial" w:hAnsi="Arial" w:cs="Arial"/>
          <w:sz w:val="26"/>
          <w:szCs w:val="26"/>
        </w:rPr>
        <w:t>MAGISTRADO ADRIÁN QUIROGA AVENDAÑO.</w:t>
      </w:r>
    </w:p>
    <w:p w:rsidR="0069242C" w:rsidRDefault="0069242C" w:rsidP="0088442E">
      <w:pPr>
        <w:spacing w:after="0"/>
        <w:jc w:val="center"/>
        <w:rPr>
          <w:rFonts w:ascii="Arial" w:hAnsi="Arial" w:cs="Arial"/>
          <w:sz w:val="26"/>
          <w:szCs w:val="26"/>
        </w:rPr>
      </w:pPr>
      <w:r w:rsidRPr="009B6852">
        <w:rPr>
          <w:rFonts w:ascii="Arial" w:hAnsi="Arial" w:cs="Arial"/>
          <w:sz w:val="26"/>
          <w:szCs w:val="26"/>
        </w:rPr>
        <w:t>PRESIDENTE</w:t>
      </w:r>
    </w:p>
    <w:p w:rsidR="0088442E" w:rsidRDefault="0088442E" w:rsidP="0088442E">
      <w:pPr>
        <w:spacing w:after="0"/>
        <w:jc w:val="center"/>
        <w:rPr>
          <w:rFonts w:ascii="Arial" w:hAnsi="Arial" w:cs="Arial"/>
          <w:sz w:val="26"/>
          <w:szCs w:val="26"/>
        </w:rPr>
      </w:pPr>
    </w:p>
    <w:p w:rsidR="003B4A29" w:rsidRPr="009B6852" w:rsidRDefault="003B4A29" w:rsidP="0069242C">
      <w:pPr>
        <w:rPr>
          <w:rFonts w:ascii="Arial" w:hAnsi="Arial" w:cs="Arial"/>
          <w:sz w:val="26"/>
          <w:szCs w:val="26"/>
        </w:rPr>
      </w:pPr>
    </w:p>
    <w:p w:rsidR="0069242C" w:rsidRPr="009B6852" w:rsidRDefault="0069242C" w:rsidP="0069242C">
      <w:pPr>
        <w:spacing w:after="0"/>
        <w:jc w:val="center"/>
        <w:rPr>
          <w:rFonts w:ascii="Arial" w:hAnsi="Arial" w:cs="Arial"/>
          <w:sz w:val="26"/>
          <w:szCs w:val="26"/>
        </w:rPr>
      </w:pPr>
    </w:p>
    <w:p w:rsidR="0069242C" w:rsidRPr="009B6852" w:rsidRDefault="0069242C" w:rsidP="0069242C">
      <w:pPr>
        <w:pStyle w:val="Ttulo1"/>
        <w:spacing w:before="0" w:line="360" w:lineRule="auto"/>
        <w:jc w:val="center"/>
        <w:rPr>
          <w:rFonts w:ascii="Arial" w:eastAsia="Calibri" w:hAnsi="Arial" w:cs="Arial"/>
          <w:color w:val="auto"/>
          <w:sz w:val="26"/>
          <w:szCs w:val="26"/>
        </w:rPr>
      </w:pPr>
      <w:r w:rsidRPr="009B6852">
        <w:rPr>
          <w:rFonts w:ascii="Arial" w:eastAsia="Calibri" w:hAnsi="Arial" w:cs="Arial"/>
          <w:color w:val="auto"/>
          <w:sz w:val="26"/>
          <w:szCs w:val="26"/>
        </w:rPr>
        <w:t xml:space="preserve">MAGISTRADO </w:t>
      </w:r>
      <w:r>
        <w:rPr>
          <w:rFonts w:ascii="Arial" w:eastAsia="Calibri" w:hAnsi="Arial" w:cs="Arial"/>
          <w:color w:val="auto"/>
          <w:sz w:val="26"/>
          <w:szCs w:val="26"/>
        </w:rPr>
        <w:t>HUGO VILLEGAS AQUINO</w:t>
      </w:r>
    </w:p>
    <w:p w:rsidR="0069242C" w:rsidRDefault="0069242C" w:rsidP="0069242C">
      <w:pPr>
        <w:jc w:val="center"/>
        <w:rPr>
          <w:rFonts w:ascii="Arial" w:hAnsi="Arial" w:cs="Arial"/>
          <w:sz w:val="26"/>
          <w:szCs w:val="26"/>
        </w:rPr>
      </w:pPr>
    </w:p>
    <w:p w:rsidR="0069242C" w:rsidRDefault="0069242C" w:rsidP="0069242C">
      <w:pPr>
        <w:jc w:val="center"/>
        <w:rPr>
          <w:rFonts w:ascii="Arial" w:hAnsi="Arial" w:cs="Arial"/>
          <w:sz w:val="26"/>
          <w:szCs w:val="26"/>
        </w:rPr>
      </w:pPr>
    </w:p>
    <w:p w:rsidR="0069242C" w:rsidRDefault="0088442E" w:rsidP="0069242C">
      <w:pPr>
        <w:jc w:val="center"/>
        <w:rPr>
          <w:rFonts w:ascii="Arial" w:hAnsi="Arial" w:cs="Arial"/>
          <w:b/>
          <w:sz w:val="14"/>
          <w:szCs w:val="26"/>
        </w:rPr>
      </w:pPr>
      <w:r w:rsidRPr="0088442E">
        <w:rPr>
          <w:rFonts w:ascii="Arial" w:hAnsi="Arial" w:cs="Arial"/>
          <w:b/>
          <w:sz w:val="14"/>
          <w:szCs w:val="26"/>
        </w:rPr>
        <w:t>LAS PRESENTES FIRMAS CORRESPONDEN AL RECURSO DE REVISIÓN 396/2018</w:t>
      </w:r>
    </w:p>
    <w:p w:rsidR="0088442E" w:rsidRDefault="0088442E" w:rsidP="0069242C">
      <w:pPr>
        <w:jc w:val="center"/>
        <w:rPr>
          <w:rFonts w:ascii="Arial" w:hAnsi="Arial" w:cs="Arial"/>
          <w:b/>
          <w:sz w:val="14"/>
          <w:szCs w:val="26"/>
        </w:rPr>
      </w:pPr>
    </w:p>
    <w:p w:rsidR="0088442E" w:rsidRDefault="0088442E" w:rsidP="0069242C">
      <w:pPr>
        <w:jc w:val="center"/>
        <w:rPr>
          <w:rFonts w:ascii="Arial" w:hAnsi="Arial" w:cs="Arial"/>
          <w:b/>
          <w:sz w:val="14"/>
          <w:szCs w:val="26"/>
        </w:rPr>
      </w:pPr>
    </w:p>
    <w:p w:rsidR="0088442E" w:rsidRDefault="0088442E" w:rsidP="0069242C">
      <w:pPr>
        <w:jc w:val="center"/>
        <w:rPr>
          <w:rFonts w:ascii="Arial" w:hAnsi="Arial" w:cs="Arial"/>
          <w:b/>
          <w:sz w:val="14"/>
          <w:szCs w:val="26"/>
        </w:rPr>
      </w:pPr>
    </w:p>
    <w:p w:rsidR="0088442E" w:rsidRDefault="0088442E" w:rsidP="0069242C">
      <w:pPr>
        <w:jc w:val="center"/>
        <w:rPr>
          <w:rFonts w:ascii="Arial" w:hAnsi="Arial" w:cs="Arial"/>
          <w:b/>
          <w:sz w:val="14"/>
          <w:szCs w:val="26"/>
        </w:rPr>
      </w:pPr>
    </w:p>
    <w:p w:rsidR="0088442E" w:rsidRPr="0088442E" w:rsidRDefault="0088442E" w:rsidP="0069242C">
      <w:pPr>
        <w:jc w:val="center"/>
        <w:rPr>
          <w:rFonts w:ascii="Arial" w:hAnsi="Arial" w:cs="Arial"/>
          <w:b/>
          <w:sz w:val="14"/>
          <w:szCs w:val="26"/>
        </w:rPr>
      </w:pPr>
    </w:p>
    <w:p w:rsidR="0069242C" w:rsidRPr="009B6852" w:rsidRDefault="0069242C" w:rsidP="0069242C">
      <w:pPr>
        <w:jc w:val="center"/>
        <w:rPr>
          <w:rFonts w:ascii="Arial" w:hAnsi="Arial" w:cs="Arial"/>
          <w:sz w:val="26"/>
          <w:szCs w:val="26"/>
        </w:rPr>
      </w:pPr>
    </w:p>
    <w:p w:rsidR="0069242C" w:rsidRPr="009B6852" w:rsidRDefault="0069242C" w:rsidP="0069242C">
      <w:pPr>
        <w:spacing w:line="360" w:lineRule="auto"/>
        <w:jc w:val="center"/>
        <w:rPr>
          <w:rFonts w:ascii="Arial" w:hAnsi="Arial" w:cs="Arial"/>
          <w:sz w:val="26"/>
          <w:szCs w:val="26"/>
        </w:rPr>
      </w:pPr>
      <w:r w:rsidRPr="009B6852">
        <w:rPr>
          <w:rFonts w:ascii="Arial" w:hAnsi="Arial" w:cs="Arial"/>
          <w:sz w:val="26"/>
          <w:szCs w:val="26"/>
        </w:rPr>
        <w:t xml:space="preserve">MAGISTRADO </w:t>
      </w:r>
      <w:r>
        <w:rPr>
          <w:rFonts w:ascii="Arial" w:hAnsi="Arial" w:cs="Arial"/>
          <w:sz w:val="26"/>
          <w:szCs w:val="26"/>
        </w:rPr>
        <w:t>ENRIQUE PACHECO MARTÍNEZ</w:t>
      </w:r>
    </w:p>
    <w:p w:rsidR="0069242C" w:rsidRDefault="0069242C" w:rsidP="0069242C">
      <w:pPr>
        <w:spacing w:line="360" w:lineRule="auto"/>
        <w:jc w:val="center"/>
        <w:rPr>
          <w:rFonts w:ascii="Arial" w:hAnsi="Arial" w:cs="Arial"/>
          <w:sz w:val="26"/>
          <w:szCs w:val="26"/>
        </w:rPr>
      </w:pPr>
    </w:p>
    <w:p w:rsidR="0069242C" w:rsidRDefault="0069242C" w:rsidP="0069242C">
      <w:pPr>
        <w:spacing w:line="360" w:lineRule="auto"/>
        <w:jc w:val="center"/>
        <w:rPr>
          <w:rFonts w:ascii="Arial" w:hAnsi="Arial" w:cs="Arial"/>
          <w:sz w:val="26"/>
          <w:szCs w:val="26"/>
        </w:rPr>
      </w:pPr>
    </w:p>
    <w:p w:rsidR="0069242C" w:rsidRDefault="0069242C" w:rsidP="0069242C">
      <w:pPr>
        <w:spacing w:line="360" w:lineRule="auto"/>
        <w:jc w:val="center"/>
        <w:rPr>
          <w:rFonts w:ascii="Arial" w:hAnsi="Arial" w:cs="Arial"/>
          <w:sz w:val="26"/>
          <w:szCs w:val="26"/>
        </w:rPr>
      </w:pPr>
    </w:p>
    <w:p w:rsidR="0069242C" w:rsidRDefault="0069242C" w:rsidP="0069242C">
      <w:pPr>
        <w:spacing w:line="360" w:lineRule="auto"/>
        <w:jc w:val="center"/>
        <w:rPr>
          <w:rFonts w:ascii="Arial" w:hAnsi="Arial" w:cs="Arial"/>
          <w:sz w:val="26"/>
          <w:szCs w:val="26"/>
        </w:rPr>
      </w:pPr>
      <w:r>
        <w:rPr>
          <w:rFonts w:ascii="Arial" w:hAnsi="Arial" w:cs="Arial"/>
          <w:sz w:val="26"/>
          <w:szCs w:val="26"/>
        </w:rPr>
        <w:t>MAGISTRADA MARÍA ELENA VILLA DE JARQUÍN</w:t>
      </w:r>
    </w:p>
    <w:p w:rsidR="0069242C" w:rsidRDefault="0069242C" w:rsidP="0069242C">
      <w:pPr>
        <w:spacing w:line="360" w:lineRule="auto"/>
        <w:rPr>
          <w:rFonts w:ascii="Arial" w:hAnsi="Arial" w:cs="Arial"/>
          <w:sz w:val="26"/>
          <w:szCs w:val="26"/>
        </w:rPr>
      </w:pPr>
    </w:p>
    <w:p w:rsidR="0069242C" w:rsidRDefault="0069242C" w:rsidP="0069242C">
      <w:pPr>
        <w:spacing w:line="360" w:lineRule="auto"/>
        <w:rPr>
          <w:rFonts w:ascii="Arial" w:hAnsi="Arial" w:cs="Arial"/>
          <w:sz w:val="26"/>
          <w:szCs w:val="26"/>
        </w:rPr>
      </w:pPr>
    </w:p>
    <w:p w:rsidR="0069242C" w:rsidRDefault="0069242C" w:rsidP="0069242C">
      <w:pPr>
        <w:spacing w:line="360" w:lineRule="auto"/>
        <w:rPr>
          <w:rFonts w:ascii="Arial" w:hAnsi="Arial" w:cs="Arial"/>
          <w:sz w:val="26"/>
          <w:szCs w:val="26"/>
        </w:rPr>
      </w:pPr>
    </w:p>
    <w:p w:rsidR="0069242C" w:rsidRDefault="0069242C" w:rsidP="0069242C">
      <w:pPr>
        <w:jc w:val="center"/>
        <w:rPr>
          <w:rFonts w:ascii="Arial" w:eastAsia="Times New Roman" w:hAnsi="Arial" w:cs="Arial"/>
          <w:sz w:val="26"/>
          <w:szCs w:val="26"/>
        </w:rPr>
      </w:pPr>
      <w:r>
        <w:rPr>
          <w:rFonts w:ascii="Arial" w:eastAsia="Times New Roman" w:hAnsi="Arial" w:cs="Arial"/>
          <w:sz w:val="26"/>
          <w:szCs w:val="26"/>
        </w:rPr>
        <w:t>MAGISTRADO MANUEL VELASCO ALCÁNTARA</w:t>
      </w:r>
    </w:p>
    <w:p w:rsidR="0069242C" w:rsidRDefault="0069242C" w:rsidP="0069242C">
      <w:pPr>
        <w:jc w:val="center"/>
        <w:rPr>
          <w:rFonts w:ascii="Arial" w:eastAsia="Times New Roman" w:hAnsi="Arial" w:cs="Arial"/>
          <w:sz w:val="26"/>
          <w:szCs w:val="26"/>
        </w:rPr>
      </w:pPr>
    </w:p>
    <w:p w:rsidR="0069242C" w:rsidRDefault="0069242C" w:rsidP="0069242C">
      <w:pPr>
        <w:jc w:val="center"/>
        <w:rPr>
          <w:rFonts w:ascii="Arial" w:eastAsia="Times New Roman" w:hAnsi="Arial" w:cs="Arial"/>
          <w:sz w:val="26"/>
          <w:szCs w:val="26"/>
        </w:rPr>
      </w:pPr>
    </w:p>
    <w:p w:rsidR="0069242C" w:rsidRDefault="0069242C" w:rsidP="0069242C">
      <w:pPr>
        <w:jc w:val="center"/>
        <w:rPr>
          <w:rFonts w:ascii="Arial" w:eastAsia="Times New Roman" w:hAnsi="Arial" w:cs="Arial"/>
          <w:sz w:val="26"/>
          <w:szCs w:val="26"/>
        </w:rPr>
      </w:pPr>
    </w:p>
    <w:p w:rsidR="0069242C" w:rsidRDefault="0069242C" w:rsidP="0069242C">
      <w:pPr>
        <w:jc w:val="center"/>
        <w:rPr>
          <w:rFonts w:ascii="Arial" w:eastAsia="Times New Roman" w:hAnsi="Arial" w:cs="Arial"/>
          <w:sz w:val="26"/>
          <w:szCs w:val="26"/>
        </w:rPr>
      </w:pPr>
    </w:p>
    <w:p w:rsidR="0069242C" w:rsidRDefault="0069242C" w:rsidP="0069242C">
      <w:pPr>
        <w:spacing w:after="0"/>
        <w:jc w:val="center"/>
        <w:rPr>
          <w:rFonts w:ascii="Arial" w:hAnsi="Arial" w:cs="Arial"/>
          <w:sz w:val="26"/>
          <w:szCs w:val="26"/>
        </w:rPr>
      </w:pPr>
      <w:r>
        <w:rPr>
          <w:rFonts w:ascii="Arial" w:hAnsi="Arial" w:cs="Arial"/>
          <w:sz w:val="26"/>
          <w:szCs w:val="26"/>
        </w:rPr>
        <w:t>LICENCIADA LETICIA GARCIA SOTO.</w:t>
      </w:r>
    </w:p>
    <w:p w:rsidR="0069242C" w:rsidRPr="00514BDC" w:rsidRDefault="0069242C" w:rsidP="0069242C">
      <w:pPr>
        <w:spacing w:after="0"/>
        <w:jc w:val="center"/>
        <w:rPr>
          <w:rFonts w:ascii="Arial" w:hAnsi="Arial" w:cs="Arial"/>
          <w:sz w:val="26"/>
          <w:szCs w:val="26"/>
        </w:rPr>
      </w:pPr>
      <w:r>
        <w:rPr>
          <w:rFonts w:ascii="Arial" w:hAnsi="Arial" w:cs="Arial"/>
          <w:sz w:val="26"/>
          <w:szCs w:val="26"/>
        </w:rPr>
        <w:t xml:space="preserve">  SECRETARIA GENERAL DE ACUERDOS.</w:t>
      </w:r>
    </w:p>
    <w:p w:rsidR="0069242C" w:rsidRDefault="0069242C" w:rsidP="0069242C"/>
    <w:p w:rsidR="0069242C" w:rsidRPr="007A2487" w:rsidRDefault="0069242C" w:rsidP="00E456F0">
      <w:pPr>
        <w:spacing w:after="0" w:line="360" w:lineRule="auto"/>
        <w:jc w:val="both"/>
      </w:pPr>
    </w:p>
    <w:sectPr w:rsidR="0069242C" w:rsidRPr="007A2487" w:rsidSect="005F7CC6">
      <w:headerReference w:type="even" r:id="rId8"/>
      <w:headerReference w:type="default" r:id="rId9"/>
      <w:footerReference w:type="even" r:id="rId10"/>
      <w:footerReference w:type="default" r:id="rId11"/>
      <w:headerReference w:type="first" r:id="rId12"/>
      <w:footerReference w:type="first" r:id="rId13"/>
      <w:pgSz w:w="12240" w:h="20160" w:code="5"/>
      <w:pgMar w:top="1418" w:right="1134" w:bottom="175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7967" w:rsidRDefault="00657967">
      <w:pPr>
        <w:spacing w:after="0" w:line="240" w:lineRule="auto"/>
      </w:pPr>
      <w:r>
        <w:separator/>
      </w:r>
    </w:p>
  </w:endnote>
  <w:endnote w:type="continuationSeparator" w:id="0">
    <w:p w:rsidR="00657967" w:rsidRDefault="00657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040" w:rsidRDefault="00FC504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040" w:rsidRDefault="00FC5040">
    <w:pPr>
      <w:pStyle w:val="Piedepgina"/>
    </w:pPr>
    <w:r>
      <w:rPr>
        <w:noProof/>
      </w:rPr>
      <w:drawing>
        <wp:anchor distT="0" distB="0" distL="114300" distR="114300" simplePos="0" relativeHeight="251663360" behindDoc="0" locked="0" layoutInCell="1" allowOverlap="1" wp14:anchorId="56D13279" wp14:editId="328A2D24">
          <wp:simplePos x="0" y="0"/>
          <wp:positionH relativeFrom="column">
            <wp:posOffset>-1182034</wp:posOffset>
          </wp:positionH>
          <wp:positionV relativeFrom="paragraph">
            <wp:posOffset>-5403252</wp:posOffset>
          </wp:positionV>
          <wp:extent cx="1188720" cy="1122045"/>
          <wp:effectExtent l="0" t="0" r="0" b="1905"/>
          <wp:wrapNone/>
          <wp:docPr id="3" name="Imagen 3"/>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22045"/>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040" w:rsidRDefault="00FC504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7967" w:rsidRDefault="00657967">
      <w:pPr>
        <w:spacing w:after="0" w:line="240" w:lineRule="auto"/>
      </w:pPr>
      <w:r>
        <w:separator/>
      </w:r>
    </w:p>
  </w:footnote>
  <w:footnote w:type="continuationSeparator" w:id="0">
    <w:p w:rsidR="00657967" w:rsidRDefault="006579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6526"/>
      <w:docPartObj>
        <w:docPartGallery w:val="Page Numbers (Top of Page)"/>
        <w:docPartUnique/>
      </w:docPartObj>
    </w:sdtPr>
    <w:sdtEndPr/>
    <w:sdtContent>
      <w:p w:rsidR="00126798" w:rsidRDefault="00C32D5F">
        <w:pPr>
          <w:pStyle w:val="Encabezado"/>
          <w:jc w:val="center"/>
        </w:pPr>
        <w:r>
          <w:fldChar w:fldCharType="begin"/>
        </w:r>
        <w:r>
          <w:instrText>PAGE   \* MERGEFORMAT</w:instrText>
        </w:r>
        <w:r>
          <w:fldChar w:fldCharType="separate"/>
        </w:r>
        <w:r w:rsidR="00FC5040">
          <w:rPr>
            <w:noProof/>
          </w:rPr>
          <w:t>2</w:t>
        </w:r>
        <w:r>
          <w:fldChar w:fldCharType="end"/>
        </w:r>
      </w:p>
    </w:sdtContent>
  </w:sdt>
  <w:p w:rsidR="00126798" w:rsidRDefault="00FC5040">
    <w:pPr>
      <w:pStyle w:val="Encabezado"/>
    </w:pPr>
    <w:bookmarkStart w:id="0" w:name="_GoBack"/>
    <w:r>
      <w:rPr>
        <w:noProof/>
      </w:rPr>
      <w:drawing>
        <wp:anchor distT="0" distB="0" distL="114300" distR="114300" simplePos="0" relativeHeight="251672576" behindDoc="0" locked="0" layoutInCell="1" allowOverlap="1" wp14:anchorId="26B313B5" wp14:editId="3F07BEF3">
          <wp:simplePos x="0" y="0"/>
          <wp:positionH relativeFrom="column">
            <wp:posOffset>5249918</wp:posOffset>
          </wp:positionH>
          <wp:positionV relativeFrom="paragraph">
            <wp:posOffset>4161678</wp:posOffset>
          </wp:positionV>
          <wp:extent cx="1188720" cy="1122045"/>
          <wp:effectExtent l="0" t="0" r="0" b="1905"/>
          <wp:wrapNone/>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22045"/>
                  </a:xfrm>
                  <a:prstGeom prst="rect">
                    <a:avLst/>
                  </a:prstGeom>
                  <a:noFill/>
                </pic:spPr>
              </pic:pic>
            </a:graphicData>
          </a:graphic>
        </wp:anchor>
      </w:drawing>
    </w:r>
    <w:bookmarkEnd w:id="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657"/>
      <w:docPartObj>
        <w:docPartGallery w:val="Page Numbers (Top of Page)"/>
        <w:docPartUnique/>
      </w:docPartObj>
    </w:sdtPr>
    <w:sdtEndPr/>
    <w:sdtContent>
      <w:p w:rsidR="00126798" w:rsidRDefault="00C32D5F" w:rsidP="00271CB4">
        <w:pPr>
          <w:pStyle w:val="Encabezado"/>
          <w:jc w:val="center"/>
          <w:rPr>
            <w:noProof/>
          </w:rPr>
        </w:pPr>
        <w:r>
          <w:fldChar w:fldCharType="begin"/>
        </w:r>
        <w:r>
          <w:instrText xml:space="preserve"> PAGE   \* MERGEFORMAT </w:instrText>
        </w:r>
        <w:r>
          <w:fldChar w:fldCharType="separate"/>
        </w:r>
        <w:r w:rsidR="00FC5040">
          <w:rPr>
            <w:noProof/>
          </w:rPr>
          <w:t>1</w:t>
        </w:r>
        <w:r>
          <w:rPr>
            <w:noProof/>
          </w:rPr>
          <w:fldChar w:fldCharType="end"/>
        </w:r>
      </w:p>
    </w:sdtContent>
  </w:sdt>
  <w:p w:rsidR="00126798" w:rsidRDefault="00C32D5F" w:rsidP="00927607">
    <w:pPr>
      <w:pStyle w:val="Encabezado"/>
      <w:tabs>
        <w:tab w:val="left" w:pos="142"/>
      </w:tabs>
      <w:ind w:left="284"/>
    </w:pPr>
    <w:r w:rsidRPr="003E6AD7">
      <w:rPr>
        <w:noProof/>
        <w:lang w:eastAsia="es-MX"/>
      </w:rPr>
      <w:drawing>
        <wp:anchor distT="0" distB="0" distL="114300" distR="114300" simplePos="0" relativeHeight="251659264" behindDoc="0" locked="0" layoutInCell="1" allowOverlap="1" wp14:anchorId="461794A8" wp14:editId="11AED510">
          <wp:simplePos x="0" y="0"/>
          <wp:positionH relativeFrom="page">
            <wp:posOffset>263525</wp:posOffset>
          </wp:positionH>
          <wp:positionV relativeFrom="paragraph">
            <wp:posOffset>4872355</wp:posOffset>
          </wp:positionV>
          <wp:extent cx="1118870" cy="974725"/>
          <wp:effectExtent l="0" t="0" r="508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651072" behindDoc="1" locked="0" layoutInCell="1" allowOverlap="1" wp14:anchorId="7B308D18" wp14:editId="10A1BA19">
          <wp:simplePos x="0" y="0"/>
          <wp:positionH relativeFrom="column">
            <wp:posOffset>-438912</wp:posOffset>
          </wp:positionH>
          <wp:positionV relativeFrom="paragraph">
            <wp:posOffset>4118432</wp:posOffset>
          </wp:positionV>
          <wp:extent cx="5850890" cy="364122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50890" cy="364122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040" w:rsidRDefault="00FC504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FE6501"/>
    <w:multiLevelType w:val="hybridMultilevel"/>
    <w:tmpl w:val="BD4222E6"/>
    <w:lvl w:ilvl="0" w:tplc="AE267772">
      <w:start w:val="1"/>
      <w:numFmt w:val="upperRoman"/>
      <w:lvlText w:val="%1."/>
      <w:lvlJc w:val="left"/>
      <w:pPr>
        <w:ind w:left="1854" w:hanging="72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
    <w:nsid w:val="2791286A"/>
    <w:multiLevelType w:val="hybridMultilevel"/>
    <w:tmpl w:val="0F86F454"/>
    <w:lvl w:ilvl="0" w:tplc="F90A9EA8">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
    <w:nsid w:val="5C242953"/>
    <w:multiLevelType w:val="hybridMultilevel"/>
    <w:tmpl w:val="4C8AD3B4"/>
    <w:lvl w:ilvl="0" w:tplc="530438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5D7F101F"/>
    <w:multiLevelType w:val="hybridMultilevel"/>
    <w:tmpl w:val="62D61552"/>
    <w:lvl w:ilvl="0" w:tplc="7CE0FE7C">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
    <w:nsid w:val="678C2D15"/>
    <w:multiLevelType w:val="hybridMultilevel"/>
    <w:tmpl w:val="58D4215A"/>
    <w:lvl w:ilvl="0" w:tplc="D1CAEC22">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5">
    <w:nsid w:val="6FBA7EDE"/>
    <w:multiLevelType w:val="hybridMultilevel"/>
    <w:tmpl w:val="78AA8188"/>
    <w:lvl w:ilvl="0" w:tplc="FEF46746">
      <w:start w:val="1"/>
      <w:numFmt w:val="upperRoman"/>
      <w:lvlText w:val="%1."/>
      <w:lvlJc w:val="left"/>
      <w:pPr>
        <w:ind w:left="1429" w:hanging="720"/>
      </w:pPr>
    </w:lvl>
    <w:lvl w:ilvl="1" w:tplc="080A0019">
      <w:start w:val="1"/>
      <w:numFmt w:val="lowerLetter"/>
      <w:lvlText w:val="%2."/>
      <w:lvlJc w:val="left"/>
      <w:pPr>
        <w:ind w:left="1789" w:hanging="360"/>
      </w:pPr>
    </w:lvl>
    <w:lvl w:ilvl="2" w:tplc="080A001B">
      <w:start w:val="1"/>
      <w:numFmt w:val="lowerRoman"/>
      <w:lvlText w:val="%3."/>
      <w:lvlJc w:val="right"/>
      <w:pPr>
        <w:ind w:left="2509" w:hanging="180"/>
      </w:pPr>
    </w:lvl>
    <w:lvl w:ilvl="3" w:tplc="080A000F">
      <w:start w:val="1"/>
      <w:numFmt w:val="decimal"/>
      <w:lvlText w:val="%4."/>
      <w:lvlJc w:val="left"/>
      <w:pPr>
        <w:ind w:left="3229" w:hanging="360"/>
      </w:pPr>
    </w:lvl>
    <w:lvl w:ilvl="4" w:tplc="080A0019">
      <w:start w:val="1"/>
      <w:numFmt w:val="lowerLetter"/>
      <w:lvlText w:val="%5."/>
      <w:lvlJc w:val="left"/>
      <w:pPr>
        <w:ind w:left="3949" w:hanging="360"/>
      </w:pPr>
    </w:lvl>
    <w:lvl w:ilvl="5" w:tplc="080A001B">
      <w:start w:val="1"/>
      <w:numFmt w:val="lowerRoman"/>
      <w:lvlText w:val="%6."/>
      <w:lvlJc w:val="right"/>
      <w:pPr>
        <w:ind w:left="4669" w:hanging="180"/>
      </w:pPr>
    </w:lvl>
    <w:lvl w:ilvl="6" w:tplc="080A000F">
      <w:start w:val="1"/>
      <w:numFmt w:val="decimal"/>
      <w:lvlText w:val="%7."/>
      <w:lvlJc w:val="left"/>
      <w:pPr>
        <w:ind w:left="5389" w:hanging="360"/>
      </w:pPr>
    </w:lvl>
    <w:lvl w:ilvl="7" w:tplc="080A0019">
      <w:start w:val="1"/>
      <w:numFmt w:val="lowerLetter"/>
      <w:lvlText w:val="%8."/>
      <w:lvlJc w:val="left"/>
      <w:pPr>
        <w:ind w:left="6109" w:hanging="360"/>
      </w:pPr>
    </w:lvl>
    <w:lvl w:ilvl="8" w:tplc="080A001B">
      <w:start w:val="1"/>
      <w:numFmt w:val="lowerRoman"/>
      <w:lvlText w:val="%9."/>
      <w:lvlJc w:val="right"/>
      <w:pPr>
        <w:ind w:left="6829"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5"/>
  <w:mirrorMargins/>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081"/>
    <w:rsid w:val="00006A34"/>
    <w:rsid w:val="00010AC6"/>
    <w:rsid w:val="0001326A"/>
    <w:rsid w:val="000140EE"/>
    <w:rsid w:val="0002271B"/>
    <w:rsid w:val="000227B0"/>
    <w:rsid w:val="0002754E"/>
    <w:rsid w:val="000306E0"/>
    <w:rsid w:val="000530EE"/>
    <w:rsid w:val="00053750"/>
    <w:rsid w:val="00056360"/>
    <w:rsid w:val="00057D1C"/>
    <w:rsid w:val="00060891"/>
    <w:rsid w:val="000627D6"/>
    <w:rsid w:val="000731E9"/>
    <w:rsid w:val="00075C2F"/>
    <w:rsid w:val="00076358"/>
    <w:rsid w:val="000817FE"/>
    <w:rsid w:val="0009251F"/>
    <w:rsid w:val="000965E4"/>
    <w:rsid w:val="000A036B"/>
    <w:rsid w:val="000A1133"/>
    <w:rsid w:val="000B480C"/>
    <w:rsid w:val="000C72DD"/>
    <w:rsid w:val="000E270E"/>
    <w:rsid w:val="000F05D1"/>
    <w:rsid w:val="000F6B51"/>
    <w:rsid w:val="001035F6"/>
    <w:rsid w:val="0010424B"/>
    <w:rsid w:val="00111765"/>
    <w:rsid w:val="00112D96"/>
    <w:rsid w:val="001238F0"/>
    <w:rsid w:val="001265E6"/>
    <w:rsid w:val="00130C97"/>
    <w:rsid w:val="00132B09"/>
    <w:rsid w:val="00140704"/>
    <w:rsid w:val="00170E13"/>
    <w:rsid w:val="00172594"/>
    <w:rsid w:val="00183E97"/>
    <w:rsid w:val="001948E6"/>
    <w:rsid w:val="00196B13"/>
    <w:rsid w:val="001A363F"/>
    <w:rsid w:val="001B284D"/>
    <w:rsid w:val="001C15EA"/>
    <w:rsid w:val="001C1F62"/>
    <w:rsid w:val="001C4DF7"/>
    <w:rsid w:val="001C713B"/>
    <w:rsid w:val="001D6C09"/>
    <w:rsid w:val="001E1CA1"/>
    <w:rsid w:val="001E2CCD"/>
    <w:rsid w:val="001F5A03"/>
    <w:rsid w:val="00200D17"/>
    <w:rsid w:val="00207505"/>
    <w:rsid w:val="00217F1A"/>
    <w:rsid w:val="0022324D"/>
    <w:rsid w:val="002239BC"/>
    <w:rsid w:val="00227D3D"/>
    <w:rsid w:val="00230BEE"/>
    <w:rsid w:val="00251DC1"/>
    <w:rsid w:val="00262A8F"/>
    <w:rsid w:val="00265F46"/>
    <w:rsid w:val="002761E3"/>
    <w:rsid w:val="00276F62"/>
    <w:rsid w:val="0028050B"/>
    <w:rsid w:val="0029582A"/>
    <w:rsid w:val="002A28E5"/>
    <w:rsid w:val="002A633A"/>
    <w:rsid w:val="002B3FCF"/>
    <w:rsid w:val="002C06DC"/>
    <w:rsid w:val="002E2484"/>
    <w:rsid w:val="0030310B"/>
    <w:rsid w:val="0030333C"/>
    <w:rsid w:val="00312BE5"/>
    <w:rsid w:val="00317431"/>
    <w:rsid w:val="0032484D"/>
    <w:rsid w:val="00343224"/>
    <w:rsid w:val="003462E7"/>
    <w:rsid w:val="00350029"/>
    <w:rsid w:val="003533F7"/>
    <w:rsid w:val="003638AD"/>
    <w:rsid w:val="00363FD0"/>
    <w:rsid w:val="00365D31"/>
    <w:rsid w:val="0037738A"/>
    <w:rsid w:val="003777EB"/>
    <w:rsid w:val="0038252C"/>
    <w:rsid w:val="0039258D"/>
    <w:rsid w:val="0039535D"/>
    <w:rsid w:val="003959A9"/>
    <w:rsid w:val="003A3921"/>
    <w:rsid w:val="003B4A29"/>
    <w:rsid w:val="003B76B0"/>
    <w:rsid w:val="003C56CB"/>
    <w:rsid w:val="003E36AE"/>
    <w:rsid w:val="0040218E"/>
    <w:rsid w:val="004138F4"/>
    <w:rsid w:val="004200B9"/>
    <w:rsid w:val="0044125F"/>
    <w:rsid w:val="00444F2C"/>
    <w:rsid w:val="004546F1"/>
    <w:rsid w:val="00454891"/>
    <w:rsid w:val="0047251D"/>
    <w:rsid w:val="00481D67"/>
    <w:rsid w:val="004A5C5B"/>
    <w:rsid w:val="004A764F"/>
    <w:rsid w:val="004B4BBD"/>
    <w:rsid w:val="004C03AB"/>
    <w:rsid w:val="004C7B31"/>
    <w:rsid w:val="004D3FD5"/>
    <w:rsid w:val="004F032D"/>
    <w:rsid w:val="00501D58"/>
    <w:rsid w:val="00511C35"/>
    <w:rsid w:val="005153E1"/>
    <w:rsid w:val="005170DC"/>
    <w:rsid w:val="005245DE"/>
    <w:rsid w:val="0053444C"/>
    <w:rsid w:val="00547E2C"/>
    <w:rsid w:val="00573E33"/>
    <w:rsid w:val="00573F2D"/>
    <w:rsid w:val="005754F7"/>
    <w:rsid w:val="005756D5"/>
    <w:rsid w:val="00576978"/>
    <w:rsid w:val="00591A61"/>
    <w:rsid w:val="005930DA"/>
    <w:rsid w:val="00593E84"/>
    <w:rsid w:val="005A12A8"/>
    <w:rsid w:val="005A7540"/>
    <w:rsid w:val="005B0F93"/>
    <w:rsid w:val="005C202B"/>
    <w:rsid w:val="005C6512"/>
    <w:rsid w:val="005D1DED"/>
    <w:rsid w:val="005F1F09"/>
    <w:rsid w:val="005F7CC6"/>
    <w:rsid w:val="00606877"/>
    <w:rsid w:val="00612720"/>
    <w:rsid w:val="00622719"/>
    <w:rsid w:val="00625E3B"/>
    <w:rsid w:val="00626712"/>
    <w:rsid w:val="0063013D"/>
    <w:rsid w:val="00630EA2"/>
    <w:rsid w:val="006448C9"/>
    <w:rsid w:val="00650342"/>
    <w:rsid w:val="00652E61"/>
    <w:rsid w:val="00653081"/>
    <w:rsid w:val="00656562"/>
    <w:rsid w:val="00657967"/>
    <w:rsid w:val="00657C11"/>
    <w:rsid w:val="00684DD2"/>
    <w:rsid w:val="00685F46"/>
    <w:rsid w:val="0069242C"/>
    <w:rsid w:val="006938B1"/>
    <w:rsid w:val="00694FE2"/>
    <w:rsid w:val="006A69F9"/>
    <w:rsid w:val="006B0E02"/>
    <w:rsid w:val="006D0D86"/>
    <w:rsid w:val="006E7970"/>
    <w:rsid w:val="006F2458"/>
    <w:rsid w:val="006F4A81"/>
    <w:rsid w:val="006F6823"/>
    <w:rsid w:val="0071291A"/>
    <w:rsid w:val="007313EF"/>
    <w:rsid w:val="007325BB"/>
    <w:rsid w:val="00734323"/>
    <w:rsid w:val="00735250"/>
    <w:rsid w:val="00744977"/>
    <w:rsid w:val="00751298"/>
    <w:rsid w:val="0076094B"/>
    <w:rsid w:val="00761BFC"/>
    <w:rsid w:val="00771872"/>
    <w:rsid w:val="007825AD"/>
    <w:rsid w:val="007A2487"/>
    <w:rsid w:val="007D51A7"/>
    <w:rsid w:val="007D57D5"/>
    <w:rsid w:val="007D6535"/>
    <w:rsid w:val="007E5B25"/>
    <w:rsid w:val="007F0D2C"/>
    <w:rsid w:val="007F4F00"/>
    <w:rsid w:val="00814B86"/>
    <w:rsid w:val="008238CF"/>
    <w:rsid w:val="00826EEB"/>
    <w:rsid w:val="00830A05"/>
    <w:rsid w:val="00850959"/>
    <w:rsid w:val="00881D56"/>
    <w:rsid w:val="0088442E"/>
    <w:rsid w:val="008B4464"/>
    <w:rsid w:val="008C6A10"/>
    <w:rsid w:val="008D3B78"/>
    <w:rsid w:val="008E0DC8"/>
    <w:rsid w:val="008F5AA5"/>
    <w:rsid w:val="00903ED0"/>
    <w:rsid w:val="00906BD1"/>
    <w:rsid w:val="00912974"/>
    <w:rsid w:val="009221B5"/>
    <w:rsid w:val="00937993"/>
    <w:rsid w:val="00944038"/>
    <w:rsid w:val="00944FC4"/>
    <w:rsid w:val="00952E02"/>
    <w:rsid w:val="009569A2"/>
    <w:rsid w:val="00960527"/>
    <w:rsid w:val="00967447"/>
    <w:rsid w:val="009B57EF"/>
    <w:rsid w:val="009B6852"/>
    <w:rsid w:val="009C3561"/>
    <w:rsid w:val="009D0511"/>
    <w:rsid w:val="009D1D1D"/>
    <w:rsid w:val="009D6432"/>
    <w:rsid w:val="009E1B3A"/>
    <w:rsid w:val="009F0158"/>
    <w:rsid w:val="00A0629B"/>
    <w:rsid w:val="00A07274"/>
    <w:rsid w:val="00A16F03"/>
    <w:rsid w:val="00A24022"/>
    <w:rsid w:val="00A429B2"/>
    <w:rsid w:val="00A525B4"/>
    <w:rsid w:val="00A556FD"/>
    <w:rsid w:val="00A57F60"/>
    <w:rsid w:val="00A667A9"/>
    <w:rsid w:val="00A675C0"/>
    <w:rsid w:val="00A745E8"/>
    <w:rsid w:val="00A77E76"/>
    <w:rsid w:val="00A86AB0"/>
    <w:rsid w:val="00A9079B"/>
    <w:rsid w:val="00A96025"/>
    <w:rsid w:val="00AA5010"/>
    <w:rsid w:val="00AB0555"/>
    <w:rsid w:val="00AB07D0"/>
    <w:rsid w:val="00AB1944"/>
    <w:rsid w:val="00AB3054"/>
    <w:rsid w:val="00AB71BD"/>
    <w:rsid w:val="00AC63EE"/>
    <w:rsid w:val="00AC6BFF"/>
    <w:rsid w:val="00AD0B0A"/>
    <w:rsid w:val="00AE3A36"/>
    <w:rsid w:val="00AE3B0F"/>
    <w:rsid w:val="00AE4326"/>
    <w:rsid w:val="00AF0926"/>
    <w:rsid w:val="00B13F19"/>
    <w:rsid w:val="00B27E60"/>
    <w:rsid w:val="00B33640"/>
    <w:rsid w:val="00B336AC"/>
    <w:rsid w:val="00B40427"/>
    <w:rsid w:val="00B456BE"/>
    <w:rsid w:val="00B504C4"/>
    <w:rsid w:val="00B539AC"/>
    <w:rsid w:val="00B53BB2"/>
    <w:rsid w:val="00B55539"/>
    <w:rsid w:val="00B61B46"/>
    <w:rsid w:val="00B62BAF"/>
    <w:rsid w:val="00B64581"/>
    <w:rsid w:val="00B856B0"/>
    <w:rsid w:val="00B86AE4"/>
    <w:rsid w:val="00B9529C"/>
    <w:rsid w:val="00BA12A5"/>
    <w:rsid w:val="00BB4206"/>
    <w:rsid w:val="00BC6777"/>
    <w:rsid w:val="00BD34D9"/>
    <w:rsid w:val="00BF0763"/>
    <w:rsid w:val="00BF49D0"/>
    <w:rsid w:val="00C131FA"/>
    <w:rsid w:val="00C14778"/>
    <w:rsid w:val="00C1665C"/>
    <w:rsid w:val="00C166DC"/>
    <w:rsid w:val="00C17F5F"/>
    <w:rsid w:val="00C30E20"/>
    <w:rsid w:val="00C32D5F"/>
    <w:rsid w:val="00C32FAF"/>
    <w:rsid w:val="00C3331B"/>
    <w:rsid w:val="00C338CA"/>
    <w:rsid w:val="00C34AD0"/>
    <w:rsid w:val="00C36A0E"/>
    <w:rsid w:val="00C42D77"/>
    <w:rsid w:val="00C4480F"/>
    <w:rsid w:val="00C52086"/>
    <w:rsid w:val="00C72B25"/>
    <w:rsid w:val="00C90297"/>
    <w:rsid w:val="00C96B0F"/>
    <w:rsid w:val="00CA02A5"/>
    <w:rsid w:val="00CA101B"/>
    <w:rsid w:val="00CA625D"/>
    <w:rsid w:val="00D06D3B"/>
    <w:rsid w:val="00D10AB8"/>
    <w:rsid w:val="00D1314C"/>
    <w:rsid w:val="00D16F1E"/>
    <w:rsid w:val="00D17A65"/>
    <w:rsid w:val="00D20155"/>
    <w:rsid w:val="00D22E0D"/>
    <w:rsid w:val="00D25CA7"/>
    <w:rsid w:val="00D27F89"/>
    <w:rsid w:val="00D437B0"/>
    <w:rsid w:val="00D4438A"/>
    <w:rsid w:val="00D6774B"/>
    <w:rsid w:val="00D73E98"/>
    <w:rsid w:val="00D8265B"/>
    <w:rsid w:val="00D838B9"/>
    <w:rsid w:val="00D86D0B"/>
    <w:rsid w:val="00D91377"/>
    <w:rsid w:val="00D94092"/>
    <w:rsid w:val="00DB42EB"/>
    <w:rsid w:val="00DC4D7A"/>
    <w:rsid w:val="00DD76A5"/>
    <w:rsid w:val="00E03F45"/>
    <w:rsid w:val="00E14A1A"/>
    <w:rsid w:val="00E16D22"/>
    <w:rsid w:val="00E249FF"/>
    <w:rsid w:val="00E30BF5"/>
    <w:rsid w:val="00E43EDE"/>
    <w:rsid w:val="00E456F0"/>
    <w:rsid w:val="00E521E8"/>
    <w:rsid w:val="00E565F3"/>
    <w:rsid w:val="00E85F40"/>
    <w:rsid w:val="00E95328"/>
    <w:rsid w:val="00EB17A6"/>
    <w:rsid w:val="00EB3D98"/>
    <w:rsid w:val="00EC1535"/>
    <w:rsid w:val="00EC41E7"/>
    <w:rsid w:val="00ED597C"/>
    <w:rsid w:val="00EE34C7"/>
    <w:rsid w:val="00EE7540"/>
    <w:rsid w:val="00EF0F45"/>
    <w:rsid w:val="00F000FF"/>
    <w:rsid w:val="00F03067"/>
    <w:rsid w:val="00F11A03"/>
    <w:rsid w:val="00F14329"/>
    <w:rsid w:val="00F17CC3"/>
    <w:rsid w:val="00F23422"/>
    <w:rsid w:val="00F25C95"/>
    <w:rsid w:val="00F30552"/>
    <w:rsid w:val="00F32E69"/>
    <w:rsid w:val="00F645B8"/>
    <w:rsid w:val="00F76F0F"/>
    <w:rsid w:val="00F77707"/>
    <w:rsid w:val="00F86802"/>
    <w:rsid w:val="00F87C02"/>
    <w:rsid w:val="00F91C14"/>
    <w:rsid w:val="00F92773"/>
    <w:rsid w:val="00F92BEA"/>
    <w:rsid w:val="00F973FF"/>
    <w:rsid w:val="00FB0A78"/>
    <w:rsid w:val="00FB27D3"/>
    <w:rsid w:val="00FC5040"/>
    <w:rsid w:val="00FD2D6F"/>
    <w:rsid w:val="00FE1B72"/>
    <w:rsid w:val="00FF0CCF"/>
    <w:rsid w:val="00FF5628"/>
    <w:rsid w:val="00FF575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ECA748F-4006-4B3A-B3A5-4F320B7A4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707"/>
    <w:pPr>
      <w:spacing w:after="200" w:line="276" w:lineRule="auto"/>
    </w:pPr>
    <w:rPr>
      <w:rFonts w:eastAsiaTheme="minorEastAsia"/>
      <w:lang w:eastAsia="es-MX"/>
    </w:rPr>
  </w:style>
  <w:style w:type="paragraph" w:styleId="Ttulo1">
    <w:name w:val="heading 1"/>
    <w:basedOn w:val="Normal"/>
    <w:next w:val="Normal"/>
    <w:link w:val="Ttulo1Car"/>
    <w:uiPriority w:val="9"/>
    <w:qFormat/>
    <w:rsid w:val="009B6852"/>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5308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653081"/>
    <w:rPr>
      <w:rFonts w:ascii="Times New Roman" w:eastAsia="PMingLiU" w:hAnsi="Times New Roman" w:cs="Times New Roman"/>
      <w:sz w:val="24"/>
      <w:szCs w:val="24"/>
      <w:lang w:val="es-ES" w:eastAsia="zh-TW"/>
    </w:rPr>
  </w:style>
  <w:style w:type="paragraph" w:styleId="Sinespaciado">
    <w:name w:val="No Spacing"/>
    <w:uiPriority w:val="1"/>
    <w:qFormat/>
    <w:rsid w:val="00653081"/>
    <w:pPr>
      <w:spacing w:after="0" w:line="240" w:lineRule="auto"/>
    </w:pPr>
    <w:rPr>
      <w:lang w:val="es-ES"/>
    </w:rPr>
  </w:style>
  <w:style w:type="paragraph" w:styleId="Sangradetextonormal">
    <w:name w:val="Body Text Indent"/>
    <w:basedOn w:val="Normal"/>
    <w:link w:val="SangradetextonormalCar"/>
    <w:uiPriority w:val="99"/>
    <w:unhideWhenUsed/>
    <w:rsid w:val="00650342"/>
    <w:pPr>
      <w:spacing w:after="120" w:line="240" w:lineRule="auto"/>
      <w:ind w:left="283"/>
    </w:pPr>
  </w:style>
  <w:style w:type="character" w:customStyle="1" w:styleId="SangradetextonormalCar">
    <w:name w:val="Sangría de texto normal Car"/>
    <w:basedOn w:val="Fuentedeprrafopredeter"/>
    <w:link w:val="Sangradetextonormal"/>
    <w:uiPriority w:val="99"/>
    <w:rsid w:val="00650342"/>
  </w:style>
  <w:style w:type="paragraph" w:styleId="Textoindependienteprimerasangra2">
    <w:name w:val="Body Text First Indent 2"/>
    <w:basedOn w:val="Sangradetextonormal"/>
    <w:link w:val="Textoindependienteprimerasangra2Car"/>
    <w:uiPriority w:val="99"/>
    <w:unhideWhenUsed/>
    <w:rsid w:val="00650342"/>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650342"/>
  </w:style>
  <w:style w:type="paragraph" w:styleId="Textoindependiente">
    <w:name w:val="Body Text"/>
    <w:basedOn w:val="Normal"/>
    <w:link w:val="TextoindependienteCar"/>
    <w:uiPriority w:val="99"/>
    <w:unhideWhenUsed/>
    <w:rsid w:val="00650342"/>
    <w:pPr>
      <w:spacing w:after="120" w:line="240" w:lineRule="auto"/>
    </w:pPr>
  </w:style>
  <w:style w:type="character" w:customStyle="1" w:styleId="TextoindependienteCar">
    <w:name w:val="Texto independiente Car"/>
    <w:basedOn w:val="Fuentedeprrafopredeter"/>
    <w:link w:val="Textoindependiente"/>
    <w:uiPriority w:val="99"/>
    <w:rsid w:val="00650342"/>
  </w:style>
  <w:style w:type="paragraph" w:customStyle="1" w:styleId="Normal0">
    <w:name w:val="[Normal]"/>
    <w:rsid w:val="00132B09"/>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sid w:val="0053444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444C"/>
    <w:rPr>
      <w:rFonts w:ascii="Segoe UI" w:hAnsi="Segoe UI" w:cs="Segoe UI"/>
      <w:sz w:val="18"/>
      <w:szCs w:val="18"/>
      <w:lang w:val="es-ES"/>
    </w:rPr>
  </w:style>
  <w:style w:type="paragraph" w:styleId="Piedepgina">
    <w:name w:val="footer"/>
    <w:basedOn w:val="Normal"/>
    <w:link w:val="PiedepginaCar"/>
    <w:uiPriority w:val="99"/>
    <w:unhideWhenUsed/>
    <w:rsid w:val="00ED59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D597C"/>
    <w:rPr>
      <w:lang w:val="es-ES"/>
    </w:rPr>
  </w:style>
  <w:style w:type="character" w:styleId="Hipervnculo">
    <w:name w:val="Hyperlink"/>
    <w:basedOn w:val="Fuentedeprrafopredeter"/>
    <w:uiPriority w:val="99"/>
    <w:semiHidden/>
    <w:unhideWhenUsed/>
    <w:rsid w:val="00F77707"/>
    <w:rPr>
      <w:color w:val="0000FF"/>
      <w:u w:val="single"/>
    </w:rPr>
  </w:style>
  <w:style w:type="paragraph" w:styleId="Prrafodelista">
    <w:name w:val="List Paragraph"/>
    <w:basedOn w:val="Normal"/>
    <w:uiPriority w:val="34"/>
    <w:qFormat/>
    <w:rsid w:val="00F77707"/>
    <w:pPr>
      <w:ind w:left="720"/>
      <w:contextualSpacing/>
    </w:pPr>
  </w:style>
  <w:style w:type="paragraph" w:customStyle="1" w:styleId="Textoindependiente21">
    <w:name w:val="Texto independiente 21"/>
    <w:basedOn w:val="Normal"/>
    <w:rsid w:val="00F77707"/>
    <w:pPr>
      <w:widowControl w:val="0"/>
      <w:spacing w:after="0" w:line="480" w:lineRule="auto"/>
      <w:ind w:right="51" w:firstLine="1134"/>
      <w:jc w:val="both"/>
    </w:pPr>
    <w:rPr>
      <w:rFonts w:ascii="Courier" w:eastAsia="Times New Roman" w:hAnsi="Courier" w:cs="Times New Roman"/>
      <w:sz w:val="24"/>
      <w:szCs w:val="20"/>
      <w:lang w:val="es-ES" w:eastAsia="es-ES"/>
    </w:rPr>
  </w:style>
  <w:style w:type="character" w:customStyle="1" w:styleId="apple-converted-space">
    <w:name w:val="apple-converted-space"/>
    <w:basedOn w:val="Fuentedeprrafopredeter"/>
    <w:rsid w:val="00F77707"/>
  </w:style>
  <w:style w:type="paragraph" w:styleId="NormalWeb">
    <w:name w:val="Normal (Web)"/>
    <w:basedOn w:val="Normal"/>
    <w:uiPriority w:val="99"/>
    <w:unhideWhenUsed/>
    <w:rsid w:val="007A24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1Car">
    <w:name w:val="Título 1 Car"/>
    <w:basedOn w:val="Fuentedeprrafopredeter"/>
    <w:link w:val="Ttulo1"/>
    <w:uiPriority w:val="9"/>
    <w:rsid w:val="009B6852"/>
    <w:rPr>
      <w:rFonts w:asciiTheme="majorHAnsi" w:eastAsiaTheme="majorEastAsia" w:hAnsiTheme="majorHAnsi" w:cstheme="majorBidi"/>
      <w:color w:val="2E74B5" w:themeColor="accent1" w:themeShade="BF"/>
      <w:sz w:val="32"/>
      <w:szCs w:val="32"/>
    </w:rPr>
  </w:style>
  <w:style w:type="paragraph" w:styleId="Textonotapie">
    <w:name w:val="footnote text"/>
    <w:basedOn w:val="Normal"/>
    <w:link w:val="TextonotapieCar"/>
    <w:uiPriority w:val="99"/>
    <w:unhideWhenUsed/>
    <w:rsid w:val="003E36AE"/>
    <w:pPr>
      <w:spacing w:after="0" w:line="240" w:lineRule="auto"/>
    </w:pPr>
    <w:rPr>
      <w:rFonts w:eastAsiaTheme="minorHAnsi"/>
      <w:sz w:val="20"/>
      <w:szCs w:val="20"/>
      <w:lang w:val="es-ES" w:eastAsia="en-US"/>
    </w:rPr>
  </w:style>
  <w:style w:type="character" w:customStyle="1" w:styleId="TextonotapieCar">
    <w:name w:val="Texto nota pie Car"/>
    <w:basedOn w:val="Fuentedeprrafopredeter"/>
    <w:link w:val="Textonotapie"/>
    <w:uiPriority w:val="99"/>
    <w:rsid w:val="003E36AE"/>
    <w:rPr>
      <w:sz w:val="20"/>
      <w:szCs w:val="20"/>
      <w:lang w:val="es-ES"/>
    </w:rPr>
  </w:style>
  <w:style w:type="character" w:styleId="Refdenotaalpie">
    <w:name w:val="footnote reference"/>
    <w:basedOn w:val="Fuentedeprrafopredeter"/>
    <w:uiPriority w:val="99"/>
    <w:semiHidden/>
    <w:unhideWhenUsed/>
    <w:rsid w:val="003E36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464082">
      <w:bodyDiv w:val="1"/>
      <w:marLeft w:val="0"/>
      <w:marRight w:val="0"/>
      <w:marTop w:val="0"/>
      <w:marBottom w:val="0"/>
      <w:divBdr>
        <w:top w:val="none" w:sz="0" w:space="0" w:color="auto"/>
        <w:left w:val="none" w:sz="0" w:space="0" w:color="auto"/>
        <w:bottom w:val="none" w:sz="0" w:space="0" w:color="auto"/>
        <w:right w:val="none" w:sz="0" w:space="0" w:color="auto"/>
      </w:divBdr>
    </w:div>
    <w:div w:id="189558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AA7467-A1B5-4336-A16F-5AE4575A2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5</Pages>
  <Words>1234</Words>
  <Characters>6791</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Sandro</dc:creator>
  <cp:keywords/>
  <dc:description/>
  <cp:lastModifiedBy>TCAC-Personal</cp:lastModifiedBy>
  <cp:revision>30</cp:revision>
  <cp:lastPrinted>2019-04-05T19:19:00Z</cp:lastPrinted>
  <dcterms:created xsi:type="dcterms:W3CDTF">2019-04-12T01:57:00Z</dcterms:created>
  <dcterms:modified xsi:type="dcterms:W3CDTF">2019-07-01T18:39:00Z</dcterms:modified>
</cp:coreProperties>
</file>