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FE" w:rsidRDefault="00CC46FE" w:rsidP="00CC46FE">
      <w:pPr>
        <w:spacing w:after="0" w:line="360" w:lineRule="auto"/>
        <w:jc w:val="both"/>
        <w:rPr>
          <w:rFonts w:ascii="Arial" w:hAnsi="Arial" w:cs="Arial"/>
          <w:b/>
          <w:sz w:val="26"/>
          <w:szCs w:val="26"/>
        </w:rPr>
      </w:pPr>
    </w:p>
    <w:p w:rsidR="00CC46FE" w:rsidRDefault="00CC46FE" w:rsidP="00CC46FE">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CC46FE" w:rsidRDefault="00CC46FE" w:rsidP="00CC46FE">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039/2019</w:t>
      </w:r>
    </w:p>
    <w:p w:rsidR="00CC46FE" w:rsidRDefault="00CC46FE" w:rsidP="00CC46FE">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0390/2016 PRIMERA SALA UNITARIA DE PRIMERA INSTANCIA</w:t>
      </w:r>
    </w:p>
    <w:p w:rsidR="00CC46FE" w:rsidRDefault="00CC46FE" w:rsidP="00CC46FE">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CC46FE" w:rsidRDefault="00CC46FE" w:rsidP="00CC46FE">
      <w:pPr>
        <w:spacing w:line="240" w:lineRule="auto"/>
        <w:ind w:left="2124"/>
        <w:jc w:val="both"/>
        <w:rPr>
          <w:rFonts w:ascii="Arial" w:hAnsi="Arial" w:cs="Arial"/>
          <w:b/>
          <w:sz w:val="26"/>
          <w:szCs w:val="26"/>
        </w:rPr>
      </w:pPr>
    </w:p>
    <w:p w:rsidR="00CC46FE" w:rsidRDefault="00CC46FE" w:rsidP="00CC46FE">
      <w:pPr>
        <w:spacing w:before="240" w:line="360" w:lineRule="auto"/>
        <w:jc w:val="both"/>
        <w:rPr>
          <w:rFonts w:ascii="Arial" w:hAnsi="Arial" w:cs="Arial"/>
          <w:b/>
          <w:sz w:val="26"/>
          <w:szCs w:val="26"/>
        </w:rPr>
      </w:pPr>
      <w:r>
        <w:rPr>
          <w:rFonts w:ascii="Arial" w:hAnsi="Arial" w:cs="Arial"/>
          <w:b/>
          <w:sz w:val="26"/>
          <w:szCs w:val="26"/>
        </w:rPr>
        <w:t>OAXACA DE JUÁREZ, OAXACA, DIECISÉIS DE MAYO DE DOS MIL DIECINUEVE.</w:t>
      </w:r>
    </w:p>
    <w:p w:rsidR="00CC46FE" w:rsidRDefault="00CC46FE" w:rsidP="00CC46FE">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39</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BD4E00">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parte relativa del auto de 17 diecisiete de enero de 2019 dos mil diecinueve, dictado en el expediente </w:t>
      </w:r>
      <w:r>
        <w:rPr>
          <w:rFonts w:ascii="Arial" w:hAnsi="Arial" w:cs="Arial"/>
          <w:b/>
          <w:sz w:val="26"/>
          <w:szCs w:val="26"/>
        </w:rPr>
        <w:t>0390</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Primera Sala Unitaria de Primera Instancia, relativo al juicio de nulidad promovido por el </w:t>
      </w:r>
      <w:r w:rsidRPr="008E133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SECRETARIO DE VIALIDAD Y TRANSPORTE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aplicable por ser la que se encuentra </w:t>
      </w:r>
      <w:r>
        <w:rPr>
          <w:rFonts w:ascii="Arial" w:hAnsi="Arial" w:cs="Arial"/>
          <w:bCs/>
          <w:iCs/>
          <w:sz w:val="26"/>
          <w:szCs w:val="26"/>
        </w:rPr>
        <w:t>vigente al inicio del juicio natural</w:t>
      </w:r>
      <w:r>
        <w:rPr>
          <w:rFonts w:ascii="Arial" w:hAnsi="Arial" w:cs="Arial"/>
          <w:sz w:val="26"/>
          <w:szCs w:val="26"/>
        </w:rPr>
        <w:t>, se admite. En consecuencia, se procede a dictar resolución en los siguientes términos:</w:t>
      </w:r>
    </w:p>
    <w:p w:rsidR="00CC46FE" w:rsidRDefault="00CC46FE" w:rsidP="00CC46FE">
      <w:pPr>
        <w:spacing w:line="360" w:lineRule="auto"/>
        <w:jc w:val="center"/>
        <w:rPr>
          <w:rFonts w:ascii="Arial" w:hAnsi="Arial" w:cs="Arial"/>
          <w:b/>
          <w:bCs/>
          <w:sz w:val="26"/>
          <w:szCs w:val="26"/>
        </w:rPr>
      </w:pPr>
      <w:r>
        <w:rPr>
          <w:rFonts w:ascii="Arial" w:hAnsi="Arial" w:cs="Arial"/>
          <w:b/>
          <w:bCs/>
          <w:sz w:val="26"/>
          <w:szCs w:val="26"/>
        </w:rPr>
        <w:t>R E S U L T A N D O</w:t>
      </w:r>
    </w:p>
    <w:p w:rsidR="00CC46FE" w:rsidRDefault="00CC46FE" w:rsidP="00CC46FE">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acuerdo de 17 diecisiete de enero de 2019 dos mil diecinueve, dictado por la Primera Sala Unitaria de Primera Instancia, </w:t>
      </w:r>
      <w:r w:rsidR="00BD4E00">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CC46FE" w:rsidRDefault="00CC46FE" w:rsidP="00CC46FE">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La parte conducente del acuerdo </w:t>
      </w:r>
      <w:r>
        <w:rPr>
          <w:rFonts w:ascii="Arial" w:hAnsi="Arial" w:cs="Arial"/>
          <w:sz w:val="26"/>
          <w:szCs w:val="26"/>
        </w:rPr>
        <w:t>recurrido es la siguiente:</w:t>
      </w:r>
    </w:p>
    <w:p w:rsidR="00CC46FE" w:rsidRDefault="00CC46FE" w:rsidP="00CC46FE">
      <w:pPr>
        <w:spacing w:before="240" w:line="360" w:lineRule="auto"/>
        <w:ind w:left="1134" w:right="566"/>
        <w:jc w:val="both"/>
        <w:rPr>
          <w:rFonts w:ascii="Arial" w:eastAsia="Calibri" w:hAnsi="Arial" w:cs="Arial"/>
          <w:bCs/>
          <w:color w:val="000000" w:themeColor="text1"/>
          <w:sz w:val="24"/>
          <w:szCs w:val="24"/>
        </w:rPr>
      </w:pPr>
      <w:r w:rsidRPr="008A3D91">
        <w:rPr>
          <w:rFonts w:ascii="Arial" w:eastAsia="Calibri" w:hAnsi="Arial" w:cs="Arial"/>
          <w:bCs/>
          <w:color w:val="000000" w:themeColor="text1"/>
          <w:sz w:val="24"/>
          <w:szCs w:val="24"/>
        </w:rPr>
        <w:t>“</w:t>
      </w:r>
      <w:r>
        <w:rPr>
          <w:rFonts w:ascii="Arial" w:eastAsia="Calibri" w:hAnsi="Arial" w:cs="Arial"/>
          <w:bCs/>
          <w:i/>
          <w:color w:val="000000" w:themeColor="text1"/>
          <w:sz w:val="24"/>
          <w:szCs w:val="24"/>
        </w:rPr>
        <w:t xml:space="preserve">Se da cuenta con el escrito del actor </w:t>
      </w:r>
      <w:r w:rsidR="00BD4E00">
        <w:rPr>
          <w:rFonts w:ascii="Arial" w:eastAsia="Calibri" w:hAnsi="Arial" w:cs="Arial"/>
          <w:bCs/>
          <w:i/>
          <w:color w:val="000000" w:themeColor="text1"/>
          <w:sz w:val="24"/>
          <w:szCs w:val="24"/>
        </w:rPr>
        <w:t>**********</w:t>
      </w:r>
      <w:r>
        <w:rPr>
          <w:rFonts w:ascii="Arial" w:eastAsia="Calibri" w:hAnsi="Arial" w:cs="Arial"/>
          <w:bCs/>
          <w:i/>
          <w:color w:val="000000" w:themeColor="text1"/>
          <w:sz w:val="24"/>
          <w:szCs w:val="24"/>
        </w:rPr>
        <w:t xml:space="preserve">, fechado y recibido el veintinueve de noviembre del año próximo pasado, con el mismo solicita se le tenga interponiendo recurso de queja en contra del acuerdo de seis de noviembre de dos mil dieciocho por las razones que expone, ahora bien, en atención a su contenido con fundamento en lo dispuesto </w:t>
      </w:r>
      <w:r>
        <w:rPr>
          <w:rFonts w:ascii="Arial" w:eastAsia="Calibri" w:hAnsi="Arial" w:cs="Arial"/>
          <w:bCs/>
          <w:i/>
          <w:color w:val="000000" w:themeColor="text1"/>
          <w:sz w:val="24"/>
          <w:szCs w:val="24"/>
        </w:rPr>
        <w:lastRenderedPageBreak/>
        <w:t xml:space="preserve">por el artículo 202 de la Ley de Justicia Administrativa para el Estado de Oaxaca, </w:t>
      </w:r>
      <w:r>
        <w:rPr>
          <w:rFonts w:ascii="Arial" w:eastAsia="Calibri" w:hAnsi="Arial" w:cs="Arial"/>
          <w:b/>
          <w:bCs/>
          <w:i/>
          <w:color w:val="000000" w:themeColor="text1"/>
          <w:sz w:val="24"/>
          <w:szCs w:val="24"/>
        </w:rPr>
        <w:t xml:space="preserve">dígasele que no ha lugar a tenerle interponiendo recurso de queja </w:t>
      </w:r>
      <w:r>
        <w:rPr>
          <w:rFonts w:ascii="Arial" w:eastAsia="Calibri" w:hAnsi="Arial" w:cs="Arial"/>
          <w:bCs/>
          <w:i/>
          <w:color w:val="000000" w:themeColor="text1"/>
          <w:sz w:val="24"/>
          <w:szCs w:val="24"/>
        </w:rPr>
        <w:t>en contra del auto antes aludido en el cual se tuvo por cumplida la sentencia de veintidós de noviembre de dos mil dieciséis, toman (sic) en consideración que el auto que pretende combatir por ese medio no se ajusta a ninguno de los dos supuestos previstos por numeral antes invocado…</w:t>
      </w:r>
      <w:r>
        <w:rPr>
          <w:rFonts w:ascii="Arial" w:eastAsia="Calibri" w:hAnsi="Arial" w:cs="Arial"/>
          <w:bCs/>
          <w:color w:val="000000" w:themeColor="text1"/>
          <w:sz w:val="24"/>
          <w:szCs w:val="24"/>
        </w:rPr>
        <w:t>”</w:t>
      </w:r>
    </w:p>
    <w:p w:rsidR="00CC46FE" w:rsidRPr="00496E28" w:rsidRDefault="00CC46FE" w:rsidP="00CC46FE">
      <w:pPr>
        <w:spacing w:before="240" w:line="360" w:lineRule="auto"/>
        <w:ind w:left="1134" w:right="566"/>
        <w:jc w:val="both"/>
        <w:rPr>
          <w:rFonts w:ascii="Arial" w:eastAsia="Calibri" w:hAnsi="Arial" w:cs="Arial"/>
          <w:bCs/>
          <w:color w:val="000000" w:themeColor="text1"/>
          <w:sz w:val="24"/>
          <w:szCs w:val="24"/>
        </w:rPr>
      </w:pPr>
    </w:p>
    <w:p w:rsidR="00CC46FE" w:rsidRPr="00126E20" w:rsidRDefault="00CC46FE" w:rsidP="00CC46FE">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CC46FE" w:rsidRPr="00CB6405" w:rsidRDefault="00CC46FE" w:rsidP="00CC46FE">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se encontraba vigente al inicio de juicio principal, </w:t>
      </w:r>
      <w:r w:rsidRPr="00CB6405">
        <w:rPr>
          <w:rFonts w:ascii="Arial" w:hAnsi="Arial" w:cs="Arial"/>
          <w:bCs/>
          <w:iCs/>
          <w:sz w:val="26"/>
          <w:szCs w:val="26"/>
        </w:rPr>
        <w:t xml:space="preserve">dado que se trata de un </w:t>
      </w:r>
      <w:r>
        <w:rPr>
          <w:rFonts w:ascii="Arial" w:hAnsi="Arial" w:cs="Arial"/>
          <w:bCs/>
          <w:iCs/>
          <w:sz w:val="26"/>
          <w:szCs w:val="26"/>
        </w:rPr>
        <w:t>r</w:t>
      </w:r>
      <w:r w:rsidRPr="00CB6405">
        <w:rPr>
          <w:rFonts w:ascii="Arial" w:hAnsi="Arial" w:cs="Arial"/>
          <w:bCs/>
          <w:iCs/>
          <w:sz w:val="26"/>
          <w:szCs w:val="26"/>
        </w:rPr>
        <w:t xml:space="preserve">ecurso de </w:t>
      </w:r>
      <w:r>
        <w:rPr>
          <w:rFonts w:ascii="Arial" w:hAnsi="Arial" w:cs="Arial"/>
          <w:bCs/>
          <w:iCs/>
          <w:sz w:val="26"/>
          <w:szCs w:val="26"/>
        </w:rPr>
        <w:t>r</w:t>
      </w:r>
      <w:r w:rsidRPr="00CB6405">
        <w:rPr>
          <w:rFonts w:ascii="Arial" w:hAnsi="Arial" w:cs="Arial"/>
          <w:bCs/>
          <w:iCs/>
          <w:sz w:val="26"/>
          <w:szCs w:val="26"/>
        </w:rPr>
        <w:t>evisión interpuesto en contra de</w:t>
      </w:r>
      <w:r>
        <w:rPr>
          <w:rFonts w:ascii="Arial" w:hAnsi="Arial" w:cs="Arial"/>
          <w:bCs/>
          <w:iCs/>
          <w:sz w:val="26"/>
          <w:szCs w:val="26"/>
        </w:rPr>
        <w:t xml:space="preserve"> la parte relativa del acuerdo de 17 diecisiete de enero de 2019 dos mil diecinueve, dictado </w:t>
      </w:r>
      <w:r w:rsidRPr="00CB6405">
        <w:rPr>
          <w:rFonts w:ascii="Arial" w:hAnsi="Arial" w:cs="Arial"/>
          <w:bCs/>
          <w:iCs/>
          <w:sz w:val="26"/>
          <w:szCs w:val="26"/>
        </w:rPr>
        <w:t xml:space="preserve">por la </w:t>
      </w:r>
      <w:r>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0390/2016</w:t>
      </w:r>
      <w:r w:rsidRPr="00CB6405">
        <w:rPr>
          <w:rFonts w:ascii="Arial" w:hAnsi="Arial" w:cs="Arial"/>
          <w:sz w:val="26"/>
          <w:szCs w:val="26"/>
        </w:rPr>
        <w:t>.</w:t>
      </w:r>
    </w:p>
    <w:p w:rsidR="00CC46FE" w:rsidRDefault="00CC46FE" w:rsidP="00CC46FE">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 la parte relativa del acuerdo de 17 diecisiete de enero de 2019 dos mil diecinueve, en el que la Primera Instancia, determinó no ha lugar a tenerlo interponiendo recurso de queja.</w:t>
      </w:r>
    </w:p>
    <w:p w:rsidR="00CC46FE" w:rsidRDefault="00CC46FE" w:rsidP="00CC46FE">
      <w:pPr>
        <w:spacing w:before="240" w:line="360" w:lineRule="auto"/>
        <w:ind w:firstLine="708"/>
        <w:jc w:val="both"/>
        <w:rPr>
          <w:rFonts w:ascii="Arial" w:hAnsi="Arial" w:cs="Arial"/>
          <w:sz w:val="26"/>
          <w:szCs w:val="26"/>
        </w:rPr>
      </w:pPr>
      <w:r>
        <w:rPr>
          <w:rFonts w:ascii="Arial" w:hAnsi="Arial" w:cs="Arial"/>
          <w:sz w:val="26"/>
          <w:szCs w:val="26"/>
        </w:rPr>
        <w:t xml:space="preserve">El artículo 206 de la Ley de Justicia Administrativa para el Estado de Oaxaca, aplicable por ser la </w:t>
      </w:r>
      <w:r>
        <w:rPr>
          <w:rFonts w:ascii="Arial" w:hAnsi="Arial" w:cs="Arial"/>
          <w:bCs/>
          <w:iCs/>
          <w:sz w:val="26"/>
          <w:szCs w:val="26"/>
        </w:rPr>
        <w:t>vigente al iniciarse el juicio natural</w:t>
      </w:r>
      <w:r>
        <w:rPr>
          <w:rFonts w:ascii="Arial" w:hAnsi="Arial" w:cs="Arial"/>
          <w:sz w:val="26"/>
          <w:szCs w:val="26"/>
        </w:rPr>
        <w:t>; establece:</w:t>
      </w:r>
    </w:p>
    <w:p w:rsidR="00CC46FE" w:rsidRPr="00852732" w:rsidRDefault="00CC46FE" w:rsidP="00CC46FE">
      <w:pPr>
        <w:spacing w:before="240"/>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I. Los acuerdos que admitan o desechen la demanda, su contestación o ampliación;</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II. El acuerdo que deseche pruebas;</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lastRenderedPageBreak/>
        <w:t>III. El acuerdo que rechace la intervención del tercero;</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IV. Los acuerdos que decreten, nieguen o revoquen la suspensión;</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V. Las resoluciones que decidan incidentes;</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VI. Las resoluciones que decreten o nieguen el sobreseimiento;</w:t>
      </w:r>
    </w:p>
    <w:p w:rsidR="00CC46FE" w:rsidRPr="00852732" w:rsidRDefault="00CC46FE" w:rsidP="00CC46FE">
      <w:pPr>
        <w:ind w:left="851" w:right="778"/>
        <w:jc w:val="both"/>
        <w:rPr>
          <w:rFonts w:ascii="Arial" w:hAnsi="Arial" w:cs="Arial"/>
          <w:i/>
          <w:sz w:val="24"/>
          <w:szCs w:val="24"/>
        </w:rPr>
      </w:pPr>
      <w:r w:rsidRPr="00852732">
        <w:rPr>
          <w:rFonts w:ascii="Arial" w:hAnsi="Arial" w:cs="Arial"/>
          <w:i/>
          <w:sz w:val="24"/>
          <w:szCs w:val="24"/>
        </w:rPr>
        <w:t>VII. Las sentencias que decidan la cuestión planteada. Por violaciones cometidas durante el procedimiento del juicio, cuando hayan dejado sin defensa al recurrente y trasciendan al sentido de la sentencia; y</w:t>
      </w:r>
    </w:p>
    <w:p w:rsidR="00CC46FE" w:rsidRDefault="00CC46FE" w:rsidP="00CC46FE">
      <w:pPr>
        <w:ind w:left="851" w:right="778"/>
        <w:jc w:val="both"/>
        <w:rPr>
          <w:rFonts w:ascii="Arial" w:hAnsi="Arial" w:cs="Arial"/>
          <w:sz w:val="24"/>
          <w:szCs w:val="24"/>
        </w:rPr>
      </w:pPr>
      <w:r w:rsidRPr="00852732">
        <w:rPr>
          <w:rFonts w:ascii="Arial" w:hAnsi="Arial" w:cs="Arial"/>
          <w:i/>
          <w:sz w:val="24"/>
          <w:szCs w:val="24"/>
        </w:rPr>
        <w:t>VIII. Las resoluciones que pongan fin al procedimiento de ejecución de la sentencia.</w:t>
      </w:r>
      <w:r>
        <w:rPr>
          <w:rFonts w:ascii="Arial" w:hAnsi="Arial" w:cs="Arial"/>
          <w:sz w:val="24"/>
          <w:szCs w:val="24"/>
        </w:rPr>
        <w:t>”</w:t>
      </w:r>
    </w:p>
    <w:p w:rsidR="00CC46FE" w:rsidRDefault="00CC46FE" w:rsidP="00CC46FE">
      <w:pPr>
        <w:ind w:left="851" w:right="778"/>
        <w:jc w:val="both"/>
        <w:rPr>
          <w:rFonts w:ascii="Arial" w:hAnsi="Arial" w:cs="Arial"/>
          <w:sz w:val="24"/>
          <w:szCs w:val="24"/>
        </w:rPr>
      </w:pPr>
    </w:p>
    <w:p w:rsidR="00CC46FE" w:rsidRDefault="00CC46FE" w:rsidP="00CC46FE">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determinación de la que se duele el recurrente, consistente en la inadmisión de recurso de queja interpuesto</w:t>
      </w:r>
      <w:r>
        <w:rPr>
          <w:rFonts w:ascii="Arial" w:hAnsi="Arial" w:cs="Arial"/>
          <w:color w:val="000000"/>
          <w:sz w:val="26"/>
          <w:szCs w:val="26"/>
        </w:rPr>
        <w:t xml:space="preserve">; </w:t>
      </w:r>
      <w:r>
        <w:rPr>
          <w:rFonts w:ascii="Arial" w:hAnsi="Arial" w:cs="Arial"/>
          <w:bCs/>
          <w:sz w:val="26"/>
          <w:szCs w:val="26"/>
        </w:rPr>
        <w:t>no encuadra en ninguna de las hipótesis previstas en el mencionado artículo para su revisión en esta instancia.</w:t>
      </w:r>
    </w:p>
    <w:p w:rsidR="00CC46FE" w:rsidRDefault="00CC46FE" w:rsidP="00CC46FE">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vigente al momento de iniciarse el juicio natural,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BD4E00">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acuerdo de 17 diecisiete de enero de 2019 dos mil diecinueve.</w:t>
      </w:r>
    </w:p>
    <w:p w:rsidR="00CC46FE" w:rsidRDefault="00CC46FE" w:rsidP="00CC46FE">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aplicable por ser la que se encontraba </w:t>
      </w:r>
      <w:r>
        <w:rPr>
          <w:rFonts w:ascii="Arial" w:hAnsi="Arial" w:cs="Arial"/>
          <w:bCs/>
          <w:iCs/>
          <w:sz w:val="26"/>
          <w:szCs w:val="26"/>
        </w:rPr>
        <w:t>vigente al inicio del juicio</w:t>
      </w:r>
      <w:r>
        <w:rPr>
          <w:rFonts w:ascii="Arial" w:hAnsi="Arial" w:cs="Arial"/>
          <w:sz w:val="26"/>
          <w:szCs w:val="26"/>
        </w:rPr>
        <w:t>, se:</w:t>
      </w:r>
    </w:p>
    <w:p w:rsidR="00CC46FE" w:rsidRDefault="00CC46FE" w:rsidP="00CC46FE">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CC46FE" w:rsidRDefault="00CC46FE" w:rsidP="00CC46FE">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CC46FE" w:rsidRDefault="00CC46FE" w:rsidP="00CC46FE">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 de revisión como concluido.</w:t>
      </w: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69242C">
      <w:pPr>
        <w:rPr>
          <w:rFonts w:ascii="Arial" w:eastAsia="Calibri" w:hAnsi="Arial" w:cs="Arial"/>
          <w:sz w:val="26"/>
          <w:szCs w:val="26"/>
        </w:rPr>
      </w:pPr>
    </w:p>
    <w:p w:rsidR="00CC46FE" w:rsidRDefault="00CC46FE" w:rsidP="0069242C">
      <w:pPr>
        <w:rPr>
          <w:rFonts w:ascii="Arial" w:eastAsia="Calibri" w:hAnsi="Arial" w:cs="Arial"/>
          <w:sz w:val="26"/>
          <w:szCs w:val="26"/>
        </w:rPr>
      </w:pPr>
    </w:p>
    <w:p w:rsidR="003B4A29" w:rsidRDefault="003B4A29"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CC46FE" w:rsidRDefault="00CC46FE" w:rsidP="0069242C">
      <w:pPr>
        <w:rPr>
          <w:rFonts w:ascii="Arial" w:hAnsi="Arial" w:cs="Arial"/>
          <w:sz w:val="26"/>
          <w:szCs w:val="26"/>
        </w:rPr>
      </w:pPr>
    </w:p>
    <w:p w:rsidR="00CC46FE" w:rsidRDefault="00CC46FE"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CC46FE" w:rsidRDefault="00CC46FE" w:rsidP="0069242C">
      <w:pPr>
        <w:jc w:val="cente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CC46FE" w:rsidRDefault="00CC46FE"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152E5D">
      <w:pP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152E5D" w:rsidRDefault="0069242C" w:rsidP="00152E5D">
      <w:pPr>
        <w:spacing w:after="0"/>
        <w:jc w:val="center"/>
        <w:rPr>
          <w:rFonts w:ascii="Arial" w:hAnsi="Arial" w:cs="Arial"/>
          <w:sz w:val="26"/>
          <w:szCs w:val="26"/>
        </w:rPr>
      </w:pPr>
      <w:r>
        <w:rPr>
          <w:rFonts w:ascii="Arial" w:hAnsi="Arial" w:cs="Arial"/>
          <w:sz w:val="26"/>
          <w:szCs w:val="26"/>
        </w:rPr>
        <w:t xml:space="preserve"> </w:t>
      </w:r>
      <w:r w:rsidR="00152E5D">
        <w:rPr>
          <w:rFonts w:ascii="Arial" w:hAnsi="Arial" w:cs="Arial"/>
          <w:sz w:val="26"/>
          <w:szCs w:val="26"/>
        </w:rPr>
        <w:t xml:space="preserve"> SECRETARIA GENERAL DE ACUERDOS</w:t>
      </w:r>
    </w:p>
    <w:sectPr w:rsidR="0069242C" w:rsidRPr="00152E5D"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E8" w:rsidRDefault="001A19E8">
      <w:pPr>
        <w:spacing w:after="0" w:line="240" w:lineRule="auto"/>
      </w:pPr>
      <w:r>
        <w:separator/>
      </w:r>
    </w:p>
  </w:endnote>
  <w:endnote w:type="continuationSeparator" w:id="0">
    <w:p w:rsidR="001A19E8" w:rsidRDefault="001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AB" w:rsidRDefault="007449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AB" w:rsidRDefault="007449AB">
    <w:pPr>
      <w:pStyle w:val="Piedepgina"/>
    </w:pPr>
    <w:r>
      <w:rPr>
        <w:noProof/>
      </w:rPr>
      <w:drawing>
        <wp:anchor distT="0" distB="0" distL="114300" distR="114300" simplePos="0" relativeHeight="251673088" behindDoc="0" locked="0" layoutInCell="1" allowOverlap="1" wp14:anchorId="40A93D21" wp14:editId="379AF37B">
          <wp:simplePos x="0" y="0"/>
          <wp:positionH relativeFrom="column">
            <wp:posOffset>-1451087</wp:posOffset>
          </wp:positionH>
          <wp:positionV relativeFrom="paragraph">
            <wp:posOffset>-5376358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AB" w:rsidRDefault="007449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E8" w:rsidRDefault="001A19E8">
      <w:pPr>
        <w:spacing w:after="0" w:line="240" w:lineRule="auto"/>
      </w:pPr>
      <w:r>
        <w:separator/>
      </w:r>
    </w:p>
  </w:footnote>
  <w:footnote w:type="continuationSeparator" w:id="0">
    <w:p w:rsidR="001A19E8" w:rsidRDefault="001A1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449AB">
          <w:rPr>
            <w:noProof/>
          </w:rPr>
          <w:t>2</w:t>
        </w:r>
        <w:r>
          <w:fldChar w:fldCharType="end"/>
        </w:r>
      </w:p>
    </w:sdtContent>
  </w:sdt>
  <w:p w:rsidR="00126798" w:rsidRDefault="007449AB">
    <w:pPr>
      <w:pStyle w:val="Encabezado"/>
    </w:pPr>
    <w:bookmarkStart w:id="0" w:name="_GoBack"/>
    <w:bookmarkEnd w:id="0"/>
    <w:r>
      <w:rPr>
        <w:noProof/>
      </w:rPr>
      <w:drawing>
        <wp:anchor distT="0" distB="0" distL="114300" distR="114300" simplePos="0" relativeHeight="251671040" behindDoc="0" locked="0" layoutInCell="1" allowOverlap="1" wp14:anchorId="313EF010" wp14:editId="568C5CEB">
          <wp:simplePos x="0" y="0"/>
          <wp:positionH relativeFrom="column">
            <wp:posOffset>5250031</wp:posOffset>
          </wp:positionH>
          <wp:positionV relativeFrom="paragraph">
            <wp:posOffset>5210549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449AB">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776" behindDoc="0" locked="0" layoutInCell="1" allowOverlap="1" wp14:anchorId="475005EF" wp14:editId="64006E06">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0560" behindDoc="1" locked="0" layoutInCell="1" allowOverlap="1" wp14:anchorId="7F89D1F7" wp14:editId="6548DF3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AB" w:rsidRDefault="007449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52E5D"/>
    <w:rsid w:val="00170E13"/>
    <w:rsid w:val="00172594"/>
    <w:rsid w:val="001948E6"/>
    <w:rsid w:val="00196B13"/>
    <w:rsid w:val="001A19E8"/>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17BA"/>
    <w:rsid w:val="00262A8F"/>
    <w:rsid w:val="00265F46"/>
    <w:rsid w:val="002761E3"/>
    <w:rsid w:val="00276F62"/>
    <w:rsid w:val="0028050B"/>
    <w:rsid w:val="00283BD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4A29"/>
    <w:rsid w:val="003B76B0"/>
    <w:rsid w:val="003C56CB"/>
    <w:rsid w:val="003E36AE"/>
    <w:rsid w:val="0040218E"/>
    <w:rsid w:val="004138F4"/>
    <w:rsid w:val="004200B9"/>
    <w:rsid w:val="0044125F"/>
    <w:rsid w:val="00444F2C"/>
    <w:rsid w:val="004546F1"/>
    <w:rsid w:val="00454891"/>
    <w:rsid w:val="0047251D"/>
    <w:rsid w:val="00481D67"/>
    <w:rsid w:val="004A5C5B"/>
    <w:rsid w:val="004A764F"/>
    <w:rsid w:val="004B4BBD"/>
    <w:rsid w:val="004C03AB"/>
    <w:rsid w:val="004C7B31"/>
    <w:rsid w:val="004D3FD5"/>
    <w:rsid w:val="004F032D"/>
    <w:rsid w:val="004F706F"/>
    <w:rsid w:val="00501D58"/>
    <w:rsid w:val="00511C35"/>
    <w:rsid w:val="005153E1"/>
    <w:rsid w:val="005170DC"/>
    <w:rsid w:val="005245DE"/>
    <w:rsid w:val="0053444C"/>
    <w:rsid w:val="00547E2C"/>
    <w:rsid w:val="00573E33"/>
    <w:rsid w:val="00573F2D"/>
    <w:rsid w:val="005754F7"/>
    <w:rsid w:val="005756D5"/>
    <w:rsid w:val="00576978"/>
    <w:rsid w:val="005875C0"/>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242C"/>
    <w:rsid w:val="006938B1"/>
    <w:rsid w:val="00694FE2"/>
    <w:rsid w:val="006A69F9"/>
    <w:rsid w:val="006B0E02"/>
    <w:rsid w:val="006D0D86"/>
    <w:rsid w:val="006E7970"/>
    <w:rsid w:val="006F2458"/>
    <w:rsid w:val="006F4A81"/>
    <w:rsid w:val="006F6823"/>
    <w:rsid w:val="0071291A"/>
    <w:rsid w:val="007313EF"/>
    <w:rsid w:val="007325BB"/>
    <w:rsid w:val="00734323"/>
    <w:rsid w:val="00735250"/>
    <w:rsid w:val="00744977"/>
    <w:rsid w:val="007449AB"/>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17CE8"/>
    <w:rsid w:val="00A24022"/>
    <w:rsid w:val="00A429B2"/>
    <w:rsid w:val="00A525B4"/>
    <w:rsid w:val="00A556FD"/>
    <w:rsid w:val="00A57F60"/>
    <w:rsid w:val="00A667A9"/>
    <w:rsid w:val="00A675C0"/>
    <w:rsid w:val="00A745E8"/>
    <w:rsid w:val="00A77E76"/>
    <w:rsid w:val="00A86AB0"/>
    <w:rsid w:val="00A9079B"/>
    <w:rsid w:val="00A949C9"/>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336AC"/>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D4E00"/>
    <w:rsid w:val="00BF0763"/>
    <w:rsid w:val="00BF49D0"/>
    <w:rsid w:val="00C131FA"/>
    <w:rsid w:val="00C14778"/>
    <w:rsid w:val="00C1665C"/>
    <w:rsid w:val="00C166DC"/>
    <w:rsid w:val="00C17F5F"/>
    <w:rsid w:val="00C30E20"/>
    <w:rsid w:val="00C32D5F"/>
    <w:rsid w:val="00C32FAF"/>
    <w:rsid w:val="00C3331B"/>
    <w:rsid w:val="00C338CA"/>
    <w:rsid w:val="00C34AD0"/>
    <w:rsid w:val="00C36A0E"/>
    <w:rsid w:val="00C42D77"/>
    <w:rsid w:val="00C4480F"/>
    <w:rsid w:val="00C52086"/>
    <w:rsid w:val="00C72B25"/>
    <w:rsid w:val="00C90297"/>
    <w:rsid w:val="00C96B0F"/>
    <w:rsid w:val="00CA02A5"/>
    <w:rsid w:val="00CA101B"/>
    <w:rsid w:val="00CA625D"/>
    <w:rsid w:val="00CC46FE"/>
    <w:rsid w:val="00D06D3B"/>
    <w:rsid w:val="00D10AB8"/>
    <w:rsid w:val="00D1314C"/>
    <w:rsid w:val="00D16F1E"/>
    <w:rsid w:val="00D17A65"/>
    <w:rsid w:val="00D20155"/>
    <w:rsid w:val="00D22E0D"/>
    <w:rsid w:val="00D25CA7"/>
    <w:rsid w:val="00D27F89"/>
    <w:rsid w:val="00D437B0"/>
    <w:rsid w:val="00D4438A"/>
    <w:rsid w:val="00D6774B"/>
    <w:rsid w:val="00D73E98"/>
    <w:rsid w:val="00D8265B"/>
    <w:rsid w:val="00D838B9"/>
    <w:rsid w:val="00D86D0B"/>
    <w:rsid w:val="00D91377"/>
    <w:rsid w:val="00D94092"/>
    <w:rsid w:val="00DB42EB"/>
    <w:rsid w:val="00DC4D7A"/>
    <w:rsid w:val="00DD76A5"/>
    <w:rsid w:val="00E03F45"/>
    <w:rsid w:val="00E14A1A"/>
    <w:rsid w:val="00E16D22"/>
    <w:rsid w:val="00E249FF"/>
    <w:rsid w:val="00E30BF5"/>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218E"/>
    <w:rsid w:val="00F645B8"/>
    <w:rsid w:val="00F76F0F"/>
    <w:rsid w:val="00F77707"/>
    <w:rsid w:val="00F86802"/>
    <w:rsid w:val="00F87C02"/>
    <w:rsid w:val="00F91C14"/>
    <w:rsid w:val="00F92773"/>
    <w:rsid w:val="00F92BEA"/>
    <w:rsid w:val="00F973FF"/>
    <w:rsid w:val="00FB0A78"/>
    <w:rsid w:val="00FB27D3"/>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05493-957D-41CD-8A1A-54459B27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A922-7B0C-459F-9DC7-8D87BF72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33</cp:revision>
  <cp:lastPrinted>2019-04-05T19:19:00Z</cp:lastPrinted>
  <dcterms:created xsi:type="dcterms:W3CDTF">2019-04-12T01:57:00Z</dcterms:created>
  <dcterms:modified xsi:type="dcterms:W3CDTF">2019-07-01T18:38:00Z</dcterms:modified>
</cp:coreProperties>
</file>