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95" w:rsidRDefault="00340295" w:rsidP="0034029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340295" w:rsidRDefault="00340295" w:rsidP="0034029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038/2019</w:t>
      </w:r>
    </w:p>
    <w:p w:rsidR="00340295" w:rsidRDefault="00340295" w:rsidP="0034029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0393/2016 PRIMERA SALA UNITARIA DE PRIMERA INSTANCIA</w:t>
      </w:r>
    </w:p>
    <w:p w:rsidR="00340295" w:rsidRDefault="00340295" w:rsidP="00340295">
      <w:pPr>
        <w:spacing w:line="240" w:lineRule="auto"/>
        <w:ind w:left="2124"/>
        <w:jc w:val="both"/>
        <w:rPr>
          <w:rFonts w:ascii="Arial" w:hAnsi="Arial" w:cs="Arial"/>
          <w:b/>
          <w:sz w:val="26"/>
          <w:szCs w:val="26"/>
        </w:rPr>
      </w:pPr>
      <w:r>
        <w:rPr>
          <w:rFonts w:ascii="Arial" w:hAnsi="Arial" w:cs="Arial"/>
          <w:b/>
          <w:sz w:val="26"/>
          <w:szCs w:val="26"/>
        </w:rPr>
        <w:t>PONENTE: MAGISTRADA  MARIA ELENA VILLA DE JARQUIN.</w:t>
      </w:r>
    </w:p>
    <w:p w:rsidR="00340295" w:rsidRDefault="00340295" w:rsidP="00340295">
      <w:pPr>
        <w:spacing w:line="240" w:lineRule="auto"/>
        <w:ind w:left="2124"/>
        <w:jc w:val="both"/>
        <w:rPr>
          <w:rFonts w:ascii="Arial" w:hAnsi="Arial" w:cs="Arial"/>
          <w:b/>
          <w:sz w:val="26"/>
          <w:szCs w:val="26"/>
        </w:rPr>
      </w:pPr>
    </w:p>
    <w:p w:rsidR="00340295" w:rsidRDefault="00340295" w:rsidP="00340295">
      <w:pPr>
        <w:spacing w:before="240" w:line="360" w:lineRule="auto"/>
        <w:jc w:val="both"/>
        <w:rPr>
          <w:rFonts w:ascii="Arial" w:hAnsi="Arial" w:cs="Arial"/>
          <w:b/>
          <w:sz w:val="26"/>
          <w:szCs w:val="26"/>
        </w:rPr>
      </w:pPr>
      <w:r>
        <w:rPr>
          <w:rFonts w:ascii="Arial" w:hAnsi="Arial" w:cs="Arial"/>
          <w:b/>
          <w:sz w:val="26"/>
          <w:szCs w:val="26"/>
        </w:rPr>
        <w:t>OAXACA DE JUÁREZ, OAXACA, VEINTE DE JUNIO DE DOS MIL DIECINUEVE.</w:t>
      </w:r>
    </w:p>
    <w:p w:rsidR="00340295" w:rsidRDefault="00340295" w:rsidP="00340295">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38</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4B2B7D">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en contra de la parte relativa del auto</w:t>
      </w:r>
      <w:r w:rsidR="00730CD1">
        <w:rPr>
          <w:rFonts w:ascii="Arial" w:hAnsi="Arial" w:cs="Arial"/>
          <w:sz w:val="26"/>
          <w:szCs w:val="26"/>
        </w:rPr>
        <w:t xml:space="preserve"> de 06 seis de diciembre de 2018</w:t>
      </w:r>
      <w:r>
        <w:rPr>
          <w:rFonts w:ascii="Arial" w:hAnsi="Arial" w:cs="Arial"/>
          <w:sz w:val="26"/>
          <w:szCs w:val="26"/>
        </w:rPr>
        <w:t xml:space="preserve"> dos mil dieci</w:t>
      </w:r>
      <w:r w:rsidR="00730CD1">
        <w:rPr>
          <w:rFonts w:ascii="Arial" w:hAnsi="Arial" w:cs="Arial"/>
          <w:sz w:val="26"/>
          <w:szCs w:val="26"/>
        </w:rPr>
        <w:t>ocho</w:t>
      </w:r>
      <w:r>
        <w:rPr>
          <w:rFonts w:ascii="Arial" w:hAnsi="Arial" w:cs="Arial"/>
          <w:sz w:val="26"/>
          <w:szCs w:val="26"/>
        </w:rPr>
        <w:t xml:space="preserve">, dictado en el expediente </w:t>
      </w:r>
      <w:r>
        <w:rPr>
          <w:rFonts w:ascii="Arial" w:hAnsi="Arial" w:cs="Arial"/>
          <w:b/>
          <w:sz w:val="26"/>
          <w:szCs w:val="26"/>
        </w:rPr>
        <w:t>0393</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Primera Sala Unitaria de Primera Instancia, relativo al juicio de nulidad promovido por el </w:t>
      </w:r>
      <w:r w:rsidRPr="008E133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aplicable por ser la que se encuentra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340295" w:rsidRDefault="00340295" w:rsidP="00340295">
      <w:pPr>
        <w:spacing w:line="360" w:lineRule="auto"/>
        <w:jc w:val="center"/>
        <w:rPr>
          <w:rFonts w:ascii="Arial" w:hAnsi="Arial" w:cs="Arial"/>
          <w:b/>
          <w:bCs/>
          <w:sz w:val="26"/>
          <w:szCs w:val="26"/>
        </w:rPr>
      </w:pPr>
      <w:r>
        <w:rPr>
          <w:rFonts w:ascii="Arial" w:hAnsi="Arial" w:cs="Arial"/>
          <w:b/>
          <w:bCs/>
          <w:sz w:val="26"/>
          <w:szCs w:val="26"/>
        </w:rPr>
        <w:t>R E S U L T A N D O</w:t>
      </w:r>
    </w:p>
    <w:p w:rsidR="00340295" w:rsidRDefault="00340295" w:rsidP="00340295">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la parte relativa del acuerdo de 06 seis de diciembre de 201</w:t>
      </w:r>
      <w:r w:rsidR="00730CD1">
        <w:rPr>
          <w:rFonts w:ascii="Arial" w:hAnsi="Arial" w:cs="Arial"/>
          <w:sz w:val="26"/>
          <w:szCs w:val="26"/>
        </w:rPr>
        <w:t>8 dos mil dieciocho</w:t>
      </w:r>
      <w:r>
        <w:rPr>
          <w:rFonts w:ascii="Arial" w:hAnsi="Arial" w:cs="Arial"/>
          <w:sz w:val="26"/>
          <w:szCs w:val="26"/>
        </w:rPr>
        <w:t xml:space="preserve">, dictado por la Primera Sala Unitaria de Primera Instancia, </w:t>
      </w:r>
      <w:r w:rsidR="004B2B7D">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340295" w:rsidRDefault="00340295" w:rsidP="00340295">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la siguiente:</w:t>
      </w:r>
    </w:p>
    <w:p w:rsidR="00340295" w:rsidRPr="00496E28" w:rsidRDefault="00340295" w:rsidP="00340295">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Pr>
          <w:rFonts w:ascii="Arial" w:eastAsia="Calibri" w:hAnsi="Arial" w:cs="Arial"/>
          <w:bCs/>
          <w:i/>
          <w:color w:val="000000" w:themeColor="text1"/>
          <w:sz w:val="24"/>
          <w:szCs w:val="24"/>
        </w:rPr>
        <w:t xml:space="preserve">Se da cuenta con el escrito del actor </w:t>
      </w:r>
      <w:r w:rsidR="004B2B7D">
        <w:rPr>
          <w:rFonts w:ascii="Arial" w:eastAsia="Calibri" w:hAnsi="Arial" w:cs="Arial"/>
          <w:bCs/>
          <w:i/>
          <w:color w:val="000000" w:themeColor="text1"/>
          <w:sz w:val="24"/>
          <w:szCs w:val="24"/>
        </w:rPr>
        <w:t>**********</w:t>
      </w:r>
      <w:r>
        <w:rPr>
          <w:rFonts w:ascii="Arial" w:eastAsia="Calibri" w:hAnsi="Arial" w:cs="Arial"/>
          <w:bCs/>
          <w:i/>
          <w:color w:val="000000" w:themeColor="text1"/>
          <w:sz w:val="24"/>
          <w:szCs w:val="24"/>
        </w:rPr>
        <w:t xml:space="preserve">, fechado y recibido el veintinueve de noviembre del presente año, con el mismo solicita se le tenga interponiendo recurso de queja en contra del acuerdo de siete de noviembre de dos mil dieciocho por las razones que expone, ahora bien, en atención a su contenido y a lo previsto por el articulo 202 de la Ley de Justicia Administrativa para el Estado de Oaxaca, </w:t>
      </w:r>
      <w:r>
        <w:rPr>
          <w:rFonts w:ascii="Arial" w:eastAsia="Calibri" w:hAnsi="Arial" w:cs="Arial"/>
          <w:b/>
          <w:bCs/>
          <w:i/>
          <w:color w:val="000000" w:themeColor="text1"/>
          <w:sz w:val="24"/>
          <w:szCs w:val="24"/>
        </w:rPr>
        <w:t xml:space="preserve">dígasele que no ha lugar a tenerle interponiendo recurso </w:t>
      </w:r>
      <w:r>
        <w:rPr>
          <w:rFonts w:ascii="Arial" w:eastAsia="Calibri" w:hAnsi="Arial" w:cs="Arial"/>
          <w:b/>
          <w:bCs/>
          <w:i/>
          <w:color w:val="000000" w:themeColor="text1"/>
          <w:sz w:val="24"/>
          <w:szCs w:val="24"/>
        </w:rPr>
        <w:lastRenderedPageBreak/>
        <w:t xml:space="preserve">de queja </w:t>
      </w:r>
      <w:r>
        <w:rPr>
          <w:rFonts w:ascii="Arial" w:eastAsia="Calibri" w:hAnsi="Arial" w:cs="Arial"/>
          <w:bCs/>
          <w:i/>
          <w:color w:val="000000" w:themeColor="text1"/>
          <w:sz w:val="24"/>
          <w:szCs w:val="24"/>
        </w:rPr>
        <w:t>en contra del auto antes aludido en el cual se tuvo por cumplidas las sentencias de primera y segunda instancia, toman en consideración que el auto que pretende combatir por ese medio no se ajusta en ninguno de los dos supuestos previstos por el numeral antes invocado. …”</w:t>
      </w:r>
    </w:p>
    <w:p w:rsidR="00340295" w:rsidRPr="00126E20" w:rsidRDefault="00340295" w:rsidP="00340295">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340295" w:rsidRPr="00CB6405" w:rsidRDefault="00340295" w:rsidP="00340295">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DB04B5">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 </w:t>
      </w:r>
      <w:r w:rsidRPr="006E5697">
        <w:rPr>
          <w:rFonts w:ascii="Arial" w:hAnsi="Arial" w:cs="Arial"/>
          <w:bCs/>
          <w:iCs/>
          <w:sz w:val="26"/>
          <w:szCs w:val="26"/>
        </w:rPr>
        <w:t xml:space="preserve">dado que se trata de un juicio iniciado el </w:t>
      </w:r>
      <w:r>
        <w:rPr>
          <w:rFonts w:ascii="Arial" w:hAnsi="Arial" w:cs="Arial"/>
          <w:bCs/>
          <w:iCs/>
          <w:sz w:val="26"/>
          <w:szCs w:val="26"/>
        </w:rPr>
        <w:t xml:space="preserve">15 quince de marzo de 2016 dos mil dieciséis, </w:t>
      </w:r>
      <w:r w:rsidR="00F14A2B">
        <w:rPr>
          <w:rFonts w:ascii="Arial" w:hAnsi="Arial" w:cs="Arial"/>
          <w:bCs/>
          <w:iCs/>
          <w:sz w:val="26"/>
          <w:szCs w:val="26"/>
        </w:rPr>
        <w:t xml:space="preserve">y en contra del acuerdo de 06 seis de diciembre de 2018 dos mil dieciocho, dictado </w:t>
      </w:r>
      <w:r w:rsidRPr="00DB04B5">
        <w:rPr>
          <w:rFonts w:ascii="Arial" w:hAnsi="Arial" w:cs="Arial"/>
          <w:bCs/>
          <w:iCs/>
          <w:sz w:val="26"/>
          <w:szCs w:val="26"/>
        </w:rPr>
        <w:t xml:space="preserve">en el expediente </w:t>
      </w:r>
      <w:r>
        <w:rPr>
          <w:rFonts w:ascii="Arial" w:hAnsi="Arial" w:cs="Arial"/>
          <w:b/>
          <w:bCs/>
          <w:iCs/>
          <w:sz w:val="26"/>
          <w:szCs w:val="26"/>
        </w:rPr>
        <w:t>393</w:t>
      </w:r>
      <w:r w:rsidRPr="00DB04B5">
        <w:rPr>
          <w:rFonts w:ascii="Arial" w:hAnsi="Arial" w:cs="Arial"/>
          <w:b/>
          <w:bCs/>
          <w:iCs/>
          <w:sz w:val="26"/>
          <w:szCs w:val="26"/>
        </w:rPr>
        <w:t>/201</w:t>
      </w:r>
      <w:r>
        <w:rPr>
          <w:rFonts w:ascii="Arial" w:hAnsi="Arial" w:cs="Arial"/>
          <w:b/>
          <w:bCs/>
          <w:iCs/>
          <w:sz w:val="26"/>
          <w:szCs w:val="26"/>
        </w:rPr>
        <w:t>6</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Pr>
          <w:rFonts w:ascii="Arial" w:hAnsi="Arial" w:cs="Arial"/>
          <w:bCs/>
          <w:iCs/>
          <w:sz w:val="26"/>
          <w:szCs w:val="26"/>
        </w:rPr>
        <w:t xml:space="preserve">Primera </w:t>
      </w:r>
      <w:r w:rsidRPr="00DB04B5">
        <w:rPr>
          <w:rFonts w:ascii="Arial" w:hAnsi="Arial" w:cs="Arial"/>
          <w:bCs/>
          <w:iCs/>
          <w:sz w:val="26"/>
          <w:szCs w:val="26"/>
        </w:rPr>
        <w:t>Sala Unitaria de Primera Instancia.</w:t>
      </w:r>
    </w:p>
    <w:p w:rsidR="00340295" w:rsidRDefault="00340295" w:rsidP="00340295">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 la parte relativa del acuerdo de 06 seis de diciembre de 2018 dos mil dieciocho, en el que la Primera Instancia, determinó no ha lugar a tenerlo interponiendo recurso de queja.</w:t>
      </w:r>
    </w:p>
    <w:p w:rsidR="00340295" w:rsidRDefault="00340295" w:rsidP="00340295">
      <w:pPr>
        <w:spacing w:before="240" w:line="360" w:lineRule="auto"/>
        <w:ind w:firstLine="708"/>
        <w:jc w:val="both"/>
        <w:rPr>
          <w:rFonts w:ascii="Arial" w:hAnsi="Arial" w:cs="Arial"/>
          <w:sz w:val="26"/>
          <w:szCs w:val="26"/>
        </w:rPr>
      </w:pPr>
      <w:r>
        <w:rPr>
          <w:rFonts w:ascii="Arial" w:hAnsi="Arial" w:cs="Arial"/>
          <w:sz w:val="26"/>
          <w:szCs w:val="26"/>
        </w:rPr>
        <w:t>El artículo 206 de la Ley de Justicia Administrativa para el Estado de Oaxaca, establece:</w:t>
      </w:r>
    </w:p>
    <w:p w:rsidR="00340295" w:rsidRPr="00852732" w:rsidRDefault="00340295" w:rsidP="00340295">
      <w:pPr>
        <w:spacing w:after="0"/>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340295" w:rsidRPr="00852732" w:rsidRDefault="00340295" w:rsidP="00340295">
      <w:pPr>
        <w:spacing w:after="0"/>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340295" w:rsidRPr="00852732" w:rsidRDefault="00340295" w:rsidP="00340295">
      <w:pPr>
        <w:spacing w:after="0"/>
        <w:ind w:left="851" w:right="778"/>
        <w:jc w:val="both"/>
        <w:rPr>
          <w:rFonts w:ascii="Arial" w:hAnsi="Arial" w:cs="Arial"/>
          <w:i/>
          <w:sz w:val="24"/>
          <w:szCs w:val="24"/>
          <w:lang w:val="es-MX"/>
        </w:rPr>
      </w:pPr>
      <w:r w:rsidRPr="00852732">
        <w:rPr>
          <w:rFonts w:ascii="Arial" w:hAnsi="Arial" w:cs="Arial"/>
          <w:i/>
          <w:sz w:val="24"/>
          <w:szCs w:val="24"/>
          <w:lang w:val="es-MX"/>
        </w:rPr>
        <w:t xml:space="preserve">VII. Las sentencias que decidan la cuestión planteada. Por violaciones cometidas durante el procedimiento del juicio, </w:t>
      </w:r>
      <w:r w:rsidRPr="00852732">
        <w:rPr>
          <w:rFonts w:ascii="Arial" w:hAnsi="Arial" w:cs="Arial"/>
          <w:i/>
          <w:sz w:val="24"/>
          <w:szCs w:val="24"/>
          <w:lang w:val="es-MX"/>
        </w:rPr>
        <w:lastRenderedPageBreak/>
        <w:t>cuando hayan dejado sin defensa al recurrente y trasciendan al sentido de la sentencia; y</w:t>
      </w:r>
    </w:p>
    <w:p w:rsidR="00340295" w:rsidRDefault="00340295" w:rsidP="00340295">
      <w:pPr>
        <w:spacing w:after="0"/>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340295" w:rsidRDefault="00340295" w:rsidP="00340295">
      <w:pPr>
        <w:spacing w:after="0"/>
        <w:ind w:left="851" w:right="778"/>
        <w:jc w:val="both"/>
        <w:rPr>
          <w:rFonts w:ascii="Arial" w:hAnsi="Arial" w:cs="Arial"/>
          <w:sz w:val="24"/>
          <w:szCs w:val="24"/>
          <w:lang w:val="es-MX"/>
        </w:rPr>
      </w:pPr>
    </w:p>
    <w:p w:rsidR="00340295" w:rsidRDefault="00340295" w:rsidP="00340295">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consistente en la inadmisión de recurso de queja interpuesto</w:t>
      </w:r>
      <w:r>
        <w:rPr>
          <w:rFonts w:ascii="Arial" w:hAnsi="Arial" w:cs="Arial"/>
          <w:color w:val="000000"/>
          <w:sz w:val="26"/>
          <w:szCs w:val="26"/>
        </w:rPr>
        <w:t xml:space="preserve">; </w:t>
      </w:r>
      <w:r>
        <w:rPr>
          <w:rFonts w:ascii="Arial" w:hAnsi="Arial" w:cs="Arial"/>
          <w:bCs/>
          <w:sz w:val="26"/>
          <w:szCs w:val="26"/>
        </w:rPr>
        <w:t>no encuadra en ninguna de las hipótesis previstas en el mencionado artículo para su revisión en esta instancia.</w:t>
      </w:r>
    </w:p>
    <w:p w:rsidR="00340295" w:rsidRDefault="00340295" w:rsidP="00340295">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Justicia Administrativa para el Estado de Oaxaca,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4B2B7D">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parte relativa del acuerdo de 06 seis de diciembre de 2018 dos mil diecinueve. </w:t>
      </w:r>
    </w:p>
    <w:p w:rsidR="00340295" w:rsidRDefault="00340295" w:rsidP="00340295">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vigente al inicio del juicio natural, se:</w:t>
      </w:r>
    </w:p>
    <w:p w:rsidR="00340295" w:rsidRDefault="00340295" w:rsidP="00340295">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340295" w:rsidRDefault="00340295" w:rsidP="00340295">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340295" w:rsidRPr="00EA4306" w:rsidRDefault="00340295" w:rsidP="00340295">
      <w:pPr>
        <w:spacing w:before="240" w:line="360" w:lineRule="auto"/>
        <w:ind w:firstLine="708"/>
        <w:jc w:val="both"/>
        <w:rPr>
          <w:rFonts w:ascii="Arial" w:hAnsi="Arial" w:cs="Arial"/>
          <w:b/>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350EAC" w:rsidRPr="00F86E9C" w:rsidRDefault="00350EAC" w:rsidP="00350EAC">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535D87">
        <w:rPr>
          <w:rFonts w:ascii="Arial" w:hAnsi="Arial" w:cs="Arial"/>
          <w:sz w:val="26"/>
          <w:szCs w:val="26"/>
        </w:rPr>
        <w:t xml:space="preserve"> Integrantes de Sala Superior del Tribunal de Justicia Administrativa para el Estado de Oaxaca</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415592" w:rsidRDefault="00350EAC" w:rsidP="00350EAC">
      <w:pPr>
        <w:rPr>
          <w:rFonts w:ascii="Arial" w:hAnsi="Arial" w:cs="Arial"/>
          <w:sz w:val="20"/>
          <w:szCs w:val="20"/>
        </w:rPr>
      </w:pPr>
      <w:r>
        <w:rPr>
          <w:rFonts w:ascii="Arial" w:hAnsi="Arial" w:cs="Arial"/>
          <w:sz w:val="20"/>
          <w:szCs w:val="20"/>
        </w:rPr>
        <w:t xml:space="preserve">                            </w:t>
      </w:r>
    </w:p>
    <w:p w:rsidR="00535D87" w:rsidRDefault="00535D87"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415592" w:rsidRDefault="00415592" w:rsidP="00350EAC">
      <w:pPr>
        <w:jc w:val="center"/>
        <w:rPr>
          <w:rFonts w:ascii="Arial" w:hAnsi="Arial" w:cs="Arial"/>
          <w:sz w:val="26"/>
          <w:szCs w:val="26"/>
        </w:rPr>
      </w:pPr>
    </w:p>
    <w:p w:rsidR="00535D87" w:rsidRPr="00730CD1" w:rsidRDefault="00730CD1" w:rsidP="00350EAC">
      <w:pPr>
        <w:jc w:val="center"/>
        <w:rPr>
          <w:rFonts w:ascii="Arial" w:hAnsi="Arial" w:cs="Arial"/>
          <w:b/>
          <w:sz w:val="14"/>
          <w:szCs w:val="26"/>
        </w:rPr>
      </w:pPr>
      <w:r w:rsidRPr="00730CD1">
        <w:rPr>
          <w:rFonts w:ascii="Arial" w:hAnsi="Arial" w:cs="Arial"/>
          <w:b/>
          <w:sz w:val="14"/>
          <w:szCs w:val="26"/>
        </w:rPr>
        <w:t>LAS PRESENTES FIRMAS CORRESPONDEN AL RECURSO DE REVISIÓN 38/2019</w:t>
      </w:r>
    </w:p>
    <w:p w:rsidR="00730CD1" w:rsidRDefault="00730CD1" w:rsidP="00535D87">
      <w:pPr>
        <w:tabs>
          <w:tab w:val="left" w:pos="1680"/>
          <w:tab w:val="center" w:pos="4277"/>
        </w:tabs>
        <w:spacing w:line="360" w:lineRule="auto"/>
        <w:jc w:val="center"/>
        <w:rPr>
          <w:rFonts w:ascii="Arial" w:hAnsi="Arial" w:cs="Arial"/>
          <w:sz w:val="26"/>
          <w:szCs w:val="26"/>
        </w:rPr>
      </w:pPr>
    </w:p>
    <w:p w:rsidR="00730CD1" w:rsidRDefault="00730CD1" w:rsidP="00535D87">
      <w:pPr>
        <w:tabs>
          <w:tab w:val="left" w:pos="1680"/>
          <w:tab w:val="center" w:pos="4277"/>
        </w:tabs>
        <w:spacing w:line="360" w:lineRule="auto"/>
        <w:jc w:val="center"/>
        <w:rPr>
          <w:rFonts w:ascii="Arial" w:hAnsi="Arial" w:cs="Arial"/>
          <w:sz w:val="26"/>
          <w:szCs w:val="26"/>
        </w:rPr>
      </w:pPr>
    </w:p>
    <w:p w:rsidR="00730CD1" w:rsidRDefault="00730CD1" w:rsidP="00535D87">
      <w:pPr>
        <w:tabs>
          <w:tab w:val="left" w:pos="1680"/>
          <w:tab w:val="center" w:pos="4277"/>
        </w:tabs>
        <w:spacing w:line="360" w:lineRule="auto"/>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535D87" w:rsidRDefault="00535D87" w:rsidP="00535D87">
      <w:pPr>
        <w:tabs>
          <w:tab w:val="left" w:pos="1680"/>
          <w:tab w:val="center" w:pos="4277"/>
        </w:tabs>
        <w:spacing w:line="360" w:lineRule="auto"/>
        <w:jc w:val="center"/>
        <w:rPr>
          <w:rFonts w:ascii="Arial" w:hAnsi="Arial" w:cs="Arial"/>
          <w:sz w:val="26"/>
          <w:szCs w:val="26"/>
        </w:rPr>
      </w:pPr>
    </w:p>
    <w:p w:rsidR="00415592" w:rsidRDefault="00415592" w:rsidP="00535D87">
      <w:pPr>
        <w:tabs>
          <w:tab w:val="left" w:pos="1680"/>
          <w:tab w:val="center" w:pos="4277"/>
        </w:tabs>
        <w:spacing w:line="360" w:lineRule="auto"/>
        <w:jc w:val="center"/>
        <w:rPr>
          <w:rFonts w:ascii="Arial" w:hAnsi="Arial" w:cs="Arial"/>
          <w:sz w:val="26"/>
          <w:szCs w:val="26"/>
        </w:rPr>
      </w:pPr>
    </w:p>
    <w:p w:rsidR="00730CD1" w:rsidRPr="00CE5C32" w:rsidRDefault="00730CD1" w:rsidP="00535D87">
      <w:pPr>
        <w:tabs>
          <w:tab w:val="left" w:pos="1680"/>
          <w:tab w:val="center" w:pos="4277"/>
        </w:tabs>
        <w:spacing w:line="360" w:lineRule="auto"/>
        <w:jc w:val="center"/>
        <w:rPr>
          <w:rFonts w:ascii="Arial" w:hAnsi="Arial" w:cs="Arial"/>
          <w:sz w:val="26"/>
          <w:szCs w:val="26"/>
        </w:rPr>
      </w:pPr>
    </w:p>
    <w:p w:rsidR="00535D87" w:rsidRDefault="00535D87" w:rsidP="00535D87">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535D87" w:rsidRDefault="00535D87" w:rsidP="00535D87">
      <w:pPr>
        <w:spacing w:line="360" w:lineRule="auto"/>
        <w:jc w:val="center"/>
        <w:rPr>
          <w:rFonts w:ascii="Arial" w:hAnsi="Arial" w:cs="Arial"/>
          <w:sz w:val="26"/>
          <w:szCs w:val="26"/>
        </w:rPr>
      </w:pPr>
    </w:p>
    <w:p w:rsidR="00730CD1" w:rsidRDefault="00730CD1" w:rsidP="00535D87">
      <w:pPr>
        <w:spacing w:line="360" w:lineRule="auto"/>
        <w:jc w:val="center"/>
        <w:rPr>
          <w:rFonts w:ascii="Arial" w:hAnsi="Arial" w:cs="Arial"/>
          <w:sz w:val="26"/>
          <w:szCs w:val="26"/>
        </w:rPr>
      </w:pPr>
    </w:p>
    <w:p w:rsidR="00415592" w:rsidRPr="00CE5C32" w:rsidRDefault="00415592"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730CD1" w:rsidRDefault="00730CD1"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415592" w:rsidRDefault="00415592" w:rsidP="00350EAC">
      <w:pPr>
        <w:spacing w:line="360" w:lineRule="auto"/>
        <w:jc w:val="center"/>
        <w:rPr>
          <w:rFonts w:ascii="Arial" w:hAnsi="Arial" w:cs="Arial"/>
          <w:sz w:val="26"/>
          <w:szCs w:val="26"/>
        </w:rPr>
      </w:pPr>
    </w:p>
    <w:p w:rsidR="00730CD1" w:rsidRDefault="00730CD1" w:rsidP="00350EAC">
      <w:pPr>
        <w:spacing w:line="360" w:lineRule="auto"/>
        <w:jc w:val="center"/>
        <w:rPr>
          <w:rFonts w:ascii="Arial" w:hAnsi="Arial" w:cs="Arial"/>
          <w:sz w:val="26"/>
          <w:szCs w:val="26"/>
        </w:rPr>
      </w:pPr>
    </w:p>
    <w:p w:rsidR="00730CD1" w:rsidRDefault="00730CD1"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7C" w:rsidRDefault="001F6B7C">
      <w:pPr>
        <w:spacing w:after="0" w:line="240" w:lineRule="auto"/>
      </w:pPr>
      <w:r>
        <w:separator/>
      </w:r>
    </w:p>
  </w:endnote>
  <w:endnote w:type="continuationSeparator" w:id="0">
    <w:p w:rsidR="001F6B7C" w:rsidRDefault="001F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A" w:rsidRDefault="000B4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A" w:rsidRDefault="000B4D5A">
    <w:pPr>
      <w:pStyle w:val="Piedepgina"/>
    </w:pPr>
    <w:r>
      <w:rPr>
        <w:noProof/>
        <w:lang w:val="es-MX" w:eastAsia="es-MX"/>
      </w:rPr>
      <w:drawing>
        <wp:anchor distT="0" distB="0" distL="114300" distR="114300" simplePos="0" relativeHeight="251672064" behindDoc="0" locked="0" layoutInCell="1" allowOverlap="1" wp14:anchorId="2F235DCA" wp14:editId="7AD1D423">
          <wp:simplePos x="0" y="0"/>
          <wp:positionH relativeFrom="column">
            <wp:posOffset>-1205865</wp:posOffset>
          </wp:positionH>
          <wp:positionV relativeFrom="paragraph">
            <wp:posOffset>-5098415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A" w:rsidRDefault="000B4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7C" w:rsidRDefault="001F6B7C">
      <w:pPr>
        <w:spacing w:after="0" w:line="240" w:lineRule="auto"/>
      </w:pPr>
      <w:r>
        <w:separator/>
      </w:r>
    </w:p>
  </w:footnote>
  <w:footnote w:type="continuationSeparator" w:id="0">
    <w:p w:rsidR="001F6B7C" w:rsidRDefault="001F6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0B4D5A" w:rsidP="00D25099">
        <w:pPr>
          <w:pStyle w:val="Encabezado"/>
          <w:jc w:val="center"/>
        </w:pPr>
        <w:r>
          <w:rPr>
            <w:noProof/>
            <w:lang w:val="es-MX" w:eastAsia="es-MX"/>
          </w:rPr>
          <w:drawing>
            <wp:anchor distT="0" distB="0" distL="114300" distR="114300" simplePos="0" relativeHeight="251670016" behindDoc="0" locked="0" layoutInCell="1" allowOverlap="1" wp14:anchorId="1D3ED825" wp14:editId="0EF6C8AE">
              <wp:simplePos x="0" y="0"/>
              <wp:positionH relativeFrom="column">
                <wp:posOffset>5817870</wp:posOffset>
              </wp:positionH>
              <wp:positionV relativeFrom="paragraph">
                <wp:posOffset>5219065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0B4D5A">
          <w:rPr>
            <w:noProof/>
          </w:rPr>
          <w:t>1</w:t>
        </w:r>
        <w:r>
          <w:rPr>
            <w:noProof/>
          </w:rPr>
          <w:fldChar w:fldCharType="end"/>
        </w:r>
      </w:p>
      <w:p w:rsidR="005145D8" w:rsidRDefault="001F6B7C"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2848" behindDoc="1" locked="0" layoutInCell="1" allowOverlap="1" wp14:anchorId="61DD69D1" wp14:editId="063161DA">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2F83A364" wp14:editId="681FF9D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A" w:rsidRDefault="000B4D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B4D5A"/>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6B7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0295"/>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2B7D"/>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0CD1"/>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692C"/>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175E2"/>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352"/>
    <w:rsid w:val="00EE695C"/>
    <w:rsid w:val="00EF1A56"/>
    <w:rsid w:val="00F02180"/>
    <w:rsid w:val="00F02DE0"/>
    <w:rsid w:val="00F0376A"/>
    <w:rsid w:val="00F053FC"/>
    <w:rsid w:val="00F06CB3"/>
    <w:rsid w:val="00F079CC"/>
    <w:rsid w:val="00F07FC2"/>
    <w:rsid w:val="00F11375"/>
    <w:rsid w:val="00F123A4"/>
    <w:rsid w:val="00F14A2B"/>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61AD5-616D-4468-B032-971A38C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2AAE-5EEF-4716-B68B-FF09845C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251</cp:revision>
  <cp:lastPrinted>2019-06-24T16:08:00Z</cp:lastPrinted>
  <dcterms:created xsi:type="dcterms:W3CDTF">2017-09-05T18:57:00Z</dcterms:created>
  <dcterms:modified xsi:type="dcterms:W3CDTF">2019-07-03T19:11:00Z</dcterms:modified>
</cp:coreProperties>
</file>