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81" w:type="dxa"/>
        <w:tblLayout w:type="fixed"/>
        <w:tblCellMar>
          <w:left w:w="70" w:type="dxa"/>
          <w:right w:w="70" w:type="dxa"/>
        </w:tblCellMar>
        <w:tblLook w:val="0000" w:firstRow="0" w:lastRow="0" w:firstColumn="0" w:lastColumn="0" w:noHBand="0" w:noVBand="0"/>
      </w:tblPr>
      <w:tblGrid>
        <w:gridCol w:w="781"/>
        <w:gridCol w:w="2142"/>
        <w:gridCol w:w="7214"/>
        <w:gridCol w:w="212"/>
      </w:tblGrid>
      <w:tr w:rsidR="00653081" w:rsidRPr="00B668BB" w:rsidTr="00077056">
        <w:trPr>
          <w:gridAfter w:val="1"/>
          <w:wAfter w:w="212" w:type="dxa"/>
        </w:trPr>
        <w:tc>
          <w:tcPr>
            <w:tcW w:w="781" w:type="dxa"/>
          </w:tcPr>
          <w:p w:rsidR="00653081" w:rsidRPr="00B668BB" w:rsidRDefault="00653081" w:rsidP="005B3D2C">
            <w:pPr>
              <w:spacing w:after="0" w:line="240" w:lineRule="auto"/>
              <w:rPr>
                <w:rFonts w:ascii="Arial" w:hAnsi="Arial" w:cs="Arial"/>
                <w:b/>
                <w:sz w:val="26"/>
                <w:szCs w:val="26"/>
              </w:rPr>
            </w:pPr>
            <w:bookmarkStart w:id="0" w:name="_GoBack"/>
            <w:bookmarkEnd w:id="0"/>
          </w:p>
        </w:tc>
        <w:tc>
          <w:tcPr>
            <w:tcW w:w="9356" w:type="dxa"/>
            <w:gridSpan w:val="2"/>
          </w:tcPr>
          <w:p w:rsidR="00762959" w:rsidRPr="00B668BB" w:rsidRDefault="00653081" w:rsidP="005B3D2C">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p>
          <w:tbl>
            <w:tblPr>
              <w:tblW w:w="9780" w:type="dxa"/>
              <w:tblLayout w:type="fixed"/>
              <w:tblCellMar>
                <w:left w:w="70" w:type="dxa"/>
                <w:right w:w="70" w:type="dxa"/>
              </w:tblCellMar>
              <w:tblLook w:val="04A0" w:firstRow="1" w:lastRow="0" w:firstColumn="1" w:lastColumn="0" w:noHBand="0" w:noVBand="1"/>
            </w:tblPr>
            <w:tblGrid>
              <w:gridCol w:w="2356"/>
              <w:gridCol w:w="7424"/>
            </w:tblGrid>
            <w:tr w:rsidR="00762959" w:rsidTr="00762959">
              <w:tc>
                <w:tcPr>
                  <w:tcW w:w="2356" w:type="dxa"/>
                </w:tcPr>
                <w:p w:rsidR="00762959" w:rsidRDefault="00762959" w:rsidP="00762959">
                  <w:pPr>
                    <w:spacing w:after="0" w:line="240" w:lineRule="auto"/>
                    <w:rPr>
                      <w:rFonts w:ascii="Arial" w:hAnsi="Arial" w:cs="Arial"/>
                      <w:b/>
                      <w:sz w:val="26"/>
                      <w:szCs w:val="26"/>
                    </w:rPr>
                  </w:pPr>
                </w:p>
              </w:tc>
              <w:tc>
                <w:tcPr>
                  <w:tcW w:w="7426" w:type="dxa"/>
                </w:tcPr>
                <w:p w:rsidR="00762959" w:rsidRDefault="00762959" w:rsidP="00077056">
                  <w:pPr>
                    <w:tabs>
                      <w:tab w:val="left" w:pos="3103"/>
                    </w:tabs>
                    <w:spacing w:after="0" w:line="240" w:lineRule="auto"/>
                    <w:ind w:left="182" w:right="1700" w:hanging="1119"/>
                    <w:jc w:val="both"/>
                    <w:rPr>
                      <w:rFonts w:ascii="Arial" w:hAnsi="Arial" w:cs="Arial"/>
                      <w:b/>
                      <w:iCs/>
                      <w:caps/>
                      <w:sz w:val="26"/>
                      <w:szCs w:val="26"/>
                    </w:rPr>
                  </w:pPr>
                  <w:r>
                    <w:rPr>
                      <w:rFonts w:ascii="Arial" w:hAnsi="Arial" w:cs="Arial"/>
                      <w:b/>
                      <w:i/>
                      <w:iCs/>
                      <w:caps/>
                      <w:sz w:val="26"/>
                      <w:szCs w:val="26"/>
                    </w:rPr>
                    <w:t xml:space="preserve">               </w:t>
                  </w:r>
                  <w:r>
                    <w:rPr>
                      <w:rFonts w:ascii="Arial" w:hAnsi="Arial" w:cs="Arial"/>
                      <w:b/>
                      <w:iCs/>
                      <w:caps/>
                      <w:sz w:val="26"/>
                      <w:szCs w:val="26"/>
                    </w:rPr>
                    <w:t xml:space="preserve">SALA SUPERIOR DEL TRIBUNAL DE </w:t>
                  </w:r>
                  <w:r w:rsidR="00BD4766">
                    <w:rPr>
                      <w:rFonts w:ascii="Arial" w:hAnsi="Arial" w:cs="Arial"/>
                      <w:b/>
                      <w:iCs/>
                      <w:caps/>
                      <w:sz w:val="26"/>
                      <w:szCs w:val="26"/>
                    </w:rPr>
                    <w:t xml:space="preserve">justicia adminsitrativa </w:t>
                  </w:r>
                  <w:r>
                    <w:rPr>
                      <w:rFonts w:ascii="Arial" w:hAnsi="Arial" w:cs="Arial"/>
                      <w:b/>
                      <w:iCs/>
                      <w:caps/>
                      <w:sz w:val="26"/>
                      <w:szCs w:val="26"/>
                    </w:rPr>
                    <w:t>DEL ESTADO de oaxaca.</w:t>
                  </w:r>
                </w:p>
                <w:p w:rsidR="00762959" w:rsidRDefault="00762959" w:rsidP="00077056">
                  <w:pPr>
                    <w:pStyle w:val="Encabezado"/>
                    <w:spacing w:line="276" w:lineRule="auto"/>
                    <w:ind w:left="182" w:right="1700"/>
                    <w:jc w:val="both"/>
                    <w:rPr>
                      <w:rFonts w:ascii="Arial" w:hAnsi="Arial" w:cs="Arial"/>
                      <w:b/>
                      <w:iCs/>
                      <w:caps/>
                      <w:sz w:val="26"/>
                      <w:szCs w:val="26"/>
                      <w:lang w:val="es-PE"/>
                    </w:rPr>
                  </w:pPr>
                  <w:r>
                    <w:rPr>
                      <w:rFonts w:ascii="Arial" w:hAnsi="Arial" w:cs="Arial"/>
                      <w:b/>
                      <w:iCs/>
                      <w:caps/>
                      <w:sz w:val="26"/>
                      <w:szCs w:val="26"/>
                      <w:lang w:val="es-PE"/>
                    </w:rPr>
                    <w:t xml:space="preserve">               </w:t>
                  </w:r>
                </w:p>
                <w:p w:rsidR="00762959" w:rsidRDefault="00762959" w:rsidP="00077056">
                  <w:pPr>
                    <w:pStyle w:val="Encabezado"/>
                    <w:spacing w:line="276" w:lineRule="auto"/>
                    <w:ind w:left="182" w:right="1700"/>
                    <w:jc w:val="both"/>
                    <w:rPr>
                      <w:rFonts w:ascii="Arial" w:hAnsi="Arial" w:cs="Arial"/>
                      <w:b/>
                      <w:iCs/>
                      <w:caps/>
                      <w:sz w:val="26"/>
                      <w:szCs w:val="26"/>
                      <w:lang w:val="es-PE"/>
                    </w:rPr>
                  </w:pPr>
                  <w:r>
                    <w:rPr>
                      <w:rFonts w:ascii="Arial" w:hAnsi="Arial" w:cs="Arial"/>
                      <w:b/>
                      <w:iCs/>
                      <w:caps/>
                      <w:sz w:val="26"/>
                      <w:szCs w:val="26"/>
                      <w:lang w:val="es-PE"/>
                    </w:rPr>
                    <w:t xml:space="preserve">ACLARACIÓN DE SENTENCIA: </w:t>
                  </w:r>
                </w:p>
                <w:p w:rsidR="00762959" w:rsidRDefault="00762959" w:rsidP="00077056">
                  <w:pPr>
                    <w:pStyle w:val="Encabezado"/>
                    <w:spacing w:line="276" w:lineRule="auto"/>
                    <w:ind w:left="182" w:right="1700"/>
                    <w:jc w:val="both"/>
                    <w:rPr>
                      <w:rFonts w:ascii="Arial" w:hAnsi="Arial" w:cs="Arial"/>
                      <w:b/>
                      <w:iCs/>
                      <w:caps/>
                      <w:sz w:val="26"/>
                      <w:szCs w:val="26"/>
                      <w:lang w:val="es-PE"/>
                    </w:rPr>
                  </w:pPr>
                  <w:r>
                    <w:rPr>
                      <w:rFonts w:ascii="Arial" w:hAnsi="Arial" w:cs="Arial"/>
                      <w:b/>
                      <w:iCs/>
                      <w:caps/>
                      <w:sz w:val="26"/>
                      <w:szCs w:val="26"/>
                      <w:lang w:val="es-PE"/>
                    </w:rPr>
                    <w:t xml:space="preserve">RECURSO DE  REVISIÓN </w:t>
                  </w:r>
                  <w:r w:rsidR="00BD4766">
                    <w:rPr>
                      <w:rFonts w:ascii="Arial" w:hAnsi="Arial" w:cs="Arial"/>
                      <w:b/>
                      <w:iCs/>
                      <w:caps/>
                      <w:sz w:val="26"/>
                      <w:szCs w:val="26"/>
                      <w:lang w:val="es-PE"/>
                    </w:rPr>
                    <w:t>354/2018</w:t>
                  </w:r>
                  <w:r>
                    <w:rPr>
                      <w:rFonts w:ascii="Arial" w:hAnsi="Arial" w:cs="Arial"/>
                      <w:b/>
                      <w:iCs/>
                      <w:caps/>
                      <w:sz w:val="26"/>
                      <w:szCs w:val="26"/>
                      <w:lang w:val="es-PE"/>
                    </w:rPr>
                    <w:t xml:space="preserve"> </w:t>
                  </w:r>
                </w:p>
                <w:p w:rsidR="00762959" w:rsidRDefault="00762959" w:rsidP="00077056">
                  <w:pPr>
                    <w:pStyle w:val="Encabezado"/>
                    <w:spacing w:line="276" w:lineRule="auto"/>
                    <w:ind w:left="182" w:right="1700"/>
                    <w:jc w:val="both"/>
                    <w:rPr>
                      <w:rFonts w:ascii="Arial" w:hAnsi="Arial" w:cs="Arial"/>
                      <w:b/>
                      <w:iCs/>
                      <w:caps/>
                      <w:sz w:val="26"/>
                      <w:szCs w:val="26"/>
                      <w:lang w:val="es-PE"/>
                    </w:rPr>
                  </w:pPr>
                </w:p>
                <w:p w:rsidR="00762959" w:rsidRDefault="00762959" w:rsidP="00077056">
                  <w:pPr>
                    <w:pStyle w:val="Encabezado"/>
                    <w:spacing w:line="276" w:lineRule="auto"/>
                    <w:ind w:left="182" w:right="1700" w:hanging="1119"/>
                    <w:jc w:val="both"/>
                    <w:rPr>
                      <w:rFonts w:ascii="Arial" w:hAnsi="Arial" w:cs="Arial"/>
                      <w:b/>
                      <w:iCs/>
                      <w:caps/>
                      <w:sz w:val="26"/>
                      <w:szCs w:val="26"/>
                      <w:lang w:val="es-PE"/>
                    </w:rPr>
                  </w:pPr>
                  <w:r>
                    <w:rPr>
                      <w:rFonts w:ascii="Arial" w:hAnsi="Arial" w:cs="Arial"/>
                      <w:b/>
                      <w:iCs/>
                      <w:caps/>
                      <w:sz w:val="26"/>
                      <w:szCs w:val="26"/>
                    </w:rPr>
                    <w:t xml:space="preserve">             </w:t>
                  </w:r>
                  <w:r w:rsidR="00C52FF3">
                    <w:rPr>
                      <w:rFonts w:ascii="Arial" w:hAnsi="Arial" w:cs="Arial"/>
                      <w:b/>
                      <w:iCs/>
                      <w:caps/>
                      <w:sz w:val="26"/>
                      <w:szCs w:val="26"/>
                    </w:rPr>
                    <w:t xml:space="preserve">  </w:t>
                  </w:r>
                  <w:r>
                    <w:rPr>
                      <w:rFonts w:ascii="Arial" w:hAnsi="Arial" w:cs="Arial"/>
                      <w:b/>
                      <w:iCs/>
                      <w:caps/>
                      <w:sz w:val="26"/>
                      <w:szCs w:val="26"/>
                    </w:rPr>
                    <w:t>EXPEDIENTE:</w:t>
                  </w:r>
                  <w:r>
                    <w:rPr>
                      <w:rFonts w:ascii="Arial" w:hAnsi="Arial" w:cs="Arial"/>
                      <w:b/>
                      <w:iCs/>
                      <w:caps/>
                      <w:sz w:val="26"/>
                      <w:szCs w:val="26"/>
                      <w:lang w:val="es-PE"/>
                    </w:rPr>
                    <w:t xml:space="preserve"> </w:t>
                  </w:r>
                  <w:r w:rsidR="00BD4766">
                    <w:rPr>
                      <w:rFonts w:ascii="Arial" w:hAnsi="Arial" w:cs="Arial"/>
                      <w:b/>
                      <w:iCs/>
                      <w:caps/>
                      <w:sz w:val="26"/>
                      <w:szCs w:val="26"/>
                      <w:lang w:val="es-PE"/>
                    </w:rPr>
                    <w:t>0137/2017</w:t>
                  </w:r>
                  <w:r>
                    <w:rPr>
                      <w:rFonts w:ascii="Arial" w:hAnsi="Arial" w:cs="Arial"/>
                      <w:b/>
                      <w:iCs/>
                      <w:caps/>
                      <w:sz w:val="26"/>
                      <w:szCs w:val="26"/>
                      <w:lang w:val="es-PE"/>
                    </w:rPr>
                    <w:t xml:space="preserve"> de la </w:t>
                  </w:r>
                  <w:r w:rsidR="00BD4766">
                    <w:rPr>
                      <w:rFonts w:ascii="Arial" w:hAnsi="Arial" w:cs="Arial"/>
                      <w:b/>
                      <w:iCs/>
                      <w:caps/>
                      <w:sz w:val="26"/>
                      <w:szCs w:val="26"/>
                      <w:lang w:val="es-PE"/>
                    </w:rPr>
                    <w:t xml:space="preserve">séptima </w:t>
                  </w:r>
                  <w:r>
                    <w:rPr>
                      <w:rFonts w:ascii="Arial" w:hAnsi="Arial" w:cs="Arial"/>
                      <w:b/>
                      <w:iCs/>
                      <w:caps/>
                      <w:sz w:val="26"/>
                      <w:szCs w:val="26"/>
                      <w:lang w:val="es-PE"/>
                    </w:rPr>
                    <w:t>sala unitaria DE PRIMERA INSTANCIA.</w:t>
                  </w:r>
                </w:p>
                <w:p w:rsidR="00762959" w:rsidRDefault="00762959" w:rsidP="00077056">
                  <w:pPr>
                    <w:pStyle w:val="Encabezado"/>
                    <w:spacing w:line="276" w:lineRule="auto"/>
                    <w:ind w:left="182" w:right="1700" w:hanging="1119"/>
                    <w:jc w:val="both"/>
                    <w:rPr>
                      <w:rFonts w:ascii="Arial" w:hAnsi="Arial" w:cs="Arial"/>
                      <w:b/>
                      <w:iCs/>
                      <w:caps/>
                      <w:sz w:val="26"/>
                      <w:szCs w:val="26"/>
                      <w:lang w:val="es-PE"/>
                    </w:rPr>
                  </w:pPr>
                </w:p>
                <w:p w:rsidR="00762959" w:rsidRDefault="00762959" w:rsidP="00077056">
                  <w:pPr>
                    <w:pStyle w:val="Encabezado"/>
                    <w:spacing w:line="276" w:lineRule="auto"/>
                    <w:ind w:left="182" w:right="1700" w:hanging="1134"/>
                    <w:jc w:val="both"/>
                    <w:rPr>
                      <w:rFonts w:ascii="Arial" w:hAnsi="Arial" w:cs="Arial"/>
                      <w:b/>
                      <w:iCs/>
                      <w:caps/>
                      <w:sz w:val="26"/>
                      <w:szCs w:val="26"/>
                      <w:lang w:val="es-PE"/>
                    </w:rPr>
                  </w:pPr>
                  <w:r>
                    <w:rPr>
                      <w:rFonts w:ascii="Arial" w:hAnsi="Arial" w:cs="Arial"/>
                      <w:b/>
                      <w:iCs/>
                      <w:caps/>
                      <w:sz w:val="26"/>
                      <w:szCs w:val="26"/>
                      <w:lang w:val="es-PE"/>
                    </w:rPr>
                    <w:t xml:space="preserve">               ponente: magISTRADo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762959" w:rsidTr="00762959">
              <w:tc>
                <w:tcPr>
                  <w:tcW w:w="2356" w:type="dxa"/>
                </w:tcPr>
                <w:p w:rsidR="00762959" w:rsidRDefault="00762959" w:rsidP="00762959">
                  <w:pPr>
                    <w:spacing w:after="0" w:line="240" w:lineRule="auto"/>
                    <w:rPr>
                      <w:rFonts w:ascii="Arial" w:hAnsi="Arial" w:cs="Arial"/>
                      <w:b/>
                      <w:sz w:val="26"/>
                      <w:szCs w:val="26"/>
                    </w:rPr>
                  </w:pPr>
                </w:p>
              </w:tc>
              <w:tc>
                <w:tcPr>
                  <w:tcW w:w="7426" w:type="dxa"/>
                  <w:hideMark/>
                </w:tcPr>
                <w:p w:rsidR="00762959" w:rsidRDefault="00762959" w:rsidP="00077056">
                  <w:pPr>
                    <w:tabs>
                      <w:tab w:val="left" w:pos="3103"/>
                    </w:tabs>
                    <w:spacing w:after="0" w:line="240" w:lineRule="auto"/>
                    <w:ind w:left="2961" w:right="1700" w:hanging="2961"/>
                    <w:jc w:val="both"/>
                    <w:rPr>
                      <w:rFonts w:ascii="Arial" w:hAnsi="Arial" w:cs="Arial"/>
                      <w:b/>
                      <w:iCs/>
                      <w:caps/>
                      <w:sz w:val="26"/>
                      <w:szCs w:val="26"/>
                    </w:rPr>
                  </w:pPr>
                  <w:r>
                    <w:rPr>
                      <w:rFonts w:ascii="Arial" w:hAnsi="Arial" w:cs="Arial"/>
                      <w:b/>
                      <w:i/>
                      <w:iCs/>
                      <w:caps/>
                      <w:sz w:val="26"/>
                      <w:szCs w:val="26"/>
                    </w:rPr>
                    <w:t xml:space="preserve">                                   </w:t>
                  </w:r>
                </w:p>
              </w:tc>
            </w:tr>
            <w:tr w:rsidR="00762959" w:rsidTr="00762959">
              <w:tc>
                <w:tcPr>
                  <w:tcW w:w="2356" w:type="dxa"/>
                </w:tcPr>
                <w:p w:rsidR="00762959" w:rsidRDefault="00762959" w:rsidP="00762959">
                  <w:pPr>
                    <w:spacing w:after="0" w:line="240" w:lineRule="auto"/>
                    <w:rPr>
                      <w:rFonts w:ascii="Arial" w:hAnsi="Arial" w:cs="Arial"/>
                      <w:b/>
                      <w:sz w:val="26"/>
                      <w:szCs w:val="26"/>
                    </w:rPr>
                  </w:pPr>
                </w:p>
              </w:tc>
              <w:tc>
                <w:tcPr>
                  <w:tcW w:w="7426" w:type="dxa"/>
                </w:tcPr>
                <w:p w:rsidR="00762959" w:rsidRDefault="00762959" w:rsidP="00762959">
                  <w:pPr>
                    <w:tabs>
                      <w:tab w:val="left" w:pos="3103"/>
                    </w:tabs>
                    <w:spacing w:after="0" w:line="240" w:lineRule="auto"/>
                    <w:ind w:left="2961" w:hanging="2961"/>
                    <w:jc w:val="both"/>
                    <w:rPr>
                      <w:rFonts w:ascii="Arial" w:hAnsi="Arial" w:cs="Arial"/>
                      <w:b/>
                      <w:i/>
                      <w:iCs/>
                      <w:caps/>
                      <w:sz w:val="26"/>
                      <w:szCs w:val="26"/>
                    </w:rPr>
                  </w:pPr>
                </w:p>
              </w:tc>
            </w:tr>
          </w:tbl>
          <w:p w:rsidR="00762959" w:rsidRDefault="00762959" w:rsidP="00E64B07">
            <w:pPr>
              <w:pStyle w:val="corte4fondo"/>
              <w:ind w:right="922" w:firstLine="0"/>
              <w:rPr>
                <w:rFonts w:cs="Arial"/>
                <w:sz w:val="26"/>
                <w:szCs w:val="26"/>
              </w:rPr>
            </w:pPr>
            <w:r>
              <w:rPr>
                <w:rFonts w:cs="Arial"/>
                <w:b/>
                <w:sz w:val="26"/>
                <w:szCs w:val="26"/>
              </w:rPr>
              <w:t xml:space="preserve">OAXACA DE JUÁREZ, OAXACA A </w:t>
            </w:r>
            <w:r w:rsidR="00800C86">
              <w:rPr>
                <w:rFonts w:cs="Arial"/>
                <w:b/>
                <w:sz w:val="26"/>
                <w:szCs w:val="26"/>
              </w:rPr>
              <w:t xml:space="preserve">SIETE DE MARZO </w:t>
            </w:r>
            <w:r>
              <w:rPr>
                <w:rFonts w:cs="Arial"/>
                <w:b/>
                <w:sz w:val="26"/>
                <w:szCs w:val="26"/>
              </w:rPr>
              <w:t>DE DOS MIL DIECI</w:t>
            </w:r>
            <w:r w:rsidR="00BD4766">
              <w:rPr>
                <w:rFonts w:cs="Arial"/>
                <w:b/>
                <w:sz w:val="26"/>
                <w:szCs w:val="26"/>
              </w:rPr>
              <w:t>NUEVE</w:t>
            </w:r>
            <w:r w:rsidR="00800C86">
              <w:rPr>
                <w:rFonts w:cs="Arial"/>
                <w:b/>
                <w:sz w:val="26"/>
                <w:szCs w:val="26"/>
              </w:rPr>
              <w:t>.</w:t>
            </w:r>
          </w:p>
          <w:p w:rsidR="00800C86" w:rsidRDefault="00762959" w:rsidP="00E64B07">
            <w:pPr>
              <w:pStyle w:val="Encabezado"/>
              <w:spacing w:line="360" w:lineRule="auto"/>
              <w:ind w:right="922"/>
              <w:jc w:val="both"/>
              <w:rPr>
                <w:rFonts w:ascii="Arial" w:hAnsi="Arial" w:cs="Arial"/>
                <w:sz w:val="26"/>
                <w:szCs w:val="26"/>
              </w:rPr>
            </w:pPr>
            <w:r>
              <w:rPr>
                <w:rFonts w:ascii="Arial" w:hAnsi="Arial" w:cs="Arial"/>
                <w:b/>
                <w:sz w:val="26"/>
                <w:szCs w:val="26"/>
                <w:lang w:val="es-MX"/>
              </w:rPr>
              <w:tab/>
              <w:t xml:space="preserve"> </w:t>
            </w:r>
            <w:r w:rsidR="00800C86">
              <w:rPr>
                <w:rFonts w:ascii="Arial" w:hAnsi="Arial" w:cs="Arial"/>
                <w:b/>
                <w:sz w:val="26"/>
                <w:szCs w:val="26"/>
                <w:lang w:val="es-MX"/>
              </w:rPr>
              <w:t xml:space="preserve">         </w:t>
            </w:r>
            <w:r>
              <w:rPr>
                <w:rFonts w:ascii="Arial" w:hAnsi="Arial" w:cs="Arial"/>
                <w:b/>
                <w:sz w:val="26"/>
                <w:szCs w:val="26"/>
                <w:lang w:val="es-MX"/>
              </w:rPr>
              <w:t>VISTOS</w:t>
            </w:r>
            <w:r>
              <w:rPr>
                <w:rFonts w:ascii="Arial" w:hAnsi="Arial" w:cs="Arial"/>
                <w:sz w:val="26"/>
                <w:szCs w:val="26"/>
                <w:lang w:val="es-MX"/>
              </w:rPr>
              <w:t xml:space="preserve">, para resolver la </w:t>
            </w:r>
            <w:r>
              <w:rPr>
                <w:rFonts w:ascii="Arial" w:hAnsi="Arial" w:cs="Arial"/>
                <w:b/>
                <w:sz w:val="26"/>
                <w:szCs w:val="26"/>
                <w:lang w:val="es-MX"/>
              </w:rPr>
              <w:t>ACLARACIÓN DE SENTENCIA</w:t>
            </w:r>
            <w:r w:rsidR="00BD4766">
              <w:rPr>
                <w:rFonts w:ascii="Arial" w:hAnsi="Arial" w:cs="Arial"/>
                <w:b/>
                <w:sz w:val="26"/>
                <w:szCs w:val="26"/>
                <w:lang w:val="es-MX"/>
              </w:rPr>
              <w:t xml:space="preserve"> </w:t>
            </w:r>
            <w:r w:rsidR="00BD4766">
              <w:rPr>
                <w:rFonts w:ascii="Arial" w:hAnsi="Arial" w:cs="Arial"/>
                <w:sz w:val="26"/>
                <w:szCs w:val="26"/>
                <w:lang w:val="es-MX"/>
              </w:rPr>
              <w:t>presentada en contra de la resolución</w:t>
            </w:r>
            <w:r>
              <w:rPr>
                <w:rFonts w:ascii="Arial" w:hAnsi="Arial" w:cs="Arial"/>
                <w:sz w:val="26"/>
                <w:szCs w:val="26"/>
                <w:lang w:val="es-MX"/>
              </w:rPr>
              <w:t xml:space="preserve"> dictada el día </w:t>
            </w:r>
            <w:r w:rsidR="00BD4766">
              <w:rPr>
                <w:rFonts w:ascii="Arial" w:hAnsi="Arial" w:cs="Arial"/>
                <w:sz w:val="26"/>
                <w:szCs w:val="26"/>
                <w:lang w:val="es-MX"/>
              </w:rPr>
              <w:t>31 treinta y uno de enero de 2019 dos mil diecinueve</w:t>
            </w:r>
            <w:r>
              <w:rPr>
                <w:rFonts w:ascii="Arial" w:hAnsi="Arial" w:cs="Arial"/>
                <w:sz w:val="26"/>
                <w:szCs w:val="26"/>
                <w:lang w:val="es-MX"/>
              </w:rPr>
              <w:t xml:space="preserve">, en el Recurso de Revisión </w:t>
            </w:r>
            <w:r w:rsidR="00BD4766">
              <w:rPr>
                <w:rFonts w:ascii="Arial" w:hAnsi="Arial" w:cs="Arial"/>
                <w:b/>
                <w:sz w:val="26"/>
                <w:szCs w:val="26"/>
                <w:lang w:val="es-MX"/>
              </w:rPr>
              <w:t>0137/2017</w:t>
            </w:r>
            <w:r>
              <w:rPr>
                <w:rFonts w:ascii="Arial" w:hAnsi="Arial" w:cs="Arial"/>
                <w:sz w:val="26"/>
                <w:szCs w:val="26"/>
                <w:lang w:val="es-MX"/>
              </w:rPr>
              <w:t>, solicitada por</w:t>
            </w:r>
            <w:r>
              <w:rPr>
                <w:rFonts w:ascii="Arial" w:hAnsi="Arial" w:cs="Arial"/>
                <w:i/>
                <w:sz w:val="26"/>
                <w:szCs w:val="26"/>
              </w:rPr>
              <w:t xml:space="preserve"> </w:t>
            </w:r>
            <w:r w:rsidR="00D768C0">
              <w:rPr>
                <w:rFonts w:ascii="Arial" w:hAnsi="Arial" w:cs="Arial"/>
                <w:b/>
                <w:sz w:val="26"/>
                <w:szCs w:val="26"/>
              </w:rPr>
              <w:t>**********</w:t>
            </w:r>
            <w:r w:rsidR="00BD4766">
              <w:rPr>
                <w:rFonts w:ascii="Arial" w:hAnsi="Arial" w:cs="Arial"/>
                <w:b/>
                <w:sz w:val="26"/>
                <w:szCs w:val="26"/>
              </w:rPr>
              <w:t>,</w:t>
            </w:r>
            <w:r w:rsidR="00BD4766">
              <w:rPr>
                <w:rFonts w:ascii="Arial" w:hAnsi="Arial" w:cs="Arial"/>
                <w:sz w:val="26"/>
                <w:szCs w:val="26"/>
              </w:rPr>
              <w:t xml:space="preserve"> parte actora dentro del juicio de nulidad 0354/2018 del índice de la Séptima Sala Unitaria de Primera Instancia de este Tribunal</w:t>
            </w:r>
            <w:r w:rsidR="00800C86">
              <w:rPr>
                <w:rFonts w:ascii="Arial" w:hAnsi="Arial" w:cs="Arial"/>
                <w:sz w:val="26"/>
                <w:szCs w:val="26"/>
              </w:rPr>
              <w:t>.</w:t>
            </w:r>
          </w:p>
          <w:p w:rsidR="00762959" w:rsidRDefault="00762959" w:rsidP="00E64B07">
            <w:pPr>
              <w:pStyle w:val="Encabezado"/>
              <w:spacing w:line="360" w:lineRule="auto"/>
              <w:ind w:right="922"/>
              <w:jc w:val="both"/>
              <w:rPr>
                <w:rFonts w:ascii="Arial" w:hAnsi="Arial" w:cs="Arial"/>
                <w:b/>
                <w:sz w:val="26"/>
                <w:szCs w:val="26"/>
              </w:rPr>
            </w:pPr>
            <w:r>
              <w:rPr>
                <w:rFonts w:ascii="Arial" w:hAnsi="Arial" w:cs="Arial"/>
                <w:sz w:val="26"/>
                <w:szCs w:val="26"/>
              </w:rPr>
              <w:t xml:space="preserve"> </w:t>
            </w:r>
          </w:p>
          <w:p w:rsidR="00800C86" w:rsidRPr="00800C86" w:rsidRDefault="00762959" w:rsidP="00800C86">
            <w:pPr>
              <w:pStyle w:val="corte3centro"/>
              <w:ind w:right="922"/>
              <w:rPr>
                <w:rFonts w:cs="Arial"/>
                <w:sz w:val="26"/>
                <w:szCs w:val="26"/>
                <w:lang w:val="es-MX"/>
              </w:rPr>
            </w:pPr>
            <w:r w:rsidRPr="00800C86">
              <w:rPr>
                <w:rFonts w:cs="Arial"/>
                <w:sz w:val="26"/>
                <w:szCs w:val="26"/>
                <w:lang w:val="es-MX"/>
              </w:rPr>
              <w:t>R E S U L T A N D O</w:t>
            </w:r>
          </w:p>
          <w:p w:rsidR="00800C86" w:rsidRDefault="00800C86" w:rsidP="00800C86">
            <w:pPr>
              <w:pStyle w:val="corte3centro"/>
              <w:ind w:right="922"/>
              <w:rPr>
                <w:rFonts w:cs="Arial"/>
                <w:sz w:val="24"/>
                <w:szCs w:val="24"/>
                <w:lang w:val="es-MX"/>
              </w:rPr>
            </w:pPr>
          </w:p>
          <w:p w:rsidR="00762959" w:rsidRDefault="00800C86" w:rsidP="00E64B07">
            <w:pPr>
              <w:pStyle w:val="corte3centro"/>
              <w:ind w:right="922"/>
              <w:jc w:val="both"/>
              <w:rPr>
                <w:rFonts w:cs="Arial"/>
                <w:b w:val="0"/>
                <w:sz w:val="26"/>
                <w:szCs w:val="26"/>
                <w:lang w:val="es-MX"/>
              </w:rPr>
            </w:pPr>
            <w:r>
              <w:rPr>
                <w:rFonts w:cs="Arial"/>
                <w:bCs/>
                <w:sz w:val="24"/>
                <w:szCs w:val="24"/>
                <w:lang w:val="es-MX"/>
              </w:rPr>
              <w:t xml:space="preserve">           </w:t>
            </w:r>
            <w:r w:rsidR="00762959">
              <w:rPr>
                <w:rFonts w:cs="Arial"/>
                <w:bCs/>
                <w:sz w:val="24"/>
                <w:szCs w:val="24"/>
                <w:lang w:val="es-MX"/>
              </w:rPr>
              <w:t>PRIMERO.</w:t>
            </w:r>
            <w:r w:rsidR="00762959">
              <w:rPr>
                <w:rFonts w:cs="Arial"/>
                <w:sz w:val="24"/>
                <w:szCs w:val="24"/>
                <w:lang w:val="es-MX"/>
              </w:rPr>
              <w:t xml:space="preserve"> </w:t>
            </w:r>
            <w:r w:rsidR="00762959">
              <w:rPr>
                <w:rFonts w:cs="Arial"/>
                <w:b w:val="0"/>
                <w:sz w:val="26"/>
                <w:szCs w:val="26"/>
                <w:lang w:val="es-MX"/>
              </w:rPr>
              <w:t xml:space="preserve">El </w:t>
            </w:r>
            <w:r w:rsidR="00274B7F">
              <w:rPr>
                <w:rFonts w:cs="Arial"/>
                <w:b w:val="0"/>
                <w:sz w:val="26"/>
                <w:szCs w:val="26"/>
                <w:lang w:val="es-MX"/>
              </w:rPr>
              <w:t>28 veintiocho de agosto de 2018 dos mil dieciocho</w:t>
            </w:r>
            <w:r w:rsidR="00762959">
              <w:rPr>
                <w:rFonts w:cs="Arial"/>
                <w:b w:val="0"/>
                <w:sz w:val="26"/>
                <w:szCs w:val="26"/>
                <w:lang w:val="es-MX"/>
              </w:rPr>
              <w:t xml:space="preserve">, </w:t>
            </w:r>
            <w:r w:rsidR="00D768C0">
              <w:rPr>
                <w:rFonts w:cs="Arial"/>
                <w:sz w:val="26"/>
                <w:szCs w:val="26"/>
              </w:rPr>
              <w:t>**********</w:t>
            </w:r>
            <w:r w:rsidR="00762959">
              <w:rPr>
                <w:rFonts w:cs="Arial"/>
                <w:b w:val="0"/>
                <w:sz w:val="26"/>
                <w:szCs w:val="26"/>
                <w:lang w:val="es-MX"/>
              </w:rPr>
              <w:t xml:space="preserve">, interpuso recurso de revisión en contra de la sentencia de </w:t>
            </w:r>
            <w:r w:rsidR="00274B7F">
              <w:rPr>
                <w:rFonts w:cs="Arial"/>
                <w:b w:val="0"/>
                <w:sz w:val="26"/>
                <w:szCs w:val="26"/>
                <w:lang w:val="es-MX"/>
              </w:rPr>
              <w:t>10 del citado mes y año</w:t>
            </w:r>
            <w:r w:rsidR="00762959">
              <w:rPr>
                <w:rFonts w:cs="Arial"/>
                <w:b w:val="0"/>
                <w:sz w:val="26"/>
                <w:szCs w:val="26"/>
                <w:lang w:val="es-MX"/>
              </w:rPr>
              <w:t xml:space="preserve">, dictada en el expediente </w:t>
            </w:r>
            <w:r w:rsidR="006541F1">
              <w:rPr>
                <w:rFonts w:cs="Arial"/>
                <w:b w:val="0"/>
                <w:sz w:val="26"/>
                <w:szCs w:val="26"/>
              </w:rPr>
              <w:t>0137/2017</w:t>
            </w:r>
            <w:r w:rsidR="00274B7F" w:rsidRPr="00274B7F">
              <w:rPr>
                <w:rFonts w:cs="Arial"/>
                <w:b w:val="0"/>
                <w:sz w:val="26"/>
                <w:szCs w:val="26"/>
              </w:rPr>
              <w:t xml:space="preserve"> del índice de la Séptima Sala Unitaria de Primera Instancia de este Tribunal</w:t>
            </w:r>
            <w:r>
              <w:rPr>
                <w:rFonts w:cs="Arial"/>
                <w:b w:val="0"/>
                <w:sz w:val="26"/>
                <w:szCs w:val="26"/>
                <w:lang w:val="es-MX"/>
              </w:rPr>
              <w:t>.</w:t>
            </w:r>
          </w:p>
          <w:p w:rsidR="00762959" w:rsidRPr="00800C86" w:rsidRDefault="00800C86" w:rsidP="00E64B07">
            <w:pPr>
              <w:pStyle w:val="corte3centro"/>
              <w:ind w:right="922"/>
              <w:jc w:val="both"/>
              <w:rPr>
                <w:rFonts w:cs="Arial"/>
                <w:b w:val="0"/>
                <w:sz w:val="26"/>
                <w:szCs w:val="26"/>
                <w:lang w:val="es-MX"/>
              </w:rPr>
            </w:pPr>
            <w:r>
              <w:rPr>
                <w:rFonts w:cs="Arial"/>
                <w:sz w:val="26"/>
                <w:szCs w:val="26"/>
                <w:lang w:val="es-MX"/>
              </w:rPr>
              <w:t xml:space="preserve">          </w:t>
            </w:r>
            <w:r w:rsidR="00762959">
              <w:rPr>
                <w:rFonts w:cs="Arial"/>
                <w:sz w:val="26"/>
                <w:szCs w:val="26"/>
                <w:lang w:val="es-MX"/>
              </w:rPr>
              <w:t xml:space="preserve">SEGUNDO. </w:t>
            </w:r>
            <w:r w:rsidR="00762959">
              <w:rPr>
                <w:rFonts w:cs="Arial"/>
                <w:b w:val="0"/>
                <w:sz w:val="26"/>
                <w:szCs w:val="26"/>
                <w:lang w:val="es-MX"/>
              </w:rPr>
              <w:t xml:space="preserve">Con fecha </w:t>
            </w:r>
            <w:r w:rsidR="0037612A">
              <w:rPr>
                <w:rFonts w:cs="Arial"/>
                <w:b w:val="0"/>
                <w:sz w:val="26"/>
                <w:szCs w:val="26"/>
                <w:lang w:val="es-MX"/>
              </w:rPr>
              <w:t>31 treinta y uno de enero de 2019 dos mil diecinueve</w:t>
            </w:r>
            <w:r w:rsidR="00762959">
              <w:rPr>
                <w:rFonts w:cs="Arial"/>
                <w:b w:val="0"/>
                <w:sz w:val="26"/>
                <w:szCs w:val="26"/>
                <w:lang w:val="es-MX"/>
              </w:rPr>
              <w:t xml:space="preserve">, se dictó resolución en la que se </w:t>
            </w:r>
            <w:r w:rsidR="0017246D" w:rsidRPr="0017246D">
              <w:rPr>
                <w:rFonts w:cs="Arial"/>
                <w:sz w:val="26"/>
                <w:szCs w:val="26"/>
                <w:lang w:val="es-MX"/>
              </w:rPr>
              <w:t>MODIFICÓ</w:t>
            </w:r>
            <w:r w:rsidR="0037612A">
              <w:rPr>
                <w:rFonts w:cs="Arial"/>
                <w:b w:val="0"/>
                <w:sz w:val="26"/>
                <w:szCs w:val="26"/>
                <w:lang w:val="es-MX"/>
              </w:rPr>
              <w:t xml:space="preserve"> la sentencia recurrida, </w:t>
            </w:r>
            <w:r w:rsidR="00921D72">
              <w:rPr>
                <w:rFonts w:cs="Arial"/>
                <w:b w:val="0"/>
                <w:sz w:val="26"/>
                <w:szCs w:val="26"/>
                <w:lang w:val="es-MX"/>
              </w:rPr>
              <w:t xml:space="preserve">y se </w:t>
            </w:r>
            <w:r w:rsidR="0037612A">
              <w:rPr>
                <w:rFonts w:cs="Arial"/>
                <w:b w:val="0"/>
                <w:sz w:val="26"/>
                <w:szCs w:val="26"/>
                <w:lang w:val="es-MX"/>
              </w:rPr>
              <w:t xml:space="preserve">declaró la </w:t>
            </w:r>
            <w:r w:rsidR="0037612A" w:rsidRPr="0017246D">
              <w:rPr>
                <w:rFonts w:cs="Arial"/>
                <w:i/>
                <w:sz w:val="26"/>
                <w:szCs w:val="26"/>
                <w:lang w:val="es-MX"/>
              </w:rPr>
              <w:t>nulidad lisa y llana</w:t>
            </w:r>
            <w:r w:rsidR="0037612A">
              <w:rPr>
                <w:rFonts w:cs="Arial"/>
                <w:b w:val="0"/>
                <w:sz w:val="26"/>
                <w:szCs w:val="26"/>
                <w:lang w:val="es-MX"/>
              </w:rPr>
              <w:t xml:space="preserve"> de la resolución de 03 tres de octubre de dos mil diecisiete, emitida por el Consejo Directivo de la Oficina de Pensiones del Gobierno del Estado, contenida en el oficio OP/DG/2573/201</w:t>
            </w:r>
            <w:r w:rsidR="00DD5035">
              <w:rPr>
                <w:rFonts w:cs="Arial"/>
                <w:b w:val="0"/>
                <w:sz w:val="26"/>
                <w:szCs w:val="26"/>
                <w:lang w:val="es-MX"/>
              </w:rPr>
              <w:t>7</w:t>
            </w:r>
            <w:r w:rsidR="0037612A">
              <w:rPr>
                <w:rFonts w:cs="Arial"/>
                <w:b w:val="0"/>
                <w:sz w:val="26"/>
                <w:szCs w:val="26"/>
                <w:lang w:val="es-MX"/>
              </w:rPr>
              <w:t xml:space="preserve"> de 10 diez de del mismo mes y año, </w:t>
            </w:r>
            <w:r w:rsidR="00DD5035">
              <w:rPr>
                <w:rFonts w:cs="Arial"/>
                <w:b w:val="0"/>
                <w:sz w:val="26"/>
                <w:szCs w:val="26"/>
                <w:lang w:val="es-MX"/>
              </w:rPr>
              <w:t xml:space="preserve">al incumplir con el requisito de validez previsto en el artículo 7 fracción V de la </w:t>
            </w:r>
            <w:r w:rsidR="00301BAD">
              <w:rPr>
                <w:rFonts w:cs="Arial"/>
                <w:b w:val="0"/>
                <w:sz w:val="26"/>
                <w:szCs w:val="26"/>
                <w:lang w:val="es-MX"/>
              </w:rPr>
              <w:t>L</w:t>
            </w:r>
            <w:r w:rsidR="00DD5035">
              <w:rPr>
                <w:rFonts w:cs="Arial"/>
                <w:b w:val="0"/>
                <w:sz w:val="26"/>
                <w:szCs w:val="26"/>
                <w:lang w:val="es-MX"/>
              </w:rPr>
              <w:t xml:space="preserve">ey de Justicia Administrativa para el Estado de Oaxaca, </w:t>
            </w:r>
            <w:r w:rsidR="00921D72">
              <w:rPr>
                <w:rFonts w:cs="Arial"/>
                <w:i/>
                <w:sz w:val="26"/>
                <w:szCs w:val="26"/>
                <w:u w:val="single"/>
                <w:lang w:val="es-MX"/>
              </w:rPr>
              <w:t>ordenándose</w:t>
            </w:r>
            <w:r w:rsidR="0037612A" w:rsidRPr="00526521">
              <w:rPr>
                <w:rFonts w:cs="Arial"/>
                <w:i/>
                <w:sz w:val="26"/>
                <w:szCs w:val="26"/>
                <w:u w:val="single"/>
                <w:lang w:val="es-MX"/>
              </w:rPr>
              <w:t xml:space="preserve"> a la autoridad demandada, pague a la parte </w:t>
            </w:r>
            <w:r w:rsidR="00DD5035" w:rsidRPr="00526521">
              <w:rPr>
                <w:rFonts w:cs="Arial"/>
                <w:i/>
                <w:sz w:val="26"/>
                <w:szCs w:val="26"/>
                <w:u w:val="single"/>
                <w:lang w:val="es-MX"/>
              </w:rPr>
              <w:t>actora</w:t>
            </w:r>
            <w:r w:rsidR="0037612A" w:rsidRPr="00526521">
              <w:rPr>
                <w:rFonts w:cs="Arial"/>
                <w:i/>
                <w:sz w:val="26"/>
                <w:szCs w:val="26"/>
                <w:u w:val="single"/>
                <w:lang w:val="es-MX"/>
              </w:rPr>
              <w:t xml:space="preserve"> como trabajador jubilado de confianza, las mismas prestaciones a que tienen </w:t>
            </w:r>
            <w:r w:rsidR="00DD5035" w:rsidRPr="00526521">
              <w:rPr>
                <w:rFonts w:cs="Arial"/>
                <w:i/>
                <w:sz w:val="26"/>
                <w:szCs w:val="26"/>
                <w:u w:val="single"/>
                <w:lang w:val="es-MX"/>
              </w:rPr>
              <w:t>derecho</w:t>
            </w:r>
            <w:r w:rsidR="0037612A" w:rsidRPr="00526521">
              <w:rPr>
                <w:rFonts w:cs="Arial"/>
                <w:i/>
                <w:sz w:val="26"/>
                <w:szCs w:val="26"/>
                <w:u w:val="single"/>
                <w:lang w:val="es-MX"/>
              </w:rPr>
              <w:t xml:space="preserve"> los trabajadores jubilados de base, sin el descuento previsto en los artículos 6 fracción III, 18 párrafo </w:t>
            </w:r>
            <w:r w:rsidR="0037612A" w:rsidRPr="00526521">
              <w:rPr>
                <w:rFonts w:cs="Arial"/>
                <w:i/>
                <w:sz w:val="26"/>
                <w:szCs w:val="26"/>
                <w:u w:val="single"/>
                <w:lang w:val="es-MX"/>
              </w:rPr>
              <w:lastRenderedPageBreak/>
              <w:t>segundo y octavo transitorio de la Ley de Pensiones para los Trabajadores del Gobierno del Estado de Oa</w:t>
            </w:r>
            <w:r w:rsidR="00DD5035" w:rsidRPr="00526521">
              <w:rPr>
                <w:rFonts w:cs="Arial"/>
                <w:i/>
                <w:sz w:val="26"/>
                <w:szCs w:val="26"/>
                <w:u w:val="single"/>
                <w:lang w:val="es-MX"/>
              </w:rPr>
              <w:t>xaca</w:t>
            </w:r>
            <w:r w:rsidR="00DD5035" w:rsidRPr="00526521">
              <w:rPr>
                <w:rFonts w:cs="Arial"/>
                <w:sz w:val="26"/>
                <w:szCs w:val="26"/>
                <w:lang w:val="es-MX"/>
              </w:rPr>
              <w:t>.</w:t>
            </w:r>
            <w:r w:rsidR="00762959" w:rsidRPr="00526521">
              <w:rPr>
                <w:rFonts w:cs="Arial"/>
                <w:sz w:val="26"/>
                <w:szCs w:val="26"/>
                <w:lang w:val="es-MX"/>
              </w:rPr>
              <w:t xml:space="preserve"> </w:t>
            </w:r>
          </w:p>
          <w:p w:rsidR="00800C86" w:rsidRDefault="006541F1" w:rsidP="00800C86">
            <w:pPr>
              <w:pStyle w:val="corte3centro"/>
              <w:pBdr>
                <w:bottom w:val="single" w:sz="6" w:space="1" w:color="auto"/>
              </w:pBdr>
              <w:ind w:right="922"/>
              <w:jc w:val="both"/>
              <w:rPr>
                <w:rFonts w:cs="Arial"/>
                <w:b w:val="0"/>
                <w:bCs/>
                <w:color w:val="000000"/>
                <w:sz w:val="26"/>
                <w:szCs w:val="26"/>
                <w:lang w:val="es-ES"/>
              </w:rPr>
            </w:pPr>
            <w:r>
              <w:rPr>
                <w:rFonts w:cs="Arial"/>
                <w:sz w:val="26"/>
                <w:szCs w:val="26"/>
              </w:rPr>
              <w:t xml:space="preserve">          </w:t>
            </w:r>
            <w:r w:rsidR="00762959">
              <w:rPr>
                <w:rFonts w:cs="Arial"/>
                <w:sz w:val="26"/>
                <w:szCs w:val="26"/>
              </w:rPr>
              <w:t xml:space="preserve">TERCERO. </w:t>
            </w:r>
            <w:r w:rsidR="00762959">
              <w:rPr>
                <w:rFonts w:cs="Arial"/>
                <w:b w:val="0"/>
                <w:bCs/>
                <w:color w:val="000000"/>
                <w:sz w:val="26"/>
                <w:szCs w:val="26"/>
                <w:lang w:val="es-ES"/>
              </w:rPr>
              <w:t xml:space="preserve">Mediante </w:t>
            </w:r>
            <w:r w:rsidR="00D54450">
              <w:rPr>
                <w:rFonts w:cs="Arial"/>
                <w:b w:val="0"/>
                <w:bCs/>
                <w:color w:val="000000"/>
                <w:sz w:val="26"/>
                <w:szCs w:val="26"/>
                <w:lang w:val="es-ES"/>
              </w:rPr>
              <w:t xml:space="preserve">escrito presentado el 25 veinticinco de febrero de 2019 dos mil diecinueve, se tuvo a </w:t>
            </w:r>
            <w:r w:rsidR="00D768C0">
              <w:rPr>
                <w:rFonts w:cs="Arial"/>
                <w:sz w:val="26"/>
                <w:szCs w:val="26"/>
              </w:rPr>
              <w:t>**********</w:t>
            </w:r>
            <w:r w:rsidR="00D54450">
              <w:rPr>
                <w:rFonts w:cs="Arial"/>
                <w:b w:val="0"/>
                <w:bCs/>
                <w:color w:val="000000"/>
                <w:sz w:val="26"/>
                <w:szCs w:val="26"/>
                <w:lang w:val="es-ES"/>
              </w:rPr>
              <w:t xml:space="preserve"> </w:t>
            </w:r>
            <w:r w:rsidR="00762959">
              <w:rPr>
                <w:rFonts w:cs="Arial"/>
                <w:b w:val="0"/>
                <w:bCs/>
                <w:color w:val="000000"/>
                <w:sz w:val="26"/>
                <w:szCs w:val="26"/>
                <w:lang w:val="es-ES"/>
              </w:rPr>
              <w:t>solicitando aclaración de sentencia, por lo que mediante oficio TCAC/SGA/</w:t>
            </w:r>
            <w:r w:rsidR="00D54450">
              <w:rPr>
                <w:rFonts w:cs="Arial"/>
                <w:b w:val="0"/>
                <w:bCs/>
                <w:color w:val="000000"/>
                <w:sz w:val="26"/>
                <w:szCs w:val="26"/>
                <w:lang w:val="es-ES"/>
              </w:rPr>
              <w:t>736/2019</w:t>
            </w:r>
            <w:r w:rsidR="00762959">
              <w:rPr>
                <w:rFonts w:cs="Arial"/>
                <w:b w:val="0"/>
                <w:bCs/>
                <w:color w:val="000000"/>
                <w:sz w:val="26"/>
                <w:szCs w:val="26"/>
                <w:lang w:val="es-ES"/>
              </w:rPr>
              <w:t xml:space="preserve"> de fecha </w:t>
            </w:r>
            <w:r w:rsidR="00D54450">
              <w:rPr>
                <w:rFonts w:cs="Arial"/>
                <w:b w:val="0"/>
                <w:bCs/>
                <w:color w:val="000000"/>
                <w:sz w:val="26"/>
                <w:szCs w:val="26"/>
                <w:lang w:val="es-ES"/>
              </w:rPr>
              <w:t>04 cuatro de marzo de 2019 dos mil diecinueve</w:t>
            </w:r>
            <w:r w:rsidR="00762959">
              <w:rPr>
                <w:rFonts w:cs="Arial"/>
                <w:b w:val="0"/>
                <w:bCs/>
                <w:color w:val="000000"/>
                <w:sz w:val="26"/>
                <w:szCs w:val="26"/>
                <w:lang w:val="es-ES"/>
              </w:rPr>
              <w:t xml:space="preserve">, se turnó a esta ponencia el recurso de revisión </w:t>
            </w:r>
            <w:r w:rsidR="00D54450">
              <w:rPr>
                <w:rFonts w:cs="Arial"/>
                <w:b w:val="0"/>
                <w:bCs/>
                <w:color w:val="000000"/>
                <w:sz w:val="26"/>
                <w:szCs w:val="26"/>
                <w:lang w:val="es-ES"/>
              </w:rPr>
              <w:t>0354/2018</w:t>
            </w:r>
            <w:r w:rsidR="00762959">
              <w:rPr>
                <w:rFonts w:cs="Arial"/>
                <w:b w:val="0"/>
                <w:bCs/>
                <w:color w:val="000000"/>
                <w:sz w:val="26"/>
                <w:szCs w:val="26"/>
                <w:lang w:val="es-ES"/>
              </w:rPr>
              <w:t xml:space="preserve">, así como </w:t>
            </w:r>
            <w:r w:rsidR="0084391A">
              <w:rPr>
                <w:rFonts w:cs="Arial"/>
                <w:b w:val="0"/>
                <w:bCs/>
                <w:color w:val="000000"/>
                <w:sz w:val="26"/>
                <w:szCs w:val="26"/>
                <w:lang w:val="es-ES"/>
              </w:rPr>
              <w:t>los autos del expediente 0137/2017 de la Séptima Sala Unitaria de Primera Instancia de este Tribunal,</w:t>
            </w:r>
            <w:r w:rsidR="00762959">
              <w:rPr>
                <w:rFonts w:cs="Arial"/>
                <w:b w:val="0"/>
                <w:bCs/>
                <w:color w:val="000000"/>
                <w:sz w:val="26"/>
                <w:szCs w:val="26"/>
                <w:lang w:val="es-ES"/>
              </w:rPr>
              <w:t xml:space="preserve"> para el dictado del proyecto correspondiente, mismo que ahora se </w:t>
            </w:r>
            <w:r w:rsidR="00800C86">
              <w:rPr>
                <w:rFonts w:cs="Arial"/>
                <w:b w:val="0"/>
                <w:bCs/>
                <w:color w:val="000000"/>
                <w:sz w:val="26"/>
                <w:szCs w:val="26"/>
                <w:lang w:val="es-ES"/>
              </w:rPr>
              <w:t>pronuncia.</w:t>
            </w:r>
          </w:p>
          <w:p w:rsidR="00CB186C" w:rsidRDefault="00CB186C" w:rsidP="00800C86">
            <w:pPr>
              <w:pStyle w:val="corte3centro"/>
              <w:pBdr>
                <w:bottom w:val="single" w:sz="6" w:space="1" w:color="auto"/>
              </w:pBdr>
              <w:ind w:right="922"/>
              <w:jc w:val="both"/>
              <w:rPr>
                <w:rFonts w:cs="Arial"/>
                <w:b w:val="0"/>
                <w:bCs/>
                <w:color w:val="000000"/>
                <w:sz w:val="26"/>
                <w:szCs w:val="26"/>
                <w:lang w:val="es-ES"/>
              </w:rPr>
            </w:pPr>
          </w:p>
          <w:p w:rsidR="00800C86" w:rsidRDefault="00CB186C" w:rsidP="00CB186C">
            <w:pPr>
              <w:pStyle w:val="corte3centro"/>
              <w:pBdr>
                <w:bottom w:val="single" w:sz="6" w:space="1" w:color="auto"/>
              </w:pBdr>
              <w:tabs>
                <w:tab w:val="center" w:pos="4147"/>
                <w:tab w:val="right" w:pos="8294"/>
              </w:tabs>
              <w:ind w:right="922"/>
              <w:jc w:val="left"/>
              <w:rPr>
                <w:rFonts w:cs="Arial"/>
                <w:spacing w:val="120"/>
                <w:sz w:val="26"/>
                <w:szCs w:val="26"/>
              </w:rPr>
            </w:pPr>
            <w:r>
              <w:rPr>
                <w:rFonts w:cs="Arial"/>
                <w:spacing w:val="120"/>
                <w:sz w:val="26"/>
                <w:szCs w:val="26"/>
              </w:rPr>
              <w:tab/>
            </w:r>
            <w:r w:rsidR="00762959">
              <w:rPr>
                <w:rFonts w:cs="Arial"/>
                <w:spacing w:val="120"/>
                <w:sz w:val="26"/>
                <w:szCs w:val="26"/>
              </w:rPr>
              <w:t>CONSIDERANDO</w:t>
            </w:r>
            <w:r>
              <w:rPr>
                <w:rFonts w:cs="Arial"/>
                <w:spacing w:val="120"/>
                <w:sz w:val="26"/>
                <w:szCs w:val="26"/>
              </w:rPr>
              <w:tab/>
            </w:r>
          </w:p>
          <w:p w:rsidR="00CB186C" w:rsidRDefault="00CB186C" w:rsidP="00E64B07">
            <w:pPr>
              <w:pStyle w:val="corte3centro"/>
              <w:ind w:right="922"/>
              <w:jc w:val="both"/>
              <w:rPr>
                <w:rFonts w:cs="Arial"/>
                <w:sz w:val="26"/>
                <w:szCs w:val="26"/>
              </w:rPr>
            </w:pPr>
          </w:p>
          <w:p w:rsidR="00CB186C" w:rsidRDefault="00CB186C" w:rsidP="00E64B07">
            <w:pPr>
              <w:pStyle w:val="corte3centro"/>
              <w:ind w:right="922"/>
              <w:jc w:val="both"/>
              <w:rPr>
                <w:rFonts w:cs="Arial"/>
                <w:b w:val="0"/>
                <w:sz w:val="26"/>
                <w:szCs w:val="26"/>
              </w:rPr>
            </w:pPr>
            <w:r>
              <w:rPr>
                <w:rFonts w:cs="Arial"/>
                <w:sz w:val="26"/>
                <w:szCs w:val="26"/>
              </w:rPr>
              <w:t xml:space="preserve">         </w:t>
            </w:r>
            <w:r w:rsidR="00762959">
              <w:rPr>
                <w:rFonts w:cs="Arial"/>
                <w:sz w:val="26"/>
                <w:szCs w:val="26"/>
              </w:rPr>
              <w:t>PRIMERO.</w:t>
            </w:r>
            <w:r w:rsidR="00762959">
              <w:rPr>
                <w:rFonts w:cs="Arial"/>
                <w:b w:val="0"/>
                <w:sz w:val="26"/>
                <w:szCs w:val="26"/>
              </w:rPr>
              <w:t xml:space="preserve"> Esta Sala Superior es competente para conocer del presente asunto, de conformidad con lo dispuesto por el artículo 181 de la Ley de Justicia Administrativa para Estado de Oaxaca, dado que se trata de una aclaración de sentencia emitida por esta Sala Superior con fecha </w:t>
            </w:r>
            <w:r w:rsidR="00006B96">
              <w:rPr>
                <w:rFonts w:cs="Arial"/>
                <w:b w:val="0"/>
                <w:sz w:val="26"/>
                <w:szCs w:val="26"/>
              </w:rPr>
              <w:t>31 treinta y uno de enero de 2019 dos mil diecinueve</w:t>
            </w:r>
            <w:r w:rsidR="00762959">
              <w:rPr>
                <w:rFonts w:cs="Arial"/>
                <w:b w:val="0"/>
                <w:sz w:val="26"/>
                <w:szCs w:val="26"/>
              </w:rPr>
              <w:t xml:space="preserve">, dictada en el recurso de revisión </w:t>
            </w:r>
            <w:r w:rsidR="00006B96">
              <w:rPr>
                <w:rFonts w:cs="Arial"/>
                <w:b w:val="0"/>
                <w:sz w:val="26"/>
                <w:szCs w:val="26"/>
              </w:rPr>
              <w:t>0354/2018</w:t>
            </w:r>
            <w:r>
              <w:rPr>
                <w:rFonts w:cs="Arial"/>
                <w:b w:val="0"/>
                <w:sz w:val="26"/>
                <w:szCs w:val="26"/>
              </w:rPr>
              <w:t>.</w:t>
            </w:r>
          </w:p>
          <w:p w:rsidR="00CB186C" w:rsidRDefault="00CB186C" w:rsidP="00FA22A0">
            <w:pPr>
              <w:spacing w:after="360" w:line="360" w:lineRule="auto"/>
              <w:ind w:right="922"/>
              <w:jc w:val="both"/>
              <w:rPr>
                <w:rFonts w:ascii="Arial" w:hAnsi="Arial" w:cs="Arial"/>
                <w:sz w:val="26"/>
                <w:szCs w:val="26"/>
              </w:rPr>
            </w:pPr>
            <w:r>
              <w:rPr>
                <w:rFonts w:ascii="Arial" w:hAnsi="Arial" w:cs="Arial"/>
                <w:b/>
                <w:sz w:val="26"/>
                <w:szCs w:val="26"/>
              </w:rPr>
              <w:t xml:space="preserve">        </w:t>
            </w:r>
            <w:r w:rsidR="00762959" w:rsidRPr="00E039A1">
              <w:rPr>
                <w:rFonts w:ascii="Arial" w:hAnsi="Arial" w:cs="Arial"/>
                <w:b/>
                <w:sz w:val="26"/>
                <w:szCs w:val="26"/>
              </w:rPr>
              <w:t>SEGUNDO</w:t>
            </w:r>
            <w:r w:rsidR="00762959" w:rsidRPr="00E039A1">
              <w:rPr>
                <w:rFonts w:ascii="Arial" w:hAnsi="Arial" w:cs="Arial"/>
                <w:sz w:val="26"/>
                <w:szCs w:val="26"/>
              </w:rPr>
              <w:t xml:space="preserve">. </w:t>
            </w:r>
            <w:r w:rsidR="00D768C0">
              <w:rPr>
                <w:rFonts w:ascii="Arial" w:hAnsi="Arial" w:cs="Arial"/>
                <w:b/>
                <w:sz w:val="26"/>
                <w:szCs w:val="26"/>
              </w:rPr>
              <w:t>**********</w:t>
            </w:r>
            <w:r w:rsidR="00173675" w:rsidRPr="00E039A1">
              <w:rPr>
                <w:rFonts w:ascii="Arial" w:hAnsi="Arial" w:cs="Arial"/>
                <w:b/>
                <w:sz w:val="26"/>
                <w:szCs w:val="26"/>
              </w:rPr>
              <w:t xml:space="preserve">, </w:t>
            </w:r>
            <w:r w:rsidR="00173675" w:rsidRPr="00E039A1">
              <w:rPr>
                <w:rFonts w:ascii="Arial" w:hAnsi="Arial" w:cs="Arial"/>
                <w:sz w:val="26"/>
                <w:szCs w:val="26"/>
              </w:rPr>
              <w:t xml:space="preserve">parte actora dentro del juicio de </w:t>
            </w:r>
            <w:r w:rsidR="006541F1">
              <w:rPr>
                <w:rFonts w:ascii="Arial" w:hAnsi="Arial" w:cs="Arial"/>
                <w:sz w:val="26"/>
                <w:szCs w:val="26"/>
              </w:rPr>
              <w:t>nulidad 0137/2017</w:t>
            </w:r>
            <w:r w:rsidR="00173675" w:rsidRPr="00E039A1">
              <w:rPr>
                <w:rFonts w:ascii="Arial" w:hAnsi="Arial" w:cs="Arial"/>
                <w:sz w:val="26"/>
                <w:szCs w:val="26"/>
              </w:rPr>
              <w:t xml:space="preserve"> de la Séptima Sala Unitaria de Primera Instancia de este Tribunal</w:t>
            </w:r>
            <w:r w:rsidR="00762959" w:rsidRPr="00E039A1">
              <w:rPr>
                <w:rFonts w:ascii="Arial" w:hAnsi="Arial" w:cs="Arial"/>
                <w:sz w:val="26"/>
                <w:szCs w:val="26"/>
              </w:rPr>
              <w:t xml:space="preserve">, mediante escrito de fecha  </w:t>
            </w:r>
            <w:r w:rsidR="006541F1">
              <w:rPr>
                <w:rFonts w:ascii="Arial" w:hAnsi="Arial" w:cs="Arial"/>
                <w:sz w:val="26"/>
                <w:szCs w:val="26"/>
              </w:rPr>
              <w:t>25 veinticinco de febrero de 2019 dos mil diecinueve</w:t>
            </w:r>
            <w:r w:rsidR="00762959" w:rsidRPr="00E039A1">
              <w:rPr>
                <w:rFonts w:ascii="Arial" w:hAnsi="Arial" w:cs="Arial"/>
                <w:sz w:val="26"/>
                <w:szCs w:val="26"/>
              </w:rPr>
              <w:t>, solicitó aclaración de sentencia al señalar que la determinación hecha por esta Sala Superior resulta ambigua y obscura</w:t>
            </w:r>
            <w:r w:rsidR="00173675" w:rsidRPr="00E039A1">
              <w:rPr>
                <w:rFonts w:ascii="Arial" w:hAnsi="Arial" w:cs="Arial"/>
                <w:sz w:val="26"/>
                <w:szCs w:val="26"/>
              </w:rPr>
              <w:t>,</w:t>
            </w:r>
            <w:r w:rsidR="00762959" w:rsidRPr="00E039A1">
              <w:rPr>
                <w:rFonts w:ascii="Arial" w:hAnsi="Arial" w:cs="Arial"/>
                <w:sz w:val="26"/>
                <w:szCs w:val="26"/>
              </w:rPr>
              <w:t xml:space="preserve"> al no haber señalado </w:t>
            </w:r>
            <w:r w:rsidR="00173675" w:rsidRPr="00E039A1">
              <w:rPr>
                <w:rFonts w:ascii="Arial" w:hAnsi="Arial" w:cs="Arial"/>
                <w:sz w:val="26"/>
                <w:szCs w:val="26"/>
              </w:rPr>
              <w:t>con precisión a la autoridad demandada, en el punto TERCERO resolutivo, que el pago ordenado debe hacerse en forma retroactiva a partir del uno de marzo de dos mil dieciséis, como lo solicito oportunamente tanto en su escrito inicial de demanda y en el recurso de revisión respectivo, dado que la ausencia de consideración alguna, la deja en estado de indefensión al desconocer a partir de qué fe</w:t>
            </w:r>
            <w:r>
              <w:rPr>
                <w:rFonts w:ascii="Arial" w:hAnsi="Arial" w:cs="Arial"/>
                <w:sz w:val="26"/>
                <w:szCs w:val="26"/>
              </w:rPr>
              <w:t>cha se debe efectuar el pago.</w:t>
            </w:r>
          </w:p>
          <w:p w:rsidR="008D496E" w:rsidRDefault="00CB186C" w:rsidP="00FA22A0">
            <w:pPr>
              <w:spacing w:after="360" w:line="360" w:lineRule="auto"/>
              <w:ind w:right="922"/>
              <w:jc w:val="both"/>
              <w:rPr>
                <w:rFonts w:ascii="Arial" w:hAnsi="Arial" w:cs="Arial"/>
                <w:sz w:val="26"/>
                <w:szCs w:val="26"/>
              </w:rPr>
            </w:pPr>
            <w:r>
              <w:rPr>
                <w:rFonts w:ascii="Arial" w:hAnsi="Arial" w:cs="Arial"/>
                <w:sz w:val="26"/>
                <w:szCs w:val="26"/>
              </w:rPr>
              <w:t xml:space="preserve">          </w:t>
            </w:r>
            <w:r w:rsidR="00240E70" w:rsidRPr="00E039A1">
              <w:rPr>
                <w:rFonts w:ascii="Arial" w:hAnsi="Arial" w:cs="Arial"/>
                <w:sz w:val="26"/>
                <w:szCs w:val="26"/>
              </w:rPr>
              <w:t xml:space="preserve">En consecuencia, es </w:t>
            </w:r>
            <w:r w:rsidR="00240E70" w:rsidRPr="00921D72">
              <w:rPr>
                <w:rFonts w:ascii="Arial" w:hAnsi="Arial" w:cs="Arial"/>
                <w:b/>
                <w:i/>
                <w:sz w:val="26"/>
                <w:szCs w:val="26"/>
              </w:rPr>
              <w:t>procedente y fundada</w:t>
            </w:r>
            <w:r w:rsidR="00240E70" w:rsidRPr="00E039A1">
              <w:rPr>
                <w:rFonts w:ascii="Arial" w:hAnsi="Arial" w:cs="Arial"/>
                <w:b/>
                <w:sz w:val="26"/>
                <w:szCs w:val="26"/>
              </w:rPr>
              <w:t xml:space="preserve"> </w:t>
            </w:r>
            <w:r w:rsidR="00240E70" w:rsidRPr="00E039A1">
              <w:rPr>
                <w:rFonts w:ascii="Arial" w:hAnsi="Arial" w:cs="Arial"/>
                <w:sz w:val="26"/>
                <w:szCs w:val="26"/>
              </w:rPr>
              <w:t xml:space="preserve">la aclaración planteada, porque del análisis </w:t>
            </w:r>
            <w:r w:rsidR="00083A84">
              <w:rPr>
                <w:rFonts w:ascii="Arial" w:hAnsi="Arial" w:cs="Arial"/>
                <w:sz w:val="26"/>
                <w:szCs w:val="26"/>
              </w:rPr>
              <w:t>del punto TERCERO resolutivo de</w:t>
            </w:r>
            <w:r w:rsidR="00240E70" w:rsidRPr="00E039A1">
              <w:rPr>
                <w:rFonts w:ascii="Arial" w:hAnsi="Arial" w:cs="Arial"/>
                <w:sz w:val="26"/>
                <w:szCs w:val="26"/>
              </w:rPr>
              <w:t xml:space="preserve"> la resolución de </w:t>
            </w:r>
            <w:r w:rsidR="00E039A1">
              <w:rPr>
                <w:rFonts w:ascii="Arial" w:hAnsi="Arial" w:cs="Arial"/>
                <w:sz w:val="26"/>
                <w:szCs w:val="26"/>
              </w:rPr>
              <w:t>31</w:t>
            </w:r>
            <w:r w:rsidR="00240E70" w:rsidRPr="00E039A1">
              <w:rPr>
                <w:rFonts w:ascii="Arial" w:hAnsi="Arial" w:cs="Arial"/>
                <w:sz w:val="26"/>
                <w:szCs w:val="26"/>
              </w:rPr>
              <w:t xml:space="preserve"> treinta </w:t>
            </w:r>
            <w:r w:rsidR="00E039A1">
              <w:rPr>
                <w:rFonts w:ascii="Arial" w:hAnsi="Arial" w:cs="Arial"/>
                <w:sz w:val="26"/>
                <w:szCs w:val="26"/>
              </w:rPr>
              <w:t xml:space="preserve">y uno de enero </w:t>
            </w:r>
            <w:r w:rsidR="00240E70" w:rsidRPr="00E039A1">
              <w:rPr>
                <w:rFonts w:ascii="Arial" w:hAnsi="Arial" w:cs="Arial"/>
                <w:sz w:val="26"/>
                <w:szCs w:val="26"/>
              </w:rPr>
              <w:t>de 201</w:t>
            </w:r>
            <w:r w:rsidR="00E039A1">
              <w:rPr>
                <w:rFonts w:ascii="Arial" w:hAnsi="Arial" w:cs="Arial"/>
                <w:sz w:val="26"/>
                <w:szCs w:val="26"/>
              </w:rPr>
              <w:t>9</w:t>
            </w:r>
            <w:r w:rsidR="00240E70" w:rsidRPr="00E039A1">
              <w:rPr>
                <w:rFonts w:ascii="Arial" w:hAnsi="Arial" w:cs="Arial"/>
                <w:sz w:val="26"/>
                <w:szCs w:val="26"/>
              </w:rPr>
              <w:t xml:space="preserve"> dos mil dieci</w:t>
            </w:r>
            <w:r w:rsidR="00E039A1">
              <w:rPr>
                <w:rFonts w:ascii="Arial" w:hAnsi="Arial" w:cs="Arial"/>
                <w:sz w:val="26"/>
                <w:szCs w:val="26"/>
              </w:rPr>
              <w:t>nueve</w:t>
            </w:r>
            <w:r w:rsidR="00240E70" w:rsidRPr="00E039A1">
              <w:rPr>
                <w:rFonts w:ascii="Arial" w:hAnsi="Arial" w:cs="Arial"/>
                <w:sz w:val="26"/>
                <w:szCs w:val="26"/>
              </w:rPr>
              <w:t xml:space="preserve">,  se advierte que se indicó lo siguiente: </w:t>
            </w:r>
            <w:r w:rsidR="00083A84">
              <w:rPr>
                <w:rFonts w:ascii="Arial" w:hAnsi="Arial" w:cs="Arial"/>
                <w:i/>
                <w:sz w:val="24"/>
                <w:szCs w:val="24"/>
              </w:rPr>
              <w:t>“Se ordena a la demanda</w:t>
            </w:r>
            <w:r w:rsidR="00EC7791">
              <w:rPr>
                <w:rFonts w:ascii="Arial" w:hAnsi="Arial" w:cs="Arial"/>
                <w:i/>
                <w:sz w:val="24"/>
                <w:szCs w:val="24"/>
              </w:rPr>
              <w:t>da</w:t>
            </w:r>
            <w:r w:rsidR="00083A84">
              <w:rPr>
                <w:rFonts w:ascii="Arial" w:hAnsi="Arial" w:cs="Arial"/>
                <w:i/>
                <w:sz w:val="24"/>
                <w:szCs w:val="24"/>
              </w:rPr>
              <w:t xml:space="preserve"> pague al actor como trabajador de confianza, las mismas prestaciones a que tienen derechos los trabajadores jubilados de base, sin el descuento previsto en los </w:t>
            </w:r>
            <w:r w:rsidR="00083A84">
              <w:rPr>
                <w:rFonts w:ascii="Arial" w:hAnsi="Arial" w:cs="Arial"/>
                <w:i/>
                <w:sz w:val="24"/>
                <w:szCs w:val="24"/>
              </w:rPr>
              <w:lastRenderedPageBreak/>
              <w:t>artículos 6 fracción III, 18 párrafo segundo y octavo transitorio de la Ley de Pensiones para los Trabajadores del Gobierno del Estado de Oaxaca…”</w:t>
            </w:r>
            <w:r w:rsidR="00240E70" w:rsidRPr="00E039A1">
              <w:rPr>
                <w:rFonts w:ascii="Arial" w:hAnsi="Arial" w:cs="Arial"/>
                <w:i/>
                <w:sz w:val="24"/>
                <w:szCs w:val="24"/>
              </w:rPr>
              <w:t xml:space="preserve">, </w:t>
            </w:r>
            <w:r w:rsidR="00A87EF6">
              <w:rPr>
                <w:rFonts w:ascii="Arial" w:hAnsi="Arial" w:cs="Arial"/>
                <w:sz w:val="26"/>
                <w:szCs w:val="26"/>
              </w:rPr>
              <w:t xml:space="preserve">al haberse declarado la nulidad </w:t>
            </w:r>
            <w:r w:rsidR="00240E70" w:rsidRPr="00E039A1">
              <w:rPr>
                <w:rFonts w:ascii="Arial" w:hAnsi="Arial" w:cs="Arial"/>
                <w:sz w:val="26"/>
                <w:szCs w:val="26"/>
              </w:rPr>
              <w:t xml:space="preserve">lisa y llana del acto impugnado, consistente en </w:t>
            </w:r>
            <w:r w:rsidR="00A87EF6">
              <w:rPr>
                <w:rFonts w:ascii="Arial" w:hAnsi="Arial" w:cs="Arial"/>
                <w:sz w:val="26"/>
                <w:szCs w:val="26"/>
              </w:rPr>
              <w:t>la resolución de 03 tres de octubre de 2017 dos mil diecisiete, emitida</w:t>
            </w:r>
            <w:r w:rsidR="00240E70" w:rsidRPr="00E039A1">
              <w:rPr>
                <w:rFonts w:ascii="Arial" w:hAnsi="Arial" w:cs="Arial"/>
                <w:sz w:val="26"/>
                <w:szCs w:val="26"/>
              </w:rPr>
              <w:t xml:space="preserve"> por el </w:t>
            </w:r>
            <w:r w:rsidR="00A87EF6">
              <w:rPr>
                <w:rFonts w:ascii="Arial" w:hAnsi="Arial" w:cs="Arial"/>
                <w:sz w:val="26"/>
                <w:szCs w:val="26"/>
              </w:rPr>
              <w:t xml:space="preserve">Consejo Directivo de la Oficina de Pensiones del </w:t>
            </w:r>
            <w:r w:rsidR="007674D1">
              <w:rPr>
                <w:rFonts w:ascii="Arial" w:hAnsi="Arial" w:cs="Arial"/>
                <w:sz w:val="26"/>
                <w:szCs w:val="26"/>
              </w:rPr>
              <w:t>G</w:t>
            </w:r>
            <w:r w:rsidR="00A87EF6">
              <w:rPr>
                <w:rFonts w:ascii="Arial" w:hAnsi="Arial" w:cs="Arial"/>
                <w:sz w:val="26"/>
                <w:szCs w:val="26"/>
              </w:rPr>
              <w:t xml:space="preserve">obierno del </w:t>
            </w:r>
            <w:r w:rsidR="00FF540E">
              <w:rPr>
                <w:rFonts w:ascii="Arial" w:hAnsi="Arial" w:cs="Arial"/>
                <w:sz w:val="26"/>
                <w:szCs w:val="26"/>
              </w:rPr>
              <w:t>Estado</w:t>
            </w:r>
            <w:r w:rsidR="008D496E">
              <w:rPr>
                <w:rFonts w:ascii="Arial" w:hAnsi="Arial" w:cs="Arial"/>
                <w:sz w:val="26"/>
                <w:szCs w:val="26"/>
              </w:rPr>
              <w:t>.</w:t>
            </w:r>
          </w:p>
          <w:p w:rsidR="008D496E" w:rsidRDefault="008D496E" w:rsidP="00FA22A0">
            <w:pPr>
              <w:spacing w:after="360" w:line="360" w:lineRule="auto"/>
              <w:ind w:right="922"/>
              <w:jc w:val="both"/>
              <w:rPr>
                <w:rFonts w:ascii="Arial" w:hAnsi="Arial" w:cs="Arial"/>
                <w:i/>
                <w:sz w:val="26"/>
                <w:szCs w:val="26"/>
              </w:rPr>
            </w:pPr>
            <w:r>
              <w:rPr>
                <w:rFonts w:ascii="Arial" w:hAnsi="Arial" w:cs="Arial"/>
                <w:sz w:val="26"/>
                <w:szCs w:val="26"/>
              </w:rPr>
              <w:t xml:space="preserve">         </w:t>
            </w:r>
            <w:r w:rsidR="00240E70">
              <w:rPr>
                <w:rFonts w:ascii="Arial" w:hAnsi="Arial" w:cs="Arial"/>
                <w:sz w:val="26"/>
                <w:szCs w:val="26"/>
              </w:rPr>
              <w:t xml:space="preserve">Así, la resolución emitida por esta Sala Superior es </w:t>
            </w:r>
            <w:r w:rsidR="00240E70" w:rsidRPr="0015243C">
              <w:rPr>
                <w:rFonts w:ascii="Arial" w:hAnsi="Arial" w:cs="Arial"/>
                <w:b/>
                <w:sz w:val="26"/>
                <w:szCs w:val="26"/>
              </w:rPr>
              <w:t>ambigua</w:t>
            </w:r>
            <w:r w:rsidR="00240E70" w:rsidRPr="00F66B84">
              <w:rPr>
                <w:rStyle w:val="Refdenotaalpie"/>
                <w:rFonts w:ascii="Arial" w:hAnsi="Arial" w:cs="Arial"/>
                <w:sz w:val="26"/>
                <w:szCs w:val="26"/>
              </w:rPr>
              <w:footnoteReference w:id="1"/>
            </w:r>
            <w:r w:rsidR="00240E70">
              <w:rPr>
                <w:rFonts w:ascii="Arial" w:hAnsi="Arial" w:cs="Arial"/>
                <w:b/>
                <w:sz w:val="26"/>
                <w:szCs w:val="26"/>
              </w:rPr>
              <w:t>:</w:t>
            </w:r>
            <w:r w:rsidR="00240E70" w:rsidRPr="00F66B84">
              <w:rPr>
                <w:rFonts w:ascii="Arial" w:hAnsi="Arial" w:cs="Arial"/>
                <w:sz w:val="26"/>
                <w:szCs w:val="26"/>
              </w:rPr>
              <w:t xml:space="preserve"> </w:t>
            </w:r>
            <w:r w:rsidR="00240E70">
              <w:rPr>
                <w:rFonts w:ascii="Arial" w:hAnsi="Arial" w:cs="Arial"/>
                <w:sz w:val="26"/>
                <w:szCs w:val="26"/>
              </w:rPr>
              <w:t>“</w:t>
            </w:r>
            <w:r w:rsidR="00240E70" w:rsidRPr="0015243C">
              <w:rPr>
                <w:rFonts w:ascii="Arial" w:hAnsi="Arial" w:cs="Arial"/>
                <w:i/>
                <w:sz w:val="26"/>
                <w:szCs w:val="26"/>
              </w:rPr>
              <w:t>Que puede</w:t>
            </w:r>
            <w:r w:rsidR="00240E70">
              <w:rPr>
                <w:rFonts w:ascii="Arial" w:hAnsi="Arial" w:cs="Arial"/>
                <w:i/>
                <w:sz w:val="26"/>
                <w:szCs w:val="26"/>
              </w:rPr>
              <w:t xml:space="preserve"> entenderse de varias maneras, o sea interpretada de diferentes modos, de forma que dé motivo a dudas, confusión o incertidumbre”, </w:t>
            </w:r>
            <w:r w:rsidR="00240E70" w:rsidRPr="000E67AD">
              <w:rPr>
                <w:rFonts w:ascii="Arial" w:hAnsi="Arial" w:cs="Arial"/>
                <w:sz w:val="26"/>
                <w:szCs w:val="26"/>
              </w:rPr>
              <w:t xml:space="preserve">además </w:t>
            </w:r>
            <w:r w:rsidR="00240E70">
              <w:rPr>
                <w:rFonts w:ascii="Arial" w:hAnsi="Arial" w:cs="Arial"/>
                <w:sz w:val="26"/>
                <w:szCs w:val="26"/>
              </w:rPr>
              <w:t>de</w:t>
            </w:r>
            <w:r w:rsidR="00240E70">
              <w:rPr>
                <w:rFonts w:ascii="Arial" w:hAnsi="Arial" w:cs="Arial"/>
                <w:i/>
                <w:sz w:val="26"/>
                <w:szCs w:val="26"/>
              </w:rPr>
              <w:t xml:space="preserve"> </w:t>
            </w:r>
            <w:r w:rsidR="00240E70">
              <w:rPr>
                <w:rFonts w:ascii="Arial" w:hAnsi="Arial" w:cs="Arial"/>
                <w:b/>
                <w:sz w:val="26"/>
                <w:szCs w:val="26"/>
              </w:rPr>
              <w:t>oscura</w:t>
            </w:r>
            <w:r w:rsidR="00240E70" w:rsidRPr="00F66B84">
              <w:rPr>
                <w:rStyle w:val="Refdenotaalpie"/>
                <w:rFonts w:ascii="Arial" w:hAnsi="Arial" w:cs="Arial"/>
                <w:sz w:val="26"/>
                <w:szCs w:val="26"/>
              </w:rPr>
              <w:footnoteReference w:id="2"/>
            </w:r>
            <w:r w:rsidR="00240E70">
              <w:rPr>
                <w:rFonts w:ascii="Arial" w:hAnsi="Arial" w:cs="Arial"/>
                <w:b/>
                <w:sz w:val="26"/>
                <w:szCs w:val="26"/>
              </w:rPr>
              <w:t>:</w:t>
            </w:r>
            <w:r w:rsidR="00240E70" w:rsidRPr="00F66B84">
              <w:rPr>
                <w:rFonts w:ascii="Arial" w:hAnsi="Arial" w:cs="Arial"/>
                <w:sz w:val="26"/>
                <w:szCs w:val="26"/>
              </w:rPr>
              <w:t xml:space="preserve"> “</w:t>
            </w:r>
            <w:r w:rsidR="00240E70" w:rsidRPr="005E7C58">
              <w:rPr>
                <w:rFonts w:ascii="Arial" w:hAnsi="Arial" w:cs="Arial"/>
                <w:i/>
                <w:sz w:val="26"/>
                <w:szCs w:val="26"/>
              </w:rPr>
              <w:t>Falto de claridad</w:t>
            </w:r>
            <w:r w:rsidR="00240E70">
              <w:rPr>
                <w:rFonts w:ascii="Arial" w:hAnsi="Arial" w:cs="Arial"/>
                <w:sz w:val="26"/>
                <w:szCs w:val="26"/>
              </w:rPr>
              <w:t>, confuso, poco inteligible</w:t>
            </w:r>
            <w:r w:rsidR="00240E70" w:rsidRPr="00F66B84">
              <w:rPr>
                <w:rFonts w:ascii="Arial" w:hAnsi="Arial" w:cs="Arial"/>
                <w:i/>
                <w:sz w:val="26"/>
                <w:szCs w:val="26"/>
              </w:rPr>
              <w:t>”</w:t>
            </w:r>
            <w:r>
              <w:rPr>
                <w:rFonts w:ascii="Arial" w:hAnsi="Arial" w:cs="Arial"/>
                <w:i/>
                <w:sz w:val="26"/>
                <w:szCs w:val="26"/>
              </w:rPr>
              <w:t>.</w:t>
            </w:r>
          </w:p>
          <w:p w:rsidR="008D496E" w:rsidRDefault="008D496E" w:rsidP="00FA22A0">
            <w:pPr>
              <w:spacing w:after="360" w:line="360" w:lineRule="auto"/>
              <w:ind w:right="922"/>
              <w:jc w:val="both"/>
              <w:rPr>
                <w:rFonts w:ascii="Arial" w:hAnsi="Arial" w:cs="Arial"/>
                <w:sz w:val="26"/>
                <w:szCs w:val="26"/>
              </w:rPr>
            </w:pPr>
            <w:r>
              <w:rPr>
                <w:rFonts w:ascii="Arial" w:hAnsi="Arial" w:cs="Arial"/>
                <w:i/>
                <w:sz w:val="26"/>
                <w:szCs w:val="26"/>
              </w:rPr>
              <w:t xml:space="preserve">         </w:t>
            </w:r>
            <w:r w:rsidR="00240E70">
              <w:rPr>
                <w:rFonts w:ascii="Arial" w:hAnsi="Arial" w:cs="Arial"/>
                <w:i/>
                <w:sz w:val="26"/>
                <w:szCs w:val="26"/>
              </w:rPr>
              <w:t xml:space="preserve"> </w:t>
            </w:r>
            <w:r w:rsidR="00240E70">
              <w:rPr>
                <w:rFonts w:ascii="Arial" w:hAnsi="Arial" w:cs="Arial"/>
                <w:sz w:val="26"/>
                <w:szCs w:val="26"/>
              </w:rPr>
              <w:t xml:space="preserve">Lo anterior, al no </w:t>
            </w:r>
            <w:r w:rsidR="00876F38">
              <w:rPr>
                <w:rFonts w:ascii="Arial" w:hAnsi="Arial" w:cs="Arial"/>
                <w:sz w:val="26"/>
                <w:szCs w:val="26"/>
              </w:rPr>
              <w:t>precisarse</w:t>
            </w:r>
            <w:r w:rsidR="00240E70">
              <w:rPr>
                <w:rFonts w:ascii="Arial" w:hAnsi="Arial" w:cs="Arial"/>
                <w:sz w:val="26"/>
                <w:szCs w:val="26"/>
              </w:rPr>
              <w:t xml:space="preserve"> en la resolución de</w:t>
            </w:r>
            <w:r w:rsidR="00CF61AD">
              <w:rPr>
                <w:rFonts w:ascii="Arial" w:hAnsi="Arial" w:cs="Arial"/>
                <w:sz w:val="26"/>
                <w:szCs w:val="26"/>
              </w:rPr>
              <w:t xml:space="preserve"> 31</w:t>
            </w:r>
            <w:r w:rsidR="00240E70">
              <w:rPr>
                <w:rFonts w:ascii="Arial" w:hAnsi="Arial" w:cs="Arial"/>
                <w:sz w:val="26"/>
                <w:szCs w:val="26"/>
              </w:rPr>
              <w:t xml:space="preserve"> treinta </w:t>
            </w:r>
            <w:r w:rsidR="00CF61AD">
              <w:rPr>
                <w:rFonts w:ascii="Arial" w:hAnsi="Arial" w:cs="Arial"/>
                <w:sz w:val="26"/>
                <w:szCs w:val="26"/>
              </w:rPr>
              <w:t>y uno de enero de 2019 dos mil diecinueve</w:t>
            </w:r>
            <w:r w:rsidR="00876F38">
              <w:rPr>
                <w:rFonts w:ascii="Arial" w:hAnsi="Arial" w:cs="Arial"/>
                <w:sz w:val="26"/>
                <w:szCs w:val="26"/>
              </w:rPr>
              <w:t>,</w:t>
            </w:r>
            <w:r w:rsidR="00240E70">
              <w:rPr>
                <w:rFonts w:ascii="Arial" w:hAnsi="Arial" w:cs="Arial"/>
                <w:sz w:val="26"/>
                <w:szCs w:val="26"/>
              </w:rPr>
              <w:t xml:space="preserve"> </w:t>
            </w:r>
            <w:r w:rsidR="00876F38">
              <w:rPr>
                <w:rFonts w:ascii="Arial" w:hAnsi="Arial" w:cs="Arial"/>
                <w:sz w:val="26"/>
                <w:szCs w:val="26"/>
              </w:rPr>
              <w:t xml:space="preserve">que la autoridad </w:t>
            </w:r>
            <w:r w:rsidR="00876F38" w:rsidRPr="00876F38">
              <w:rPr>
                <w:rFonts w:ascii="Arial" w:hAnsi="Arial" w:cs="Arial"/>
                <w:i/>
                <w:sz w:val="26"/>
                <w:szCs w:val="26"/>
              </w:rPr>
              <w:t>“Consejo Directivo de la Oficina de Pensiones del Gobierno del Estado”</w:t>
            </w:r>
            <w:r w:rsidR="00876F38">
              <w:rPr>
                <w:rFonts w:ascii="Arial" w:hAnsi="Arial" w:cs="Arial"/>
                <w:i/>
                <w:sz w:val="26"/>
                <w:szCs w:val="26"/>
              </w:rPr>
              <w:t xml:space="preserve">, </w:t>
            </w:r>
            <w:r w:rsidR="00921D72" w:rsidRPr="00921D72">
              <w:rPr>
                <w:rFonts w:ascii="Arial" w:hAnsi="Arial" w:cs="Arial"/>
                <w:sz w:val="26"/>
                <w:szCs w:val="26"/>
              </w:rPr>
              <w:t xml:space="preserve">proceda a </w:t>
            </w:r>
            <w:r w:rsidR="00876F38" w:rsidRPr="00921D72">
              <w:rPr>
                <w:rFonts w:ascii="Arial" w:hAnsi="Arial" w:cs="Arial"/>
                <w:sz w:val="26"/>
                <w:szCs w:val="26"/>
              </w:rPr>
              <w:t>pag</w:t>
            </w:r>
            <w:r w:rsidR="00921D72" w:rsidRPr="00921D72">
              <w:rPr>
                <w:rFonts w:ascii="Arial" w:hAnsi="Arial" w:cs="Arial"/>
                <w:sz w:val="26"/>
                <w:szCs w:val="26"/>
              </w:rPr>
              <w:t>arle</w:t>
            </w:r>
            <w:r w:rsidR="00876F38">
              <w:rPr>
                <w:rFonts w:ascii="Arial" w:hAnsi="Arial" w:cs="Arial"/>
                <w:sz w:val="26"/>
                <w:szCs w:val="26"/>
              </w:rPr>
              <w:t xml:space="preserve"> </w:t>
            </w:r>
            <w:r w:rsidR="002246C8">
              <w:rPr>
                <w:rFonts w:ascii="Arial" w:hAnsi="Arial" w:cs="Arial"/>
                <w:sz w:val="26"/>
                <w:szCs w:val="26"/>
              </w:rPr>
              <w:t xml:space="preserve">a </w:t>
            </w:r>
            <w:r w:rsidR="00D768C0">
              <w:rPr>
                <w:rFonts w:ascii="Arial" w:hAnsi="Arial" w:cs="Arial"/>
                <w:b/>
                <w:sz w:val="26"/>
                <w:szCs w:val="26"/>
              </w:rPr>
              <w:t>**********</w:t>
            </w:r>
            <w:r w:rsidR="002246C8" w:rsidRPr="002246C8">
              <w:rPr>
                <w:rFonts w:ascii="Arial" w:hAnsi="Arial" w:cs="Arial"/>
                <w:b/>
                <w:sz w:val="26"/>
                <w:szCs w:val="26"/>
              </w:rPr>
              <w:t>,</w:t>
            </w:r>
            <w:r w:rsidR="002246C8">
              <w:rPr>
                <w:rFonts w:ascii="Arial" w:hAnsi="Arial" w:cs="Arial"/>
                <w:sz w:val="26"/>
                <w:szCs w:val="26"/>
              </w:rPr>
              <w:t xml:space="preserve"> </w:t>
            </w:r>
            <w:r w:rsidR="00876F38">
              <w:rPr>
                <w:rFonts w:ascii="Arial" w:hAnsi="Arial" w:cs="Arial"/>
                <w:sz w:val="26"/>
                <w:szCs w:val="26"/>
              </w:rPr>
              <w:t xml:space="preserve">las prestaciones </w:t>
            </w:r>
            <w:r w:rsidR="00876F38" w:rsidRPr="00876F38">
              <w:rPr>
                <w:rFonts w:ascii="Arial" w:hAnsi="Arial" w:cs="Arial"/>
                <w:sz w:val="26"/>
                <w:szCs w:val="26"/>
              </w:rPr>
              <w:t>a que tienen derechos los trabajadores jubilados de base</w:t>
            </w:r>
            <w:r w:rsidR="00876F38">
              <w:rPr>
                <w:rFonts w:ascii="Arial" w:hAnsi="Arial" w:cs="Arial"/>
                <w:sz w:val="26"/>
                <w:szCs w:val="26"/>
              </w:rPr>
              <w:t xml:space="preserve">, </w:t>
            </w:r>
            <w:r w:rsidR="00921D72" w:rsidRPr="00E039A1">
              <w:rPr>
                <w:rFonts w:ascii="Arial" w:hAnsi="Arial" w:cs="Arial"/>
                <w:sz w:val="26"/>
                <w:szCs w:val="26"/>
              </w:rPr>
              <w:t>en forma retroactiva a partir del uno de marzo de dos mil dieciséis</w:t>
            </w:r>
            <w:r w:rsidR="00A470C1">
              <w:rPr>
                <w:rFonts w:ascii="Arial" w:hAnsi="Arial" w:cs="Arial"/>
                <w:sz w:val="26"/>
                <w:szCs w:val="26"/>
              </w:rPr>
              <w:t xml:space="preserve">, </w:t>
            </w:r>
            <w:r w:rsidR="005B5342">
              <w:rPr>
                <w:rFonts w:ascii="Arial" w:hAnsi="Arial" w:cs="Arial"/>
                <w:sz w:val="26"/>
                <w:szCs w:val="26"/>
              </w:rPr>
              <w:t xml:space="preserve">sin el descuento previsto en los artículos 6 fracción III, 18 párrafo segundo y octavo transitorio de la Ley de Pensiones para los Trabajadores del gobierno del Estado de Oaxaca, </w:t>
            </w:r>
            <w:r w:rsidR="00A470C1">
              <w:rPr>
                <w:rFonts w:ascii="Arial" w:hAnsi="Arial" w:cs="Arial"/>
                <w:sz w:val="26"/>
                <w:szCs w:val="26"/>
              </w:rPr>
              <w:t>En consecuencia, a</w:t>
            </w:r>
            <w:r w:rsidR="00240E70">
              <w:rPr>
                <w:rFonts w:ascii="Arial" w:hAnsi="Arial" w:cs="Arial"/>
                <w:sz w:val="26"/>
                <w:szCs w:val="26"/>
              </w:rPr>
              <w:t>nte las narradas consideraciones, con fundamento en lo dispuesto por el artículo 181 de la Ley de Justicia Admi</w:t>
            </w:r>
            <w:r>
              <w:rPr>
                <w:rFonts w:ascii="Arial" w:hAnsi="Arial" w:cs="Arial"/>
                <w:sz w:val="26"/>
                <w:szCs w:val="26"/>
              </w:rPr>
              <w:t>nistrativa para el Estado, se:</w:t>
            </w:r>
          </w:p>
          <w:p w:rsidR="008D496E" w:rsidRDefault="008D496E" w:rsidP="00EC7791">
            <w:pPr>
              <w:spacing w:after="0" w:line="360" w:lineRule="auto"/>
              <w:ind w:right="922"/>
              <w:jc w:val="center"/>
              <w:rPr>
                <w:rFonts w:ascii="Arial" w:hAnsi="Arial" w:cs="Arial"/>
                <w:b/>
                <w:sz w:val="26"/>
                <w:szCs w:val="26"/>
              </w:rPr>
            </w:pPr>
            <w:r>
              <w:rPr>
                <w:rFonts w:ascii="Arial" w:hAnsi="Arial" w:cs="Arial"/>
                <w:b/>
                <w:sz w:val="26"/>
                <w:szCs w:val="26"/>
              </w:rPr>
              <w:t>R E S U E L V E:</w:t>
            </w:r>
          </w:p>
          <w:p w:rsidR="008D496E" w:rsidRDefault="008D496E" w:rsidP="00EC7791">
            <w:pPr>
              <w:spacing w:after="0" w:line="360" w:lineRule="auto"/>
              <w:ind w:right="922"/>
              <w:jc w:val="both"/>
              <w:rPr>
                <w:rFonts w:ascii="Arial" w:hAnsi="Arial" w:cs="Arial"/>
                <w:sz w:val="26"/>
                <w:szCs w:val="26"/>
                <w:lang w:val="es-MX"/>
              </w:rPr>
            </w:pPr>
            <w:r>
              <w:rPr>
                <w:rFonts w:ascii="Arial" w:hAnsi="Arial" w:cs="Arial"/>
                <w:b/>
                <w:sz w:val="26"/>
                <w:szCs w:val="26"/>
              </w:rPr>
              <w:t xml:space="preserve">         </w:t>
            </w:r>
            <w:r w:rsidR="00240E70">
              <w:rPr>
                <w:rFonts w:ascii="Arial" w:hAnsi="Arial" w:cs="Arial"/>
                <w:b/>
                <w:sz w:val="26"/>
                <w:szCs w:val="26"/>
              </w:rPr>
              <w:t>PRIMERO.</w:t>
            </w:r>
            <w:r w:rsidR="00240E70">
              <w:rPr>
                <w:rFonts w:ascii="Arial" w:hAnsi="Arial" w:cs="Arial"/>
                <w:sz w:val="26"/>
                <w:szCs w:val="26"/>
              </w:rPr>
              <w:t xml:space="preserve"> Es </w:t>
            </w:r>
            <w:r w:rsidR="00240E70" w:rsidRPr="0045047F">
              <w:rPr>
                <w:rFonts w:ascii="Arial" w:hAnsi="Arial" w:cs="Arial"/>
                <w:b/>
                <w:i/>
                <w:sz w:val="26"/>
                <w:szCs w:val="26"/>
              </w:rPr>
              <w:t>PROCEDENTE Y FUNDADA</w:t>
            </w:r>
            <w:r w:rsidR="00240E70">
              <w:rPr>
                <w:rFonts w:ascii="Arial" w:hAnsi="Arial" w:cs="Arial"/>
                <w:sz w:val="26"/>
                <w:szCs w:val="26"/>
              </w:rPr>
              <w:t xml:space="preserve"> la aclaración de la resolución de 3</w:t>
            </w:r>
            <w:r w:rsidR="00A04434">
              <w:rPr>
                <w:rFonts w:ascii="Arial" w:hAnsi="Arial" w:cs="Arial"/>
                <w:sz w:val="26"/>
                <w:szCs w:val="26"/>
              </w:rPr>
              <w:t>1</w:t>
            </w:r>
            <w:r w:rsidR="00240E70">
              <w:rPr>
                <w:rFonts w:ascii="Arial" w:hAnsi="Arial" w:cs="Arial"/>
                <w:sz w:val="26"/>
                <w:szCs w:val="26"/>
              </w:rPr>
              <w:t xml:space="preserve"> treinta</w:t>
            </w:r>
            <w:r w:rsidR="00A04434">
              <w:rPr>
                <w:rFonts w:ascii="Arial" w:hAnsi="Arial" w:cs="Arial"/>
                <w:sz w:val="26"/>
                <w:szCs w:val="26"/>
              </w:rPr>
              <w:t xml:space="preserve"> y uno de enero </w:t>
            </w:r>
            <w:r w:rsidR="00240E70">
              <w:rPr>
                <w:rFonts w:ascii="Arial" w:hAnsi="Arial" w:cs="Arial"/>
                <w:sz w:val="26"/>
                <w:szCs w:val="26"/>
              </w:rPr>
              <w:t>de 201</w:t>
            </w:r>
            <w:r w:rsidR="00A04434">
              <w:rPr>
                <w:rFonts w:ascii="Arial" w:hAnsi="Arial" w:cs="Arial"/>
                <w:sz w:val="26"/>
                <w:szCs w:val="26"/>
              </w:rPr>
              <w:t>9</w:t>
            </w:r>
            <w:r w:rsidR="00240E70">
              <w:rPr>
                <w:rFonts w:ascii="Arial" w:hAnsi="Arial" w:cs="Arial"/>
                <w:sz w:val="26"/>
                <w:szCs w:val="26"/>
              </w:rPr>
              <w:t xml:space="preserve"> dos mil dieci</w:t>
            </w:r>
            <w:r w:rsidR="00A04434">
              <w:rPr>
                <w:rFonts w:ascii="Arial" w:hAnsi="Arial" w:cs="Arial"/>
                <w:sz w:val="26"/>
                <w:szCs w:val="26"/>
              </w:rPr>
              <w:t>nueve</w:t>
            </w:r>
            <w:r w:rsidR="00240E70">
              <w:rPr>
                <w:rFonts w:ascii="Arial" w:hAnsi="Arial" w:cs="Arial"/>
                <w:sz w:val="26"/>
                <w:szCs w:val="26"/>
              </w:rPr>
              <w:t>, por las consideraciones señaladas en la presente resolución</w:t>
            </w:r>
            <w:r w:rsidR="007E56BB">
              <w:rPr>
                <w:rFonts w:ascii="Arial" w:hAnsi="Arial" w:cs="Arial"/>
                <w:sz w:val="26"/>
                <w:szCs w:val="26"/>
              </w:rPr>
              <w:t xml:space="preserve">, </w:t>
            </w:r>
            <w:r w:rsidR="007E56BB">
              <w:rPr>
                <w:rFonts w:ascii="Arial" w:hAnsi="Arial" w:cs="Arial"/>
                <w:sz w:val="26"/>
                <w:szCs w:val="26"/>
                <w:lang w:val="es-MX"/>
              </w:rPr>
              <w:t>para quedar en los términos p</w:t>
            </w:r>
            <w:r>
              <w:rPr>
                <w:rFonts w:ascii="Arial" w:hAnsi="Arial" w:cs="Arial"/>
                <w:sz w:val="26"/>
                <w:szCs w:val="26"/>
                <w:lang w:val="es-MX"/>
              </w:rPr>
              <w:t>recisados en el presente fallo.</w:t>
            </w:r>
          </w:p>
          <w:p w:rsidR="008D496E" w:rsidRDefault="006541F1" w:rsidP="00EC7791">
            <w:pPr>
              <w:spacing w:after="0" w:line="360" w:lineRule="auto"/>
              <w:ind w:right="922"/>
              <w:jc w:val="both"/>
              <w:rPr>
                <w:rFonts w:ascii="Arial" w:hAnsi="Arial" w:cs="Arial"/>
                <w:sz w:val="26"/>
                <w:szCs w:val="26"/>
                <w:lang w:val="es-MX"/>
              </w:rPr>
            </w:pPr>
            <w:r>
              <w:rPr>
                <w:rFonts w:ascii="Arial" w:hAnsi="Arial" w:cs="Arial"/>
                <w:sz w:val="26"/>
                <w:szCs w:val="26"/>
                <w:lang w:val="es-MX"/>
              </w:rPr>
              <w:t xml:space="preserve">        </w:t>
            </w:r>
            <w:r w:rsidR="00240E70">
              <w:rPr>
                <w:rFonts w:ascii="Arial" w:hAnsi="Arial" w:cs="Arial"/>
                <w:b/>
                <w:sz w:val="26"/>
                <w:szCs w:val="26"/>
              </w:rPr>
              <w:t>SEGUNDO.</w:t>
            </w:r>
            <w:r w:rsidR="007E56BB">
              <w:rPr>
                <w:rFonts w:ascii="Arial" w:hAnsi="Arial" w:cs="Arial"/>
                <w:b/>
                <w:sz w:val="26"/>
                <w:szCs w:val="26"/>
              </w:rPr>
              <w:t xml:space="preserve"> </w:t>
            </w:r>
            <w:r w:rsidR="00C7079A" w:rsidRPr="008F7095">
              <w:rPr>
                <w:rFonts w:ascii="Arial" w:hAnsi="Arial" w:cs="Arial"/>
                <w:sz w:val="26"/>
                <w:szCs w:val="26"/>
                <w:lang w:val="es-MX"/>
              </w:rPr>
              <w:t xml:space="preserve">Esta aclaración forma parte integral de la resolución de </w:t>
            </w:r>
            <w:r w:rsidR="00C7079A">
              <w:rPr>
                <w:rFonts w:ascii="Arial" w:hAnsi="Arial" w:cs="Arial"/>
                <w:sz w:val="26"/>
                <w:szCs w:val="26"/>
              </w:rPr>
              <w:t>31 treinta y uno de enero de 2019 dos mil diecinueve</w:t>
            </w:r>
            <w:r w:rsidR="00C7079A">
              <w:rPr>
                <w:rFonts w:ascii="Arial" w:hAnsi="Arial" w:cs="Arial"/>
                <w:sz w:val="26"/>
                <w:szCs w:val="26"/>
                <w:lang w:val="es-MX"/>
              </w:rPr>
              <w:t>, dictada en el</w:t>
            </w:r>
            <w:r w:rsidR="008D496E">
              <w:rPr>
                <w:rFonts w:ascii="Arial" w:hAnsi="Arial" w:cs="Arial"/>
                <w:sz w:val="26"/>
                <w:szCs w:val="26"/>
                <w:lang w:val="es-MX"/>
              </w:rPr>
              <w:t xml:space="preserve"> Recurso de Revisión 0354/2018.</w:t>
            </w:r>
          </w:p>
          <w:p w:rsidR="00240E70" w:rsidRPr="006541F1" w:rsidRDefault="006541F1" w:rsidP="00EC7791">
            <w:pPr>
              <w:spacing w:after="0" w:line="360" w:lineRule="auto"/>
              <w:ind w:right="922"/>
              <w:jc w:val="both"/>
              <w:rPr>
                <w:rFonts w:ascii="Arial" w:hAnsi="Arial" w:cs="Arial"/>
                <w:sz w:val="26"/>
                <w:szCs w:val="26"/>
              </w:rPr>
            </w:pPr>
            <w:r>
              <w:rPr>
                <w:rFonts w:ascii="Arial" w:hAnsi="Arial" w:cs="Arial"/>
                <w:sz w:val="26"/>
                <w:szCs w:val="26"/>
                <w:lang w:val="es-MX"/>
              </w:rPr>
              <w:t xml:space="preserve">        </w:t>
            </w:r>
            <w:r w:rsidR="00C7079A" w:rsidRPr="00C7079A">
              <w:rPr>
                <w:rFonts w:ascii="Arial" w:hAnsi="Arial" w:cs="Arial"/>
                <w:b/>
                <w:sz w:val="26"/>
                <w:szCs w:val="26"/>
                <w:lang w:val="es-MX"/>
              </w:rPr>
              <w:t>TERCERO.</w:t>
            </w:r>
            <w:r w:rsidR="00C7079A">
              <w:rPr>
                <w:rFonts w:ascii="Arial" w:hAnsi="Arial" w:cs="Arial"/>
                <w:sz w:val="26"/>
                <w:szCs w:val="26"/>
                <w:lang w:val="es-MX"/>
              </w:rPr>
              <w:t xml:space="preserve"> </w:t>
            </w:r>
            <w:r w:rsidR="00240E70">
              <w:rPr>
                <w:rFonts w:ascii="Arial" w:hAnsi="Arial" w:cs="Arial"/>
                <w:b/>
                <w:sz w:val="26"/>
                <w:szCs w:val="26"/>
              </w:rPr>
              <w:t>NOTIFÍQUESE Y CÚMPLASE,</w:t>
            </w:r>
            <w:r w:rsidR="00240E70">
              <w:rPr>
                <w:rFonts w:ascii="Arial" w:hAnsi="Arial" w:cs="Arial"/>
                <w:sz w:val="26"/>
                <w:szCs w:val="26"/>
              </w:rPr>
              <w:t xml:space="preserve"> con copia certificada de la misma, vuelvan el expediente a la S</w:t>
            </w:r>
            <w:r w:rsidR="00A04434">
              <w:rPr>
                <w:rFonts w:ascii="Arial" w:hAnsi="Arial" w:cs="Arial"/>
                <w:sz w:val="26"/>
                <w:szCs w:val="26"/>
              </w:rPr>
              <w:t>éptima</w:t>
            </w:r>
            <w:r w:rsidR="00240E70">
              <w:rPr>
                <w:rFonts w:ascii="Arial" w:hAnsi="Arial" w:cs="Arial"/>
                <w:sz w:val="26"/>
                <w:szCs w:val="26"/>
              </w:rPr>
              <w:t xml:space="preserve"> Sala Unitaria de Primera Instancia, y en su oportunidad archívese el cuade</w:t>
            </w:r>
            <w:r>
              <w:rPr>
                <w:rFonts w:ascii="Arial" w:hAnsi="Arial" w:cs="Arial"/>
                <w:sz w:val="26"/>
                <w:szCs w:val="26"/>
              </w:rPr>
              <w:t>rno de revisión como concluido.</w:t>
            </w:r>
          </w:p>
          <w:p w:rsidR="008D496E" w:rsidRDefault="008D496E" w:rsidP="00EC7791">
            <w:pPr>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lastRenderedPageBreak/>
              <w:t>Así por unanimidad de votos, lo resolvieron y firmaron los Magistrados integrantes de la Sala Superior del Tribunal de Justicia Administrativa del Estado de Oaxaca; quienes actúan con la Secretaria General de Acuerdos de este Tribunal, que autoriza y da fe.</w:t>
            </w:r>
          </w:p>
          <w:p w:rsidR="008D496E" w:rsidRDefault="008D496E" w:rsidP="00EC7791">
            <w:pPr>
              <w:tabs>
                <w:tab w:val="left" w:pos="1985"/>
              </w:tabs>
              <w:spacing w:after="0" w:line="360" w:lineRule="auto"/>
              <w:ind w:firstLine="708"/>
              <w:jc w:val="both"/>
              <w:rPr>
                <w:rFonts w:ascii="Arial" w:hAnsi="Arial" w:cs="Arial"/>
                <w:bCs/>
                <w:sz w:val="26"/>
                <w:szCs w:val="26"/>
              </w:rPr>
            </w:pPr>
          </w:p>
          <w:p w:rsidR="008D496E" w:rsidRDefault="008D496E" w:rsidP="00EC7791">
            <w:pPr>
              <w:tabs>
                <w:tab w:val="left" w:pos="1985"/>
              </w:tabs>
              <w:spacing w:after="0" w:line="360" w:lineRule="auto"/>
              <w:jc w:val="both"/>
              <w:rPr>
                <w:rFonts w:ascii="Arial" w:hAnsi="Arial" w:cs="Arial"/>
                <w:bCs/>
                <w:sz w:val="26"/>
                <w:szCs w:val="26"/>
              </w:rPr>
            </w:pPr>
          </w:p>
          <w:p w:rsidR="008D496E" w:rsidRDefault="008D496E" w:rsidP="008D496E">
            <w:pPr>
              <w:tabs>
                <w:tab w:val="left" w:pos="1985"/>
              </w:tabs>
              <w:spacing w:after="0" w:line="360" w:lineRule="auto"/>
              <w:ind w:firstLine="708"/>
              <w:jc w:val="both"/>
              <w:rPr>
                <w:rFonts w:ascii="Arial" w:hAnsi="Arial" w:cs="Arial"/>
                <w:bCs/>
                <w:sz w:val="26"/>
                <w:szCs w:val="26"/>
              </w:rPr>
            </w:pPr>
          </w:p>
          <w:p w:rsidR="008D496E" w:rsidRDefault="008D496E" w:rsidP="008D496E">
            <w:pPr>
              <w:tabs>
                <w:tab w:val="left" w:pos="1985"/>
              </w:tabs>
              <w:spacing w:after="0" w:line="360" w:lineRule="auto"/>
              <w:ind w:firstLine="708"/>
              <w:jc w:val="both"/>
              <w:rPr>
                <w:rFonts w:ascii="Arial" w:hAnsi="Arial" w:cs="Arial"/>
                <w:bCs/>
                <w:sz w:val="26"/>
                <w:szCs w:val="26"/>
              </w:rPr>
            </w:pPr>
          </w:p>
          <w:p w:rsidR="008D496E" w:rsidRDefault="008D496E" w:rsidP="008D496E">
            <w:pPr>
              <w:spacing w:after="0" w:line="240" w:lineRule="auto"/>
              <w:jc w:val="center"/>
              <w:rPr>
                <w:rFonts w:ascii="Arial" w:hAnsi="Arial" w:cs="Arial"/>
                <w:sz w:val="26"/>
                <w:szCs w:val="26"/>
              </w:rPr>
            </w:pPr>
            <w:r>
              <w:rPr>
                <w:rFonts w:ascii="Arial" w:hAnsi="Arial" w:cs="Arial"/>
                <w:sz w:val="26"/>
                <w:szCs w:val="26"/>
              </w:rPr>
              <w:t>MAGISTRADO ADRIÁN QUIROGA AVENDAÑO.</w:t>
            </w:r>
          </w:p>
          <w:p w:rsidR="008D496E" w:rsidRDefault="008D496E" w:rsidP="008D496E">
            <w:pPr>
              <w:spacing w:after="0" w:line="240" w:lineRule="auto"/>
              <w:jc w:val="center"/>
              <w:rPr>
                <w:rFonts w:ascii="Arial" w:hAnsi="Arial" w:cs="Arial"/>
                <w:sz w:val="26"/>
                <w:szCs w:val="26"/>
              </w:rPr>
            </w:pPr>
            <w:r>
              <w:rPr>
                <w:rFonts w:ascii="Arial" w:hAnsi="Arial" w:cs="Arial"/>
                <w:sz w:val="26"/>
                <w:szCs w:val="26"/>
              </w:rPr>
              <w:t>PRESIDENTE</w:t>
            </w:r>
          </w:p>
          <w:p w:rsidR="008D496E" w:rsidRDefault="008D496E" w:rsidP="008D496E">
            <w:pPr>
              <w:spacing w:after="0" w:line="240" w:lineRule="auto"/>
              <w:jc w:val="center"/>
              <w:rPr>
                <w:rFonts w:ascii="Arial" w:hAnsi="Arial" w:cs="Arial"/>
                <w:sz w:val="26"/>
                <w:szCs w:val="26"/>
              </w:rPr>
            </w:pPr>
          </w:p>
          <w:p w:rsidR="008D496E" w:rsidRDefault="008D496E" w:rsidP="008D496E">
            <w:pPr>
              <w:spacing w:after="0" w:line="240" w:lineRule="auto"/>
              <w:jc w:val="center"/>
              <w:rPr>
                <w:rFonts w:ascii="Arial" w:hAnsi="Arial" w:cs="Arial"/>
                <w:sz w:val="26"/>
                <w:szCs w:val="26"/>
              </w:rPr>
            </w:pPr>
          </w:p>
          <w:p w:rsidR="008D496E" w:rsidRDefault="008D496E" w:rsidP="008D496E">
            <w:pPr>
              <w:spacing w:after="0" w:line="240" w:lineRule="auto"/>
              <w:jc w:val="center"/>
              <w:rPr>
                <w:rFonts w:ascii="Arial" w:hAnsi="Arial" w:cs="Arial"/>
                <w:sz w:val="26"/>
                <w:szCs w:val="26"/>
              </w:rPr>
            </w:pPr>
          </w:p>
          <w:p w:rsidR="008D496E" w:rsidRDefault="008D496E" w:rsidP="008D496E">
            <w:pPr>
              <w:spacing w:after="0" w:line="240" w:lineRule="auto"/>
              <w:jc w:val="center"/>
              <w:rPr>
                <w:rFonts w:ascii="Arial" w:hAnsi="Arial" w:cs="Arial"/>
                <w:sz w:val="26"/>
                <w:szCs w:val="26"/>
              </w:rPr>
            </w:pPr>
          </w:p>
          <w:p w:rsidR="00EC7791" w:rsidRDefault="00EC7791" w:rsidP="008D496E">
            <w:pPr>
              <w:spacing w:after="0" w:line="240" w:lineRule="auto"/>
              <w:jc w:val="center"/>
              <w:rPr>
                <w:rFonts w:ascii="Arial" w:hAnsi="Arial" w:cs="Arial"/>
                <w:sz w:val="26"/>
                <w:szCs w:val="26"/>
              </w:rPr>
            </w:pPr>
          </w:p>
          <w:p w:rsidR="008D496E" w:rsidRDefault="008D496E" w:rsidP="00EC7791">
            <w:pPr>
              <w:spacing w:after="0" w:line="240" w:lineRule="auto"/>
              <w:rPr>
                <w:rFonts w:ascii="Arial" w:hAnsi="Arial" w:cs="Arial"/>
                <w:sz w:val="26"/>
                <w:szCs w:val="26"/>
              </w:rPr>
            </w:pPr>
          </w:p>
          <w:p w:rsidR="008D496E" w:rsidRDefault="008D496E" w:rsidP="008D496E">
            <w:pPr>
              <w:spacing w:after="0" w:line="240" w:lineRule="auto"/>
              <w:jc w:val="center"/>
              <w:rPr>
                <w:rFonts w:ascii="Arial" w:hAnsi="Arial" w:cs="Arial"/>
                <w:sz w:val="26"/>
                <w:szCs w:val="26"/>
              </w:rPr>
            </w:pPr>
          </w:p>
          <w:p w:rsidR="008D496E" w:rsidRDefault="008D496E" w:rsidP="008D496E">
            <w:pPr>
              <w:spacing w:after="0" w:line="360" w:lineRule="auto"/>
              <w:jc w:val="center"/>
              <w:rPr>
                <w:rFonts w:ascii="Arial" w:hAnsi="Arial" w:cs="Arial"/>
                <w:sz w:val="26"/>
                <w:szCs w:val="26"/>
              </w:rPr>
            </w:pPr>
            <w:r>
              <w:rPr>
                <w:rFonts w:ascii="Arial" w:hAnsi="Arial" w:cs="Arial"/>
                <w:sz w:val="26"/>
                <w:szCs w:val="26"/>
              </w:rPr>
              <w:t>MAGISTRADO HUGO VILLEGAS AQUINO.</w:t>
            </w:r>
          </w:p>
          <w:p w:rsidR="008D496E" w:rsidRDefault="008D496E" w:rsidP="00EC7791">
            <w:pPr>
              <w:spacing w:after="0" w:line="360" w:lineRule="auto"/>
              <w:rPr>
                <w:rFonts w:ascii="Arial" w:hAnsi="Arial" w:cs="Arial"/>
                <w:sz w:val="26"/>
                <w:szCs w:val="26"/>
              </w:rPr>
            </w:pPr>
          </w:p>
          <w:p w:rsidR="008D496E" w:rsidRDefault="008D496E" w:rsidP="008D496E">
            <w:pPr>
              <w:spacing w:after="0" w:line="360" w:lineRule="auto"/>
              <w:jc w:val="center"/>
              <w:rPr>
                <w:rFonts w:ascii="Arial" w:hAnsi="Arial" w:cs="Arial"/>
                <w:sz w:val="26"/>
                <w:szCs w:val="26"/>
              </w:rPr>
            </w:pPr>
          </w:p>
          <w:p w:rsidR="008D496E" w:rsidRDefault="008D496E" w:rsidP="008D496E">
            <w:pPr>
              <w:spacing w:after="0" w:line="360" w:lineRule="auto"/>
              <w:jc w:val="center"/>
              <w:rPr>
                <w:rFonts w:ascii="Arial" w:hAnsi="Arial" w:cs="Arial"/>
                <w:sz w:val="26"/>
                <w:szCs w:val="26"/>
              </w:rPr>
            </w:pPr>
          </w:p>
          <w:p w:rsidR="00EC7791" w:rsidRDefault="00EC7791" w:rsidP="008D496E">
            <w:pPr>
              <w:spacing w:after="0" w:line="360" w:lineRule="auto"/>
              <w:jc w:val="center"/>
              <w:rPr>
                <w:rFonts w:ascii="Arial" w:hAnsi="Arial" w:cs="Arial"/>
                <w:sz w:val="26"/>
                <w:szCs w:val="26"/>
              </w:rPr>
            </w:pPr>
          </w:p>
          <w:p w:rsidR="008D496E" w:rsidRDefault="008D496E" w:rsidP="008D496E">
            <w:pPr>
              <w:spacing w:after="0" w:line="360" w:lineRule="auto"/>
              <w:jc w:val="center"/>
              <w:rPr>
                <w:rFonts w:ascii="Arial" w:hAnsi="Arial" w:cs="Arial"/>
                <w:sz w:val="26"/>
                <w:szCs w:val="26"/>
              </w:rPr>
            </w:pPr>
          </w:p>
          <w:p w:rsidR="008D496E" w:rsidRDefault="008D496E" w:rsidP="008D496E">
            <w:pPr>
              <w:spacing w:after="0" w:line="360" w:lineRule="auto"/>
              <w:jc w:val="center"/>
              <w:rPr>
                <w:rFonts w:ascii="Arial" w:hAnsi="Arial" w:cs="Arial"/>
                <w:sz w:val="26"/>
                <w:szCs w:val="26"/>
              </w:rPr>
            </w:pPr>
            <w:r>
              <w:rPr>
                <w:rFonts w:ascii="Arial" w:hAnsi="Arial" w:cs="Arial"/>
                <w:sz w:val="26"/>
                <w:szCs w:val="26"/>
              </w:rPr>
              <w:t>MAGISTRADO ENRIQUE PACHECO MARTÍNEZ.</w:t>
            </w:r>
          </w:p>
          <w:p w:rsidR="008D496E" w:rsidRDefault="008D496E" w:rsidP="008D496E">
            <w:pPr>
              <w:spacing w:after="0" w:line="360" w:lineRule="auto"/>
              <w:jc w:val="center"/>
              <w:rPr>
                <w:rFonts w:ascii="Arial" w:hAnsi="Arial" w:cs="Arial"/>
                <w:sz w:val="26"/>
                <w:szCs w:val="26"/>
              </w:rPr>
            </w:pPr>
          </w:p>
          <w:p w:rsidR="008D496E" w:rsidRDefault="008D496E" w:rsidP="008D496E">
            <w:pPr>
              <w:spacing w:after="0" w:line="360" w:lineRule="auto"/>
              <w:jc w:val="center"/>
              <w:rPr>
                <w:rFonts w:ascii="Arial" w:hAnsi="Arial" w:cs="Arial"/>
                <w:sz w:val="26"/>
                <w:szCs w:val="26"/>
              </w:rPr>
            </w:pPr>
          </w:p>
          <w:p w:rsidR="008D496E" w:rsidRDefault="008D496E" w:rsidP="00EC7791">
            <w:pPr>
              <w:spacing w:after="0" w:line="360" w:lineRule="auto"/>
              <w:rPr>
                <w:rFonts w:ascii="Arial" w:hAnsi="Arial" w:cs="Arial"/>
                <w:sz w:val="26"/>
                <w:szCs w:val="26"/>
              </w:rPr>
            </w:pPr>
          </w:p>
          <w:p w:rsidR="008D496E" w:rsidRDefault="008D496E" w:rsidP="008D496E">
            <w:pPr>
              <w:spacing w:after="0" w:line="360" w:lineRule="auto"/>
              <w:jc w:val="center"/>
              <w:rPr>
                <w:rFonts w:ascii="Arial" w:hAnsi="Arial" w:cs="Arial"/>
                <w:sz w:val="26"/>
                <w:szCs w:val="26"/>
              </w:rPr>
            </w:pPr>
          </w:p>
          <w:p w:rsidR="008D496E" w:rsidRDefault="008D496E" w:rsidP="008D496E">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8D496E" w:rsidRDefault="008D496E" w:rsidP="008D496E">
            <w:pPr>
              <w:spacing w:after="0" w:line="360" w:lineRule="auto"/>
              <w:jc w:val="center"/>
              <w:rPr>
                <w:rFonts w:ascii="Arial" w:hAnsi="Arial" w:cs="Arial"/>
                <w:sz w:val="26"/>
                <w:szCs w:val="26"/>
              </w:rPr>
            </w:pPr>
          </w:p>
          <w:p w:rsidR="008D496E" w:rsidRDefault="008D496E" w:rsidP="008D496E">
            <w:pPr>
              <w:spacing w:after="0" w:line="360" w:lineRule="auto"/>
              <w:jc w:val="center"/>
              <w:rPr>
                <w:rFonts w:ascii="Arial" w:hAnsi="Arial" w:cs="Arial"/>
                <w:sz w:val="26"/>
                <w:szCs w:val="26"/>
              </w:rPr>
            </w:pPr>
          </w:p>
          <w:p w:rsidR="008D496E" w:rsidRDefault="008D496E" w:rsidP="00EC7791">
            <w:pPr>
              <w:spacing w:after="0" w:line="360" w:lineRule="auto"/>
              <w:rPr>
                <w:rFonts w:ascii="Arial" w:hAnsi="Arial" w:cs="Arial"/>
                <w:sz w:val="26"/>
                <w:szCs w:val="26"/>
              </w:rPr>
            </w:pPr>
          </w:p>
          <w:p w:rsidR="008D496E" w:rsidRDefault="008D496E" w:rsidP="008D496E">
            <w:pPr>
              <w:spacing w:after="0" w:line="360" w:lineRule="auto"/>
              <w:jc w:val="center"/>
              <w:rPr>
                <w:rFonts w:ascii="Arial" w:hAnsi="Arial" w:cs="Arial"/>
                <w:sz w:val="26"/>
                <w:szCs w:val="26"/>
              </w:rPr>
            </w:pPr>
          </w:p>
          <w:p w:rsidR="008D496E" w:rsidRDefault="008D496E" w:rsidP="008D496E">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8D496E" w:rsidRDefault="008D496E" w:rsidP="008D496E">
            <w:pPr>
              <w:spacing w:after="0"/>
              <w:jc w:val="center"/>
              <w:rPr>
                <w:rFonts w:ascii="Arial" w:eastAsia="Times New Roman" w:hAnsi="Arial" w:cs="Arial"/>
                <w:sz w:val="26"/>
                <w:szCs w:val="26"/>
                <w:lang w:eastAsia="es-MX"/>
              </w:rPr>
            </w:pPr>
          </w:p>
          <w:p w:rsidR="008D496E" w:rsidRDefault="008D496E" w:rsidP="008D496E">
            <w:pPr>
              <w:spacing w:after="0"/>
              <w:jc w:val="center"/>
              <w:rPr>
                <w:rFonts w:ascii="Arial" w:eastAsia="Times New Roman" w:hAnsi="Arial" w:cs="Arial"/>
                <w:sz w:val="26"/>
                <w:szCs w:val="26"/>
                <w:lang w:eastAsia="es-MX"/>
              </w:rPr>
            </w:pPr>
          </w:p>
          <w:p w:rsidR="008D496E" w:rsidRDefault="008D496E" w:rsidP="008D496E">
            <w:pPr>
              <w:spacing w:after="0"/>
              <w:jc w:val="center"/>
              <w:rPr>
                <w:rFonts w:ascii="Arial" w:eastAsia="Times New Roman" w:hAnsi="Arial" w:cs="Arial"/>
                <w:sz w:val="26"/>
                <w:szCs w:val="26"/>
                <w:lang w:eastAsia="es-MX"/>
              </w:rPr>
            </w:pPr>
          </w:p>
          <w:p w:rsidR="008D496E" w:rsidRDefault="008D496E" w:rsidP="008D496E">
            <w:pPr>
              <w:spacing w:after="0"/>
              <w:jc w:val="center"/>
              <w:rPr>
                <w:rFonts w:ascii="Arial" w:eastAsia="Times New Roman" w:hAnsi="Arial" w:cs="Arial"/>
                <w:sz w:val="26"/>
                <w:szCs w:val="26"/>
                <w:lang w:eastAsia="es-MX"/>
              </w:rPr>
            </w:pPr>
          </w:p>
          <w:p w:rsidR="008D496E" w:rsidRDefault="008D496E" w:rsidP="00EC7791">
            <w:pPr>
              <w:spacing w:after="0"/>
              <w:rPr>
                <w:rFonts w:ascii="Arial" w:eastAsia="Times New Roman" w:hAnsi="Arial" w:cs="Arial"/>
                <w:sz w:val="26"/>
                <w:szCs w:val="26"/>
                <w:lang w:eastAsia="es-MX"/>
              </w:rPr>
            </w:pPr>
          </w:p>
          <w:p w:rsidR="008D496E" w:rsidRDefault="008D496E" w:rsidP="008D496E">
            <w:pPr>
              <w:spacing w:after="0" w:line="240" w:lineRule="auto"/>
              <w:jc w:val="center"/>
              <w:rPr>
                <w:rFonts w:ascii="Arial" w:hAnsi="Arial" w:cs="Arial"/>
                <w:sz w:val="26"/>
                <w:szCs w:val="26"/>
              </w:rPr>
            </w:pPr>
            <w:r>
              <w:rPr>
                <w:rFonts w:ascii="Arial" w:hAnsi="Arial" w:cs="Arial"/>
                <w:sz w:val="26"/>
                <w:szCs w:val="26"/>
              </w:rPr>
              <w:t>LICENCIADA LETICIA GARCIA SOTO.</w:t>
            </w:r>
          </w:p>
          <w:p w:rsidR="008D496E" w:rsidRPr="00130D4F" w:rsidRDefault="008D496E" w:rsidP="008D496E">
            <w:pPr>
              <w:spacing w:after="0" w:line="240" w:lineRule="auto"/>
              <w:jc w:val="center"/>
              <w:rPr>
                <w:rFonts w:ascii="Arial" w:hAnsi="Arial" w:cs="Arial"/>
                <w:sz w:val="26"/>
                <w:szCs w:val="26"/>
              </w:rPr>
            </w:pPr>
            <w:r>
              <w:rPr>
                <w:rFonts w:ascii="Arial" w:hAnsi="Arial" w:cs="Arial"/>
                <w:sz w:val="26"/>
                <w:szCs w:val="26"/>
              </w:rPr>
              <w:t xml:space="preserve">  SECRETARIA GENERAL DE ACUERDOS.</w:t>
            </w:r>
          </w:p>
          <w:p w:rsidR="00AA53A4" w:rsidRDefault="00AA53A4" w:rsidP="00E64B07">
            <w:pPr>
              <w:autoSpaceDE w:val="0"/>
              <w:autoSpaceDN w:val="0"/>
              <w:adjustRightInd w:val="0"/>
              <w:spacing w:line="360" w:lineRule="auto"/>
              <w:ind w:right="922"/>
              <w:jc w:val="both"/>
              <w:rPr>
                <w:rFonts w:ascii="Arial" w:eastAsia="Calibri" w:hAnsi="Arial" w:cs="Arial"/>
                <w:b/>
                <w:bCs/>
                <w:sz w:val="26"/>
                <w:szCs w:val="26"/>
                <w:lang w:val="es-MX"/>
              </w:rPr>
            </w:pPr>
          </w:p>
          <w:p w:rsidR="00AA53A4" w:rsidRDefault="00AA53A4" w:rsidP="00E64B07">
            <w:pPr>
              <w:autoSpaceDE w:val="0"/>
              <w:autoSpaceDN w:val="0"/>
              <w:adjustRightInd w:val="0"/>
              <w:spacing w:line="360" w:lineRule="auto"/>
              <w:ind w:right="922"/>
              <w:jc w:val="both"/>
              <w:rPr>
                <w:rFonts w:ascii="Arial" w:eastAsia="Calibri" w:hAnsi="Arial" w:cs="Arial"/>
                <w:b/>
                <w:bCs/>
                <w:sz w:val="26"/>
                <w:szCs w:val="26"/>
                <w:lang w:val="es-MX"/>
              </w:rPr>
            </w:pPr>
          </w:p>
          <w:p w:rsidR="00653081" w:rsidRPr="000A1F0F" w:rsidRDefault="00653081" w:rsidP="00BC755F">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p>
        </w:tc>
      </w:tr>
      <w:tr w:rsidR="00653081" w:rsidRPr="00B668BB" w:rsidTr="006D6ADF">
        <w:trPr>
          <w:trHeight w:val="70"/>
        </w:trPr>
        <w:tc>
          <w:tcPr>
            <w:tcW w:w="2923" w:type="dxa"/>
            <w:gridSpan w:val="2"/>
          </w:tcPr>
          <w:p w:rsidR="00653081" w:rsidRPr="00B668BB" w:rsidRDefault="00653081" w:rsidP="005B3D2C">
            <w:pPr>
              <w:spacing w:after="0" w:line="240" w:lineRule="auto"/>
              <w:rPr>
                <w:rFonts w:ascii="Arial" w:hAnsi="Arial" w:cs="Arial"/>
                <w:b/>
                <w:sz w:val="26"/>
                <w:szCs w:val="26"/>
              </w:rPr>
            </w:pPr>
          </w:p>
        </w:tc>
        <w:tc>
          <w:tcPr>
            <w:tcW w:w="7426" w:type="dxa"/>
            <w:gridSpan w:val="2"/>
          </w:tcPr>
          <w:p w:rsidR="00653081" w:rsidRPr="00B668BB" w:rsidRDefault="00653081" w:rsidP="005B3D2C">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653081" w:rsidRPr="00B668BB" w:rsidTr="00077056">
        <w:tc>
          <w:tcPr>
            <w:tcW w:w="2923" w:type="dxa"/>
            <w:gridSpan w:val="2"/>
          </w:tcPr>
          <w:p w:rsidR="00653081" w:rsidRPr="00B668BB" w:rsidRDefault="00653081" w:rsidP="005B3D2C">
            <w:pPr>
              <w:spacing w:after="0" w:line="240" w:lineRule="auto"/>
              <w:rPr>
                <w:rFonts w:ascii="Arial" w:hAnsi="Arial" w:cs="Arial"/>
                <w:b/>
                <w:sz w:val="26"/>
                <w:szCs w:val="26"/>
              </w:rPr>
            </w:pPr>
          </w:p>
        </w:tc>
        <w:tc>
          <w:tcPr>
            <w:tcW w:w="7426" w:type="dxa"/>
            <w:gridSpan w:val="2"/>
          </w:tcPr>
          <w:p w:rsidR="00653081" w:rsidRPr="00B668BB" w:rsidRDefault="00653081" w:rsidP="005B3D2C">
            <w:pPr>
              <w:tabs>
                <w:tab w:val="left" w:pos="3103"/>
              </w:tabs>
              <w:spacing w:after="0" w:line="240" w:lineRule="auto"/>
              <w:ind w:left="2961" w:hanging="2961"/>
              <w:jc w:val="both"/>
              <w:rPr>
                <w:rFonts w:ascii="Arial" w:hAnsi="Arial" w:cs="Arial"/>
                <w:b/>
                <w:i/>
                <w:iCs/>
                <w:caps/>
                <w:sz w:val="26"/>
                <w:szCs w:val="26"/>
              </w:rPr>
            </w:pPr>
          </w:p>
        </w:tc>
      </w:tr>
      <w:tr w:rsidR="00800C86" w:rsidRPr="00B668BB" w:rsidTr="00077056">
        <w:tc>
          <w:tcPr>
            <w:tcW w:w="2923" w:type="dxa"/>
            <w:gridSpan w:val="2"/>
          </w:tcPr>
          <w:p w:rsidR="00800C86" w:rsidRPr="00B668BB" w:rsidRDefault="00800C86" w:rsidP="005B3D2C">
            <w:pPr>
              <w:spacing w:after="0" w:line="240" w:lineRule="auto"/>
              <w:rPr>
                <w:rFonts w:ascii="Arial" w:hAnsi="Arial" w:cs="Arial"/>
                <w:b/>
                <w:sz w:val="26"/>
                <w:szCs w:val="26"/>
              </w:rPr>
            </w:pPr>
          </w:p>
        </w:tc>
        <w:tc>
          <w:tcPr>
            <w:tcW w:w="7426" w:type="dxa"/>
            <w:gridSpan w:val="2"/>
          </w:tcPr>
          <w:p w:rsidR="00800C86" w:rsidRPr="00B668BB" w:rsidRDefault="00800C86" w:rsidP="005B3D2C">
            <w:pPr>
              <w:tabs>
                <w:tab w:val="left" w:pos="3103"/>
              </w:tabs>
              <w:spacing w:after="0" w:line="240" w:lineRule="auto"/>
              <w:ind w:left="2961" w:hanging="2961"/>
              <w:jc w:val="both"/>
              <w:rPr>
                <w:rFonts w:ascii="Arial" w:hAnsi="Arial" w:cs="Arial"/>
                <w:b/>
                <w:i/>
                <w:iCs/>
                <w:caps/>
                <w:sz w:val="26"/>
                <w:szCs w:val="26"/>
              </w:rPr>
            </w:pPr>
          </w:p>
        </w:tc>
      </w:tr>
      <w:tr w:rsidR="00800C86" w:rsidRPr="00B668BB" w:rsidTr="00077056">
        <w:tc>
          <w:tcPr>
            <w:tcW w:w="2923" w:type="dxa"/>
            <w:gridSpan w:val="2"/>
          </w:tcPr>
          <w:p w:rsidR="00800C86" w:rsidRPr="00B668BB" w:rsidRDefault="00800C86" w:rsidP="005B3D2C">
            <w:pPr>
              <w:spacing w:after="0" w:line="240" w:lineRule="auto"/>
              <w:rPr>
                <w:rFonts w:ascii="Arial" w:hAnsi="Arial" w:cs="Arial"/>
                <w:b/>
                <w:sz w:val="26"/>
                <w:szCs w:val="26"/>
              </w:rPr>
            </w:pPr>
          </w:p>
        </w:tc>
        <w:tc>
          <w:tcPr>
            <w:tcW w:w="7426" w:type="dxa"/>
            <w:gridSpan w:val="2"/>
          </w:tcPr>
          <w:p w:rsidR="00800C86" w:rsidRPr="00B668BB" w:rsidRDefault="00800C86" w:rsidP="005B3D2C">
            <w:pPr>
              <w:tabs>
                <w:tab w:val="left" w:pos="3103"/>
              </w:tabs>
              <w:spacing w:after="0" w:line="240" w:lineRule="auto"/>
              <w:ind w:left="2961" w:hanging="2961"/>
              <w:jc w:val="both"/>
              <w:rPr>
                <w:rFonts w:ascii="Arial" w:hAnsi="Arial" w:cs="Arial"/>
                <w:b/>
                <w:i/>
                <w:iCs/>
                <w:caps/>
                <w:sz w:val="26"/>
                <w:szCs w:val="26"/>
              </w:rPr>
            </w:pPr>
          </w:p>
        </w:tc>
      </w:tr>
    </w:tbl>
    <w:p w:rsidR="008238CF" w:rsidRDefault="008238CF" w:rsidP="00EC7791">
      <w:pPr>
        <w:pStyle w:val="Sinespaciado"/>
      </w:pPr>
    </w:p>
    <w:sectPr w:rsidR="008238CF" w:rsidSect="00800C86">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7C7" w:rsidRDefault="008647C7">
      <w:pPr>
        <w:spacing w:after="0" w:line="240" w:lineRule="auto"/>
      </w:pPr>
      <w:r>
        <w:separator/>
      </w:r>
    </w:p>
  </w:endnote>
  <w:endnote w:type="continuationSeparator" w:id="0">
    <w:p w:rsidR="008647C7" w:rsidRDefault="0086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5C4" w:rsidRDefault="008F15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5C4" w:rsidRDefault="008F15C4">
    <w:pPr>
      <w:pStyle w:val="Piedepgina"/>
    </w:pPr>
    <w:r>
      <w:rPr>
        <w:noProof/>
        <w:lang w:val="es-MX" w:eastAsia="es-MX"/>
      </w:rPr>
      <w:drawing>
        <wp:anchor distT="0" distB="0" distL="114300" distR="114300" simplePos="0" relativeHeight="251666432" behindDoc="0" locked="0" layoutInCell="1" allowOverlap="1" wp14:anchorId="54CA0F5E" wp14:editId="66BC6A41">
          <wp:simplePos x="0" y="0"/>
          <wp:positionH relativeFrom="column">
            <wp:posOffset>-1419225</wp:posOffset>
          </wp:positionH>
          <wp:positionV relativeFrom="paragraph">
            <wp:posOffset>-4469130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5C4" w:rsidRDefault="008F15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7C7" w:rsidRDefault="008647C7">
      <w:pPr>
        <w:spacing w:after="0" w:line="240" w:lineRule="auto"/>
      </w:pPr>
      <w:r>
        <w:separator/>
      </w:r>
    </w:p>
  </w:footnote>
  <w:footnote w:type="continuationSeparator" w:id="0">
    <w:p w:rsidR="008647C7" w:rsidRDefault="008647C7">
      <w:pPr>
        <w:spacing w:after="0" w:line="240" w:lineRule="auto"/>
      </w:pPr>
      <w:r>
        <w:continuationSeparator/>
      </w:r>
    </w:p>
  </w:footnote>
  <w:footnote w:id="1">
    <w:p w:rsidR="00240E70" w:rsidRPr="00F0366E" w:rsidRDefault="00240E70" w:rsidP="00240E70">
      <w:pPr>
        <w:pStyle w:val="Textonotapie"/>
        <w:rPr>
          <w:lang w:val="es-MX"/>
        </w:rPr>
      </w:pPr>
      <w:r>
        <w:rPr>
          <w:rStyle w:val="Refdenotaalpie"/>
        </w:rPr>
        <w:footnoteRef/>
      </w:r>
      <w:r>
        <w:t xml:space="preserve"> </w:t>
      </w:r>
      <w:r>
        <w:rPr>
          <w:lang w:val="es-MX"/>
        </w:rPr>
        <w:t xml:space="preserve">Diccionario para Juristas, Juan Palomar de Miguel, pagina 87, editorial Francisco </w:t>
      </w:r>
      <w:proofErr w:type="spellStart"/>
      <w:r>
        <w:rPr>
          <w:lang w:val="es-MX"/>
        </w:rPr>
        <w:t>Barrutieta</w:t>
      </w:r>
      <w:proofErr w:type="spellEnd"/>
      <w:r>
        <w:rPr>
          <w:lang w:val="es-MX"/>
        </w:rPr>
        <w:t xml:space="preserve">.  </w:t>
      </w:r>
    </w:p>
  </w:footnote>
  <w:footnote w:id="2">
    <w:p w:rsidR="00240E70" w:rsidRPr="00F0366E" w:rsidRDefault="00240E70" w:rsidP="00240E70">
      <w:pPr>
        <w:pStyle w:val="Textonotapie"/>
        <w:rPr>
          <w:lang w:val="es-MX"/>
        </w:rPr>
      </w:pPr>
      <w:r>
        <w:rPr>
          <w:rStyle w:val="Refdenotaalpie"/>
        </w:rPr>
        <w:footnoteRef/>
      </w:r>
      <w:r>
        <w:t xml:space="preserve"> </w:t>
      </w:r>
      <w:r>
        <w:rPr>
          <w:lang w:val="es-MX"/>
        </w:rPr>
        <w:t xml:space="preserve">Diccionario para Juristas, Juan Palomar de Miguel, pagina 950, editorial Francisco </w:t>
      </w:r>
      <w:proofErr w:type="spellStart"/>
      <w:r>
        <w:rPr>
          <w:lang w:val="es-MX"/>
        </w:rPr>
        <w:t>Barrutieta</w:t>
      </w:r>
      <w:proofErr w:type="spellEnd"/>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5B3D2C" w:rsidRDefault="005B3D2C">
        <w:pPr>
          <w:pStyle w:val="Encabezado"/>
          <w:jc w:val="center"/>
        </w:pPr>
        <w:r>
          <w:fldChar w:fldCharType="begin"/>
        </w:r>
        <w:r>
          <w:instrText>PAGE   \* MERGEFORMAT</w:instrText>
        </w:r>
        <w:r>
          <w:fldChar w:fldCharType="separate"/>
        </w:r>
        <w:r w:rsidR="004A5A11">
          <w:rPr>
            <w:noProof/>
          </w:rPr>
          <w:t>4</w:t>
        </w:r>
        <w:r>
          <w:fldChar w:fldCharType="end"/>
        </w:r>
      </w:p>
    </w:sdtContent>
  </w:sdt>
  <w:p w:rsidR="005B3D2C" w:rsidRDefault="008F15C4">
    <w:pPr>
      <w:pStyle w:val="Encabezado"/>
    </w:pPr>
    <w:r>
      <w:rPr>
        <w:noProof/>
        <w:lang w:val="es-MX" w:eastAsia="es-MX"/>
      </w:rPr>
      <w:drawing>
        <wp:anchor distT="0" distB="0" distL="114300" distR="114300" simplePos="0" relativeHeight="251671552" behindDoc="0" locked="0" layoutInCell="1" allowOverlap="1" wp14:anchorId="692CED59" wp14:editId="7B9A6710">
          <wp:simplePos x="0" y="0"/>
          <wp:positionH relativeFrom="column">
            <wp:posOffset>5650230</wp:posOffset>
          </wp:positionH>
          <wp:positionV relativeFrom="paragraph">
            <wp:posOffset>4617085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5B3D2C" w:rsidRDefault="005B3D2C" w:rsidP="005B3D2C">
        <w:pPr>
          <w:pStyle w:val="Encabezado"/>
          <w:jc w:val="center"/>
          <w:rPr>
            <w:noProof/>
          </w:rPr>
        </w:pPr>
        <w:r>
          <w:fldChar w:fldCharType="begin"/>
        </w:r>
        <w:r>
          <w:instrText xml:space="preserve"> PAGE   \* MERGEFORMAT </w:instrText>
        </w:r>
        <w:r>
          <w:fldChar w:fldCharType="separate"/>
        </w:r>
        <w:r w:rsidR="004A5A11">
          <w:rPr>
            <w:noProof/>
          </w:rPr>
          <w:t>1</w:t>
        </w:r>
        <w:r>
          <w:rPr>
            <w:noProof/>
          </w:rPr>
          <w:fldChar w:fldCharType="end"/>
        </w:r>
      </w:p>
    </w:sdtContent>
  </w:sdt>
  <w:p w:rsidR="005B3D2C" w:rsidRDefault="005B3D2C" w:rsidP="005B3D2C">
    <w:pPr>
      <w:pStyle w:val="Encabezado"/>
      <w:tabs>
        <w:tab w:val="left" w:pos="142"/>
      </w:tabs>
      <w:ind w:left="284"/>
    </w:pPr>
    <w:r w:rsidRPr="003E6AD7">
      <w:rPr>
        <w:noProof/>
        <w:lang w:val="es-MX" w:eastAsia="es-MX"/>
      </w:rPr>
      <w:drawing>
        <wp:anchor distT="0" distB="0" distL="114300" distR="114300" simplePos="0" relativeHeight="251663360" behindDoc="0" locked="0" layoutInCell="1" allowOverlap="1" wp14:anchorId="3A665AB5" wp14:editId="03B2A035">
          <wp:simplePos x="0" y="0"/>
          <wp:positionH relativeFrom="page">
            <wp:posOffset>301625</wp:posOffset>
          </wp:positionH>
          <wp:positionV relativeFrom="paragraph">
            <wp:posOffset>4958080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3120" behindDoc="1" locked="0" layoutInCell="1" allowOverlap="1" wp14:anchorId="76B8CB8C" wp14:editId="2A659FD7">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5C4" w:rsidRDefault="008F15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06B96"/>
    <w:rsid w:val="00010AC6"/>
    <w:rsid w:val="0001326A"/>
    <w:rsid w:val="000140EE"/>
    <w:rsid w:val="0002271B"/>
    <w:rsid w:val="000227B0"/>
    <w:rsid w:val="0002754E"/>
    <w:rsid w:val="000306E0"/>
    <w:rsid w:val="000530EE"/>
    <w:rsid w:val="00053750"/>
    <w:rsid w:val="00056360"/>
    <w:rsid w:val="00060891"/>
    <w:rsid w:val="00070615"/>
    <w:rsid w:val="00076358"/>
    <w:rsid w:val="00077056"/>
    <w:rsid w:val="000817FE"/>
    <w:rsid w:val="00083A84"/>
    <w:rsid w:val="0009251F"/>
    <w:rsid w:val="000965E4"/>
    <w:rsid w:val="000A036B"/>
    <w:rsid w:val="000B2EAB"/>
    <w:rsid w:val="000B480C"/>
    <w:rsid w:val="000C72DD"/>
    <w:rsid w:val="000D7076"/>
    <w:rsid w:val="000E270E"/>
    <w:rsid w:val="000F05D1"/>
    <w:rsid w:val="001035F6"/>
    <w:rsid w:val="00111765"/>
    <w:rsid w:val="00112D96"/>
    <w:rsid w:val="001238F0"/>
    <w:rsid w:val="00130C97"/>
    <w:rsid w:val="00132B09"/>
    <w:rsid w:val="00140704"/>
    <w:rsid w:val="0017246D"/>
    <w:rsid w:val="00172594"/>
    <w:rsid w:val="00173675"/>
    <w:rsid w:val="00180D00"/>
    <w:rsid w:val="001948E6"/>
    <w:rsid w:val="00196B13"/>
    <w:rsid w:val="001A363F"/>
    <w:rsid w:val="001B284D"/>
    <w:rsid w:val="001C06AD"/>
    <w:rsid w:val="001C15EA"/>
    <w:rsid w:val="001C1F62"/>
    <w:rsid w:val="001C4DF7"/>
    <w:rsid w:val="001D6FA1"/>
    <w:rsid w:val="001E1CA1"/>
    <w:rsid w:val="001E2CCD"/>
    <w:rsid w:val="001F5A03"/>
    <w:rsid w:val="00207505"/>
    <w:rsid w:val="00217F1A"/>
    <w:rsid w:val="0022324D"/>
    <w:rsid w:val="002246C8"/>
    <w:rsid w:val="00230BEE"/>
    <w:rsid w:val="00240E70"/>
    <w:rsid w:val="00251DC1"/>
    <w:rsid w:val="00262521"/>
    <w:rsid w:val="00262A8F"/>
    <w:rsid w:val="00274B7F"/>
    <w:rsid w:val="002761E3"/>
    <w:rsid w:val="00276F62"/>
    <w:rsid w:val="0028050B"/>
    <w:rsid w:val="0029582A"/>
    <w:rsid w:val="002A28E5"/>
    <w:rsid w:val="002A633A"/>
    <w:rsid w:val="002B3FCF"/>
    <w:rsid w:val="002C06DC"/>
    <w:rsid w:val="00301BAD"/>
    <w:rsid w:val="0030310B"/>
    <w:rsid w:val="0030333C"/>
    <w:rsid w:val="00312BE5"/>
    <w:rsid w:val="00317431"/>
    <w:rsid w:val="0032484D"/>
    <w:rsid w:val="003462E7"/>
    <w:rsid w:val="003533F7"/>
    <w:rsid w:val="003638AD"/>
    <w:rsid w:val="00363FD0"/>
    <w:rsid w:val="003758A9"/>
    <w:rsid w:val="0037612A"/>
    <w:rsid w:val="0037738A"/>
    <w:rsid w:val="003777EB"/>
    <w:rsid w:val="0039258D"/>
    <w:rsid w:val="003959A9"/>
    <w:rsid w:val="003A3921"/>
    <w:rsid w:val="003B76B0"/>
    <w:rsid w:val="003C56CB"/>
    <w:rsid w:val="0040218E"/>
    <w:rsid w:val="004200B9"/>
    <w:rsid w:val="0045047F"/>
    <w:rsid w:val="00454891"/>
    <w:rsid w:val="004A5A11"/>
    <w:rsid w:val="004A5C5B"/>
    <w:rsid w:val="004A764F"/>
    <w:rsid w:val="004C7B31"/>
    <w:rsid w:val="004D3FD5"/>
    <w:rsid w:val="004F032D"/>
    <w:rsid w:val="0050079E"/>
    <w:rsid w:val="00501D58"/>
    <w:rsid w:val="005153E1"/>
    <w:rsid w:val="005170DC"/>
    <w:rsid w:val="005245DE"/>
    <w:rsid w:val="00526521"/>
    <w:rsid w:val="00547E2C"/>
    <w:rsid w:val="00573E33"/>
    <w:rsid w:val="00573F2D"/>
    <w:rsid w:val="005756D5"/>
    <w:rsid w:val="00576978"/>
    <w:rsid w:val="00591A61"/>
    <w:rsid w:val="00592BFC"/>
    <w:rsid w:val="005930DA"/>
    <w:rsid w:val="005A7540"/>
    <w:rsid w:val="005B3D2C"/>
    <w:rsid w:val="005B5342"/>
    <w:rsid w:val="005C202B"/>
    <w:rsid w:val="005C6512"/>
    <w:rsid w:val="005D1DED"/>
    <w:rsid w:val="005F1F09"/>
    <w:rsid w:val="00606877"/>
    <w:rsid w:val="00612720"/>
    <w:rsid w:val="00621B36"/>
    <w:rsid w:val="00622719"/>
    <w:rsid w:val="00630EA2"/>
    <w:rsid w:val="006448C9"/>
    <w:rsid w:val="00650342"/>
    <w:rsid w:val="00652E61"/>
    <w:rsid w:val="00653081"/>
    <w:rsid w:val="006541F1"/>
    <w:rsid w:val="00656562"/>
    <w:rsid w:val="00657C11"/>
    <w:rsid w:val="0067525A"/>
    <w:rsid w:val="00685F46"/>
    <w:rsid w:val="006938B1"/>
    <w:rsid w:val="00694FE2"/>
    <w:rsid w:val="006B0E02"/>
    <w:rsid w:val="006D0D86"/>
    <w:rsid w:val="006D6ADF"/>
    <w:rsid w:val="006E43C7"/>
    <w:rsid w:val="006E7970"/>
    <w:rsid w:val="006F6823"/>
    <w:rsid w:val="00727444"/>
    <w:rsid w:val="007325BB"/>
    <w:rsid w:val="00744977"/>
    <w:rsid w:val="00751298"/>
    <w:rsid w:val="00761BFC"/>
    <w:rsid w:val="00762959"/>
    <w:rsid w:val="007674D1"/>
    <w:rsid w:val="00771872"/>
    <w:rsid w:val="007825AD"/>
    <w:rsid w:val="007E56BB"/>
    <w:rsid w:val="007E5B25"/>
    <w:rsid w:val="007F0D2C"/>
    <w:rsid w:val="00800C86"/>
    <w:rsid w:val="008238CF"/>
    <w:rsid w:val="00830A05"/>
    <w:rsid w:val="0084391A"/>
    <w:rsid w:val="00850959"/>
    <w:rsid w:val="008647C7"/>
    <w:rsid w:val="00876F38"/>
    <w:rsid w:val="008846FC"/>
    <w:rsid w:val="008B4464"/>
    <w:rsid w:val="008D3B78"/>
    <w:rsid w:val="008D496E"/>
    <w:rsid w:val="008E0DC8"/>
    <w:rsid w:val="008F15C4"/>
    <w:rsid w:val="008F3DC4"/>
    <w:rsid w:val="00903ED0"/>
    <w:rsid w:val="009063A1"/>
    <w:rsid w:val="00906BD1"/>
    <w:rsid w:val="00921D72"/>
    <w:rsid w:val="00944038"/>
    <w:rsid w:val="00950A03"/>
    <w:rsid w:val="00952E02"/>
    <w:rsid w:val="00960527"/>
    <w:rsid w:val="009B57EF"/>
    <w:rsid w:val="009D0511"/>
    <w:rsid w:val="009F0158"/>
    <w:rsid w:val="009F070B"/>
    <w:rsid w:val="00A04434"/>
    <w:rsid w:val="00A0629B"/>
    <w:rsid w:val="00A07274"/>
    <w:rsid w:val="00A24022"/>
    <w:rsid w:val="00A25860"/>
    <w:rsid w:val="00A429B2"/>
    <w:rsid w:val="00A470C1"/>
    <w:rsid w:val="00A525B4"/>
    <w:rsid w:val="00A57F60"/>
    <w:rsid w:val="00A667A9"/>
    <w:rsid w:val="00A675C0"/>
    <w:rsid w:val="00A77E76"/>
    <w:rsid w:val="00A86AB0"/>
    <w:rsid w:val="00A87EF6"/>
    <w:rsid w:val="00AA53A4"/>
    <w:rsid w:val="00AB0555"/>
    <w:rsid w:val="00AB1944"/>
    <w:rsid w:val="00AB2B63"/>
    <w:rsid w:val="00AB71BD"/>
    <w:rsid w:val="00AC63EE"/>
    <w:rsid w:val="00AC6BFF"/>
    <w:rsid w:val="00AD0B0A"/>
    <w:rsid w:val="00AE4326"/>
    <w:rsid w:val="00AE5E0D"/>
    <w:rsid w:val="00AF0926"/>
    <w:rsid w:val="00B13F19"/>
    <w:rsid w:val="00B27E60"/>
    <w:rsid w:val="00B33640"/>
    <w:rsid w:val="00B40427"/>
    <w:rsid w:val="00B456BE"/>
    <w:rsid w:val="00B504C4"/>
    <w:rsid w:val="00B539AC"/>
    <w:rsid w:val="00B53BB2"/>
    <w:rsid w:val="00B55539"/>
    <w:rsid w:val="00B64581"/>
    <w:rsid w:val="00B856B0"/>
    <w:rsid w:val="00B86AE4"/>
    <w:rsid w:val="00BC56F8"/>
    <w:rsid w:val="00BC755F"/>
    <w:rsid w:val="00BD34D9"/>
    <w:rsid w:val="00BD4766"/>
    <w:rsid w:val="00BF49D0"/>
    <w:rsid w:val="00C131FA"/>
    <w:rsid w:val="00C14778"/>
    <w:rsid w:val="00C1665C"/>
    <w:rsid w:val="00C17F5F"/>
    <w:rsid w:val="00C30E20"/>
    <w:rsid w:val="00C32D5F"/>
    <w:rsid w:val="00C32FAF"/>
    <w:rsid w:val="00C36A0E"/>
    <w:rsid w:val="00C42D77"/>
    <w:rsid w:val="00C4480F"/>
    <w:rsid w:val="00C52086"/>
    <w:rsid w:val="00C52FF3"/>
    <w:rsid w:val="00C57A14"/>
    <w:rsid w:val="00C66DB8"/>
    <w:rsid w:val="00C7079A"/>
    <w:rsid w:val="00C72B25"/>
    <w:rsid w:val="00C90297"/>
    <w:rsid w:val="00CA02A5"/>
    <w:rsid w:val="00CA625D"/>
    <w:rsid w:val="00CB186C"/>
    <w:rsid w:val="00CF61AD"/>
    <w:rsid w:val="00D06D3B"/>
    <w:rsid w:val="00D10AB8"/>
    <w:rsid w:val="00D16F1E"/>
    <w:rsid w:val="00D17A65"/>
    <w:rsid w:val="00D20155"/>
    <w:rsid w:val="00D22E0D"/>
    <w:rsid w:val="00D25CA7"/>
    <w:rsid w:val="00D27F89"/>
    <w:rsid w:val="00D4438A"/>
    <w:rsid w:val="00D54450"/>
    <w:rsid w:val="00D6774B"/>
    <w:rsid w:val="00D768C0"/>
    <w:rsid w:val="00D8265B"/>
    <w:rsid w:val="00D838B9"/>
    <w:rsid w:val="00D86D0B"/>
    <w:rsid w:val="00D91377"/>
    <w:rsid w:val="00DC4D7A"/>
    <w:rsid w:val="00DC4E59"/>
    <w:rsid w:val="00DD5035"/>
    <w:rsid w:val="00DD76A5"/>
    <w:rsid w:val="00E039A1"/>
    <w:rsid w:val="00E03F45"/>
    <w:rsid w:val="00E16D22"/>
    <w:rsid w:val="00E521E8"/>
    <w:rsid w:val="00E565F3"/>
    <w:rsid w:val="00E64B07"/>
    <w:rsid w:val="00E65817"/>
    <w:rsid w:val="00E73994"/>
    <w:rsid w:val="00E85F40"/>
    <w:rsid w:val="00EB17A6"/>
    <w:rsid w:val="00EC41E7"/>
    <w:rsid w:val="00EC7791"/>
    <w:rsid w:val="00EE7540"/>
    <w:rsid w:val="00EF0F45"/>
    <w:rsid w:val="00F000FF"/>
    <w:rsid w:val="00F03067"/>
    <w:rsid w:val="00F17CC3"/>
    <w:rsid w:val="00F23422"/>
    <w:rsid w:val="00F25C95"/>
    <w:rsid w:val="00F86802"/>
    <w:rsid w:val="00F87C02"/>
    <w:rsid w:val="00F91C14"/>
    <w:rsid w:val="00F92773"/>
    <w:rsid w:val="00FA22A0"/>
    <w:rsid w:val="00FB0A78"/>
    <w:rsid w:val="00FB27D3"/>
    <w:rsid w:val="00FD2D6F"/>
    <w:rsid w:val="00FF0CCF"/>
    <w:rsid w:val="00FF540E"/>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8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rPr>
      <w:lang w:val="es-MX"/>
    </w:r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Hipervnculo">
    <w:name w:val="Hyperlink"/>
    <w:basedOn w:val="Fuentedeprrafopredeter"/>
    <w:uiPriority w:val="99"/>
    <w:semiHidden/>
    <w:unhideWhenUsed/>
    <w:rsid w:val="00762959"/>
    <w:rPr>
      <w:color w:val="0563C1" w:themeColor="hyperlink"/>
      <w:u w:val="single"/>
    </w:rPr>
  </w:style>
  <w:style w:type="character" w:customStyle="1" w:styleId="corte3centroCar">
    <w:name w:val="corte3 centro Car"/>
    <w:basedOn w:val="Fuentedeprrafopredeter"/>
    <w:link w:val="corte3centro"/>
    <w:locked/>
    <w:rsid w:val="00762959"/>
    <w:rPr>
      <w:rFonts w:ascii="Arial" w:eastAsia="Times New Roman" w:hAnsi="Arial" w:cs="Times New Roman"/>
      <w:b/>
      <w:sz w:val="30"/>
      <w:szCs w:val="20"/>
      <w:lang w:val="es-ES_tradnl" w:eastAsia="es-ES"/>
    </w:rPr>
  </w:style>
  <w:style w:type="paragraph" w:customStyle="1" w:styleId="corte3centro">
    <w:name w:val="corte3 centro"/>
    <w:basedOn w:val="Normal"/>
    <w:link w:val="corte3centroCar"/>
    <w:rsid w:val="00762959"/>
    <w:pPr>
      <w:spacing w:after="0" w:line="360" w:lineRule="auto"/>
      <w:jc w:val="center"/>
    </w:pPr>
    <w:rPr>
      <w:rFonts w:ascii="Arial" w:eastAsia="Times New Roman" w:hAnsi="Arial" w:cs="Times New Roman"/>
      <w:b/>
      <w:sz w:val="30"/>
      <w:szCs w:val="20"/>
      <w:lang w:val="es-ES_tradnl" w:eastAsia="es-ES"/>
    </w:rPr>
  </w:style>
  <w:style w:type="character" w:customStyle="1" w:styleId="corte4fondoCar">
    <w:name w:val="corte4 fondo Car"/>
    <w:basedOn w:val="Fuentedeprrafopredeter"/>
    <w:link w:val="corte4fondo"/>
    <w:locked/>
    <w:rsid w:val="00762959"/>
    <w:rPr>
      <w:rFonts w:ascii="Arial" w:eastAsia="Times New Roman" w:hAnsi="Arial" w:cs="Times New Roman"/>
      <w:sz w:val="30"/>
      <w:szCs w:val="20"/>
      <w:lang w:val="es-ES_tradnl" w:eastAsia="es-ES"/>
    </w:rPr>
  </w:style>
  <w:style w:type="paragraph" w:customStyle="1" w:styleId="corte4fondo">
    <w:name w:val="corte4 fondo"/>
    <w:basedOn w:val="Normal"/>
    <w:link w:val="corte4fondoCar"/>
    <w:rsid w:val="00762959"/>
    <w:pPr>
      <w:spacing w:after="0" w:line="360" w:lineRule="auto"/>
      <w:ind w:firstLine="709"/>
      <w:jc w:val="both"/>
    </w:pPr>
    <w:rPr>
      <w:rFonts w:ascii="Arial" w:eastAsia="Times New Roman" w:hAnsi="Arial" w:cs="Times New Roman"/>
      <w:sz w:val="30"/>
      <w:szCs w:val="20"/>
      <w:lang w:val="es-ES_tradnl" w:eastAsia="es-ES"/>
    </w:rPr>
  </w:style>
  <w:style w:type="paragraph" w:styleId="Textodeglobo">
    <w:name w:val="Balloon Text"/>
    <w:basedOn w:val="Normal"/>
    <w:link w:val="TextodegloboCar"/>
    <w:uiPriority w:val="99"/>
    <w:semiHidden/>
    <w:unhideWhenUsed/>
    <w:rsid w:val="00BD47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766"/>
    <w:rPr>
      <w:rFonts w:ascii="Segoe UI" w:hAnsi="Segoe UI" w:cs="Segoe UI"/>
      <w:sz w:val="18"/>
      <w:szCs w:val="18"/>
      <w:lang w:val="es-ES"/>
    </w:rPr>
  </w:style>
  <w:style w:type="paragraph" w:styleId="Textonotapie">
    <w:name w:val="footnote text"/>
    <w:basedOn w:val="Normal"/>
    <w:link w:val="TextonotapieCar"/>
    <w:uiPriority w:val="99"/>
    <w:unhideWhenUsed/>
    <w:rsid w:val="00E6581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E65817"/>
    <w:rPr>
      <w:rFonts w:ascii="Calibri" w:eastAsia="Calibri" w:hAnsi="Calibri" w:cs="Times New Roman"/>
      <w:sz w:val="20"/>
      <w:szCs w:val="20"/>
      <w:lang w:val="es-ES"/>
    </w:rPr>
  </w:style>
  <w:style w:type="character" w:styleId="Refdenotaalpie">
    <w:name w:val="footnote reference"/>
    <w:uiPriority w:val="99"/>
    <w:semiHidden/>
    <w:unhideWhenUsed/>
    <w:rsid w:val="00E65817"/>
    <w:rPr>
      <w:vertAlign w:val="superscript"/>
    </w:rPr>
  </w:style>
  <w:style w:type="paragraph" w:styleId="Piedepgina">
    <w:name w:val="footer"/>
    <w:basedOn w:val="Normal"/>
    <w:link w:val="PiedepginaCar"/>
    <w:uiPriority w:val="99"/>
    <w:unhideWhenUsed/>
    <w:rsid w:val="00800C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C86"/>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8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rPr>
      <w:lang w:val="es-MX"/>
    </w:r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Hipervnculo">
    <w:name w:val="Hyperlink"/>
    <w:basedOn w:val="Fuentedeprrafopredeter"/>
    <w:uiPriority w:val="99"/>
    <w:semiHidden/>
    <w:unhideWhenUsed/>
    <w:rsid w:val="00762959"/>
    <w:rPr>
      <w:color w:val="0563C1" w:themeColor="hyperlink"/>
      <w:u w:val="single"/>
    </w:rPr>
  </w:style>
  <w:style w:type="character" w:customStyle="1" w:styleId="corte3centroCar">
    <w:name w:val="corte3 centro Car"/>
    <w:basedOn w:val="Fuentedeprrafopredeter"/>
    <w:link w:val="corte3centro"/>
    <w:locked/>
    <w:rsid w:val="00762959"/>
    <w:rPr>
      <w:rFonts w:ascii="Arial" w:eastAsia="Times New Roman" w:hAnsi="Arial" w:cs="Times New Roman"/>
      <w:b/>
      <w:sz w:val="30"/>
      <w:szCs w:val="20"/>
      <w:lang w:val="es-ES_tradnl" w:eastAsia="es-ES"/>
    </w:rPr>
  </w:style>
  <w:style w:type="paragraph" w:customStyle="1" w:styleId="corte3centro">
    <w:name w:val="corte3 centro"/>
    <w:basedOn w:val="Normal"/>
    <w:link w:val="corte3centroCar"/>
    <w:rsid w:val="00762959"/>
    <w:pPr>
      <w:spacing w:after="0" w:line="360" w:lineRule="auto"/>
      <w:jc w:val="center"/>
    </w:pPr>
    <w:rPr>
      <w:rFonts w:ascii="Arial" w:eastAsia="Times New Roman" w:hAnsi="Arial" w:cs="Times New Roman"/>
      <w:b/>
      <w:sz w:val="30"/>
      <w:szCs w:val="20"/>
      <w:lang w:val="es-ES_tradnl" w:eastAsia="es-ES"/>
    </w:rPr>
  </w:style>
  <w:style w:type="character" w:customStyle="1" w:styleId="corte4fondoCar">
    <w:name w:val="corte4 fondo Car"/>
    <w:basedOn w:val="Fuentedeprrafopredeter"/>
    <w:link w:val="corte4fondo"/>
    <w:locked/>
    <w:rsid w:val="00762959"/>
    <w:rPr>
      <w:rFonts w:ascii="Arial" w:eastAsia="Times New Roman" w:hAnsi="Arial" w:cs="Times New Roman"/>
      <w:sz w:val="30"/>
      <w:szCs w:val="20"/>
      <w:lang w:val="es-ES_tradnl" w:eastAsia="es-ES"/>
    </w:rPr>
  </w:style>
  <w:style w:type="paragraph" w:customStyle="1" w:styleId="corte4fondo">
    <w:name w:val="corte4 fondo"/>
    <w:basedOn w:val="Normal"/>
    <w:link w:val="corte4fondoCar"/>
    <w:rsid w:val="00762959"/>
    <w:pPr>
      <w:spacing w:after="0" w:line="360" w:lineRule="auto"/>
      <w:ind w:firstLine="709"/>
      <w:jc w:val="both"/>
    </w:pPr>
    <w:rPr>
      <w:rFonts w:ascii="Arial" w:eastAsia="Times New Roman" w:hAnsi="Arial" w:cs="Times New Roman"/>
      <w:sz w:val="30"/>
      <w:szCs w:val="20"/>
      <w:lang w:val="es-ES_tradnl" w:eastAsia="es-ES"/>
    </w:rPr>
  </w:style>
  <w:style w:type="paragraph" w:styleId="Textodeglobo">
    <w:name w:val="Balloon Text"/>
    <w:basedOn w:val="Normal"/>
    <w:link w:val="TextodegloboCar"/>
    <w:uiPriority w:val="99"/>
    <w:semiHidden/>
    <w:unhideWhenUsed/>
    <w:rsid w:val="00BD47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766"/>
    <w:rPr>
      <w:rFonts w:ascii="Segoe UI" w:hAnsi="Segoe UI" w:cs="Segoe UI"/>
      <w:sz w:val="18"/>
      <w:szCs w:val="18"/>
      <w:lang w:val="es-ES"/>
    </w:rPr>
  </w:style>
  <w:style w:type="paragraph" w:styleId="Textonotapie">
    <w:name w:val="footnote text"/>
    <w:basedOn w:val="Normal"/>
    <w:link w:val="TextonotapieCar"/>
    <w:uiPriority w:val="99"/>
    <w:unhideWhenUsed/>
    <w:rsid w:val="00E6581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E65817"/>
    <w:rPr>
      <w:rFonts w:ascii="Calibri" w:eastAsia="Calibri" w:hAnsi="Calibri" w:cs="Times New Roman"/>
      <w:sz w:val="20"/>
      <w:szCs w:val="20"/>
      <w:lang w:val="es-ES"/>
    </w:rPr>
  </w:style>
  <w:style w:type="character" w:styleId="Refdenotaalpie">
    <w:name w:val="footnote reference"/>
    <w:uiPriority w:val="99"/>
    <w:semiHidden/>
    <w:unhideWhenUsed/>
    <w:rsid w:val="00E65817"/>
    <w:rPr>
      <w:vertAlign w:val="superscript"/>
    </w:rPr>
  </w:style>
  <w:style w:type="paragraph" w:styleId="Piedepgina">
    <w:name w:val="footer"/>
    <w:basedOn w:val="Normal"/>
    <w:link w:val="PiedepginaCar"/>
    <w:uiPriority w:val="99"/>
    <w:unhideWhenUsed/>
    <w:rsid w:val="00800C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C8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943616605">
      <w:bodyDiv w:val="1"/>
      <w:marLeft w:val="0"/>
      <w:marRight w:val="0"/>
      <w:marTop w:val="0"/>
      <w:marBottom w:val="0"/>
      <w:divBdr>
        <w:top w:val="none" w:sz="0" w:space="0" w:color="auto"/>
        <w:left w:val="none" w:sz="0" w:space="0" w:color="auto"/>
        <w:bottom w:val="none" w:sz="0" w:space="0" w:color="auto"/>
        <w:right w:val="none" w:sz="0" w:space="0" w:color="auto"/>
      </w:divBdr>
    </w:div>
    <w:div w:id="10251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6ABC-1944-4E05-9425-F736BE27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5750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Sandro</dc:creator>
  <cp:lastModifiedBy>TCA-Admin</cp:lastModifiedBy>
  <cp:revision>3</cp:revision>
  <cp:lastPrinted>2019-04-09T16:48:00Z</cp:lastPrinted>
  <dcterms:created xsi:type="dcterms:W3CDTF">2019-04-09T16:47:00Z</dcterms:created>
  <dcterms:modified xsi:type="dcterms:W3CDTF">2019-04-09T16:48:00Z</dcterms:modified>
</cp:coreProperties>
</file>