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E8133F">
        <w:rPr>
          <w:rFonts w:ascii="Arial" w:hAnsi="Arial" w:cs="Arial"/>
          <w:b/>
          <w:sz w:val="26"/>
          <w:szCs w:val="26"/>
        </w:rPr>
        <w:t>352</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E8133F">
        <w:rPr>
          <w:rFonts w:ascii="Arial" w:hAnsi="Arial" w:cs="Arial"/>
          <w:b/>
          <w:sz w:val="26"/>
          <w:szCs w:val="26"/>
        </w:rPr>
        <w:t>038</w:t>
      </w:r>
      <w:r w:rsidR="006F66FB">
        <w:rPr>
          <w:rFonts w:ascii="Arial" w:hAnsi="Arial" w:cs="Arial"/>
          <w:b/>
          <w:sz w:val="26"/>
          <w:szCs w:val="26"/>
        </w:rPr>
        <w:t>/</w:t>
      </w:r>
      <w:r w:rsidRPr="00CB6405">
        <w:rPr>
          <w:rFonts w:ascii="Arial" w:hAnsi="Arial" w:cs="Arial"/>
          <w:b/>
          <w:sz w:val="26"/>
          <w:szCs w:val="26"/>
        </w:rPr>
        <w:t>201</w:t>
      </w:r>
      <w:r w:rsidR="000D24E8">
        <w:rPr>
          <w:rFonts w:ascii="Arial" w:hAnsi="Arial" w:cs="Arial"/>
          <w:b/>
          <w:sz w:val="26"/>
          <w:szCs w:val="26"/>
        </w:rPr>
        <w:t>8</w:t>
      </w:r>
      <w:r w:rsidRPr="00CB6405">
        <w:rPr>
          <w:rFonts w:ascii="Arial" w:hAnsi="Arial" w:cs="Arial"/>
          <w:b/>
          <w:sz w:val="26"/>
          <w:szCs w:val="26"/>
        </w:rPr>
        <w:t xml:space="preserve"> </w:t>
      </w:r>
      <w:r w:rsidR="00E8133F">
        <w:rPr>
          <w:rFonts w:ascii="Arial" w:hAnsi="Arial" w:cs="Arial"/>
          <w:b/>
          <w:sz w:val="26"/>
          <w:szCs w:val="26"/>
        </w:rPr>
        <w:t xml:space="preserve">SEGUNDA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F02180"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F937F9">
        <w:rPr>
          <w:rFonts w:ascii="Arial" w:hAnsi="Arial" w:cs="Arial"/>
          <w:b/>
          <w:sz w:val="26"/>
          <w:szCs w:val="26"/>
        </w:rPr>
        <w:t xml:space="preserve">SEIS DE </w:t>
      </w:r>
      <w:r w:rsidR="00E8133F">
        <w:rPr>
          <w:rFonts w:ascii="Arial" w:hAnsi="Arial" w:cs="Arial"/>
          <w:b/>
          <w:sz w:val="26"/>
          <w:szCs w:val="26"/>
        </w:rPr>
        <w:t xml:space="preserve">DICIEMBRE </w:t>
      </w:r>
      <w:r>
        <w:rPr>
          <w:rFonts w:ascii="Arial" w:hAnsi="Arial" w:cs="Arial"/>
          <w:b/>
          <w:sz w:val="26"/>
          <w:szCs w:val="26"/>
        </w:rPr>
        <w:t>DE DOS MIL DIECIOCHO.</w:t>
      </w:r>
    </w:p>
    <w:p w:rsidR="00C06661" w:rsidRPr="00CB6405" w:rsidRDefault="00C06661" w:rsidP="00E8133F">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E8133F">
        <w:rPr>
          <w:rFonts w:ascii="Arial" w:hAnsi="Arial" w:cs="Arial"/>
          <w:b/>
          <w:sz w:val="26"/>
          <w:szCs w:val="26"/>
        </w:rPr>
        <w:t>352</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E34824">
        <w:rPr>
          <w:rFonts w:ascii="Arial" w:hAnsi="Arial" w:cs="Arial"/>
          <w:b/>
          <w:sz w:val="26"/>
          <w:szCs w:val="26"/>
        </w:rPr>
        <w:t>**********</w:t>
      </w:r>
      <w:r w:rsidR="00E8133F">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l</w:t>
      </w:r>
      <w:r w:rsidR="00DA1573">
        <w:rPr>
          <w:rFonts w:ascii="Arial" w:hAnsi="Arial" w:cs="Arial"/>
          <w:sz w:val="26"/>
          <w:szCs w:val="26"/>
        </w:rPr>
        <w:t xml:space="preserve"> auto de </w:t>
      </w:r>
      <w:r w:rsidR="00E8133F">
        <w:rPr>
          <w:rFonts w:ascii="Arial" w:hAnsi="Arial" w:cs="Arial"/>
          <w:sz w:val="26"/>
          <w:szCs w:val="26"/>
        </w:rPr>
        <w:t xml:space="preserve">veintiuno de agosto </w:t>
      </w:r>
      <w:r w:rsidR="00C346BF">
        <w:rPr>
          <w:rFonts w:ascii="Arial" w:hAnsi="Arial" w:cs="Arial"/>
          <w:sz w:val="26"/>
          <w:szCs w:val="26"/>
        </w:rPr>
        <w:t>de dos mil dieci</w:t>
      </w:r>
      <w:r w:rsidR="00E8133F">
        <w:rPr>
          <w:rFonts w:ascii="Arial" w:hAnsi="Arial" w:cs="Arial"/>
          <w:sz w:val="26"/>
          <w:szCs w:val="26"/>
        </w:rPr>
        <w:t>ocho</w:t>
      </w:r>
      <w:r>
        <w:rPr>
          <w:rFonts w:ascii="Arial" w:hAnsi="Arial" w:cs="Arial"/>
          <w:sz w:val="26"/>
          <w:szCs w:val="26"/>
        </w:rPr>
        <w:t>, dictad</w:t>
      </w:r>
      <w:r w:rsidR="00C346BF">
        <w:rPr>
          <w:rFonts w:ascii="Arial" w:hAnsi="Arial" w:cs="Arial"/>
          <w:sz w:val="26"/>
          <w:szCs w:val="26"/>
        </w:rPr>
        <w:t>o</w:t>
      </w:r>
      <w:r w:rsidRPr="00CB6405">
        <w:rPr>
          <w:rFonts w:ascii="Arial" w:hAnsi="Arial" w:cs="Arial"/>
          <w:sz w:val="26"/>
          <w:szCs w:val="26"/>
        </w:rPr>
        <w:t xml:space="preserve"> en el expediente </w:t>
      </w:r>
      <w:r w:rsidR="00E8133F">
        <w:rPr>
          <w:rFonts w:ascii="Arial" w:hAnsi="Arial" w:cs="Arial"/>
          <w:b/>
          <w:sz w:val="26"/>
          <w:szCs w:val="26"/>
        </w:rPr>
        <w:t>0038</w:t>
      </w:r>
      <w:r w:rsidRPr="00CB6405">
        <w:rPr>
          <w:rFonts w:ascii="Arial" w:hAnsi="Arial" w:cs="Arial"/>
          <w:b/>
          <w:sz w:val="26"/>
          <w:szCs w:val="26"/>
        </w:rPr>
        <w:t>/201</w:t>
      </w:r>
      <w:r w:rsidR="00E8133F">
        <w:rPr>
          <w:rFonts w:ascii="Arial" w:hAnsi="Arial" w:cs="Arial"/>
          <w:b/>
          <w:sz w:val="26"/>
          <w:szCs w:val="26"/>
        </w:rPr>
        <w:t>8</w:t>
      </w:r>
      <w:r w:rsidRPr="00CB6405">
        <w:rPr>
          <w:rFonts w:ascii="Arial" w:hAnsi="Arial" w:cs="Arial"/>
          <w:sz w:val="26"/>
          <w:szCs w:val="26"/>
        </w:rPr>
        <w:t xml:space="preserve"> de la </w:t>
      </w:r>
      <w:r w:rsidR="00E8133F">
        <w:rPr>
          <w:rFonts w:ascii="Arial" w:hAnsi="Arial" w:cs="Arial"/>
          <w:sz w:val="26"/>
          <w:szCs w:val="26"/>
        </w:rPr>
        <w:t xml:space="preserve">Segunda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l</w:t>
      </w:r>
      <w:r w:rsidR="00E8133F">
        <w:rPr>
          <w:rFonts w:ascii="Arial" w:hAnsi="Arial" w:cs="Arial"/>
          <w:sz w:val="26"/>
          <w:szCs w:val="26"/>
        </w:rPr>
        <w:t>a</w:t>
      </w:r>
      <w:r w:rsidR="005758AC">
        <w:rPr>
          <w:rFonts w:ascii="Arial" w:hAnsi="Arial" w:cs="Arial"/>
          <w:sz w:val="26"/>
          <w:szCs w:val="26"/>
        </w:rPr>
        <w:t xml:space="preserve">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E8133F" w:rsidRPr="00E8133F">
        <w:rPr>
          <w:rFonts w:ascii="Arial" w:hAnsi="Arial" w:cs="Arial"/>
          <w:b/>
          <w:sz w:val="26"/>
          <w:szCs w:val="26"/>
        </w:rPr>
        <w:t>MUNICIPIO DE SAN BARTOLOMÉ LOXICHA, DISTRITO DE POCHUTLA,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el </w:t>
      </w:r>
      <w:r w:rsidR="00C346BF">
        <w:rPr>
          <w:rFonts w:ascii="Arial" w:hAnsi="Arial" w:cs="Arial"/>
          <w:sz w:val="26"/>
          <w:szCs w:val="26"/>
        </w:rPr>
        <w:t xml:space="preserve">auto de </w:t>
      </w:r>
      <w:r w:rsidR="00C957D5">
        <w:rPr>
          <w:rFonts w:ascii="Arial" w:hAnsi="Arial" w:cs="Arial"/>
          <w:sz w:val="26"/>
          <w:szCs w:val="26"/>
        </w:rPr>
        <w:t xml:space="preserve">veintiuno de agosto de </w:t>
      </w:r>
      <w:r w:rsidR="00C346BF">
        <w:rPr>
          <w:rFonts w:ascii="Arial" w:hAnsi="Arial" w:cs="Arial"/>
          <w:sz w:val="26"/>
          <w:szCs w:val="26"/>
        </w:rPr>
        <w:t>dos mil dieci</w:t>
      </w:r>
      <w:r w:rsidR="00C957D5">
        <w:rPr>
          <w:rFonts w:ascii="Arial" w:hAnsi="Arial" w:cs="Arial"/>
          <w:sz w:val="26"/>
          <w:szCs w:val="26"/>
        </w:rPr>
        <w:t>ocho</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C957D5">
        <w:rPr>
          <w:rFonts w:ascii="Arial" w:hAnsi="Arial" w:cs="Arial"/>
          <w:sz w:val="26"/>
          <w:szCs w:val="26"/>
        </w:rPr>
        <w:t xml:space="preserve">Segunda </w:t>
      </w:r>
      <w:r w:rsidRPr="00CB6405">
        <w:rPr>
          <w:rFonts w:ascii="Arial" w:hAnsi="Arial" w:cs="Arial"/>
          <w:sz w:val="26"/>
          <w:szCs w:val="26"/>
        </w:rPr>
        <w:t xml:space="preserve">Sala Unitaria de Primera Instancia </w:t>
      </w:r>
      <w:r w:rsidR="00E34824">
        <w:rPr>
          <w:rFonts w:ascii="Arial" w:hAnsi="Arial" w:cs="Arial"/>
          <w:b/>
          <w:sz w:val="26"/>
          <w:szCs w:val="26"/>
        </w:rPr>
        <w:t>**********</w:t>
      </w:r>
      <w:r w:rsidR="00C957D5">
        <w:rPr>
          <w:rFonts w:ascii="Arial" w:hAnsi="Arial" w:cs="Arial"/>
          <w:b/>
          <w:sz w:val="26"/>
          <w:szCs w:val="26"/>
        </w:rPr>
        <w:t>.</w:t>
      </w:r>
      <w:r w:rsidR="00C957D5" w:rsidRPr="00CB6405">
        <w:rPr>
          <w:rFonts w:ascii="Arial" w:hAnsi="Arial" w:cs="Arial"/>
          <w:sz w:val="26"/>
          <w:szCs w:val="26"/>
        </w:rPr>
        <w:t>,</w:t>
      </w:r>
      <w:r w:rsidRPr="00CB6405">
        <w:rPr>
          <w:rFonts w:ascii="Arial" w:hAnsi="Arial" w:cs="Arial"/>
          <w:sz w:val="26"/>
          <w:szCs w:val="26"/>
        </w:rPr>
        <w:t xml:space="preserve">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F87E4D">
        <w:rPr>
          <w:rFonts w:ascii="Arial" w:hAnsi="Arial" w:cs="Arial"/>
          <w:bCs/>
          <w:sz w:val="26"/>
          <w:szCs w:val="26"/>
        </w:rPr>
        <w:t xml:space="preserve">El acuerdo recurrido </w:t>
      </w:r>
      <w:r w:rsidR="00C346BF">
        <w:rPr>
          <w:rFonts w:ascii="Arial" w:hAnsi="Arial" w:cs="Arial"/>
          <w:bCs/>
          <w:sz w:val="26"/>
          <w:szCs w:val="26"/>
        </w:rPr>
        <w:t>es el siguiente</w:t>
      </w:r>
      <w:r w:rsidR="00C06661">
        <w:rPr>
          <w:rFonts w:ascii="Arial" w:hAnsi="Arial" w:cs="Arial"/>
          <w:bCs/>
          <w:sz w:val="26"/>
          <w:szCs w:val="26"/>
        </w:rPr>
        <w:t>:</w:t>
      </w:r>
    </w:p>
    <w:p w:rsidR="005E6972" w:rsidRDefault="00C37A09" w:rsidP="002E0D17">
      <w:pPr>
        <w:widowControl w:val="0"/>
        <w:tabs>
          <w:tab w:val="left" w:pos="7938"/>
        </w:tabs>
        <w:spacing w:before="240" w:after="0" w:line="360" w:lineRule="auto"/>
        <w:ind w:left="1134" w:right="616"/>
        <w:jc w:val="both"/>
        <w:rPr>
          <w:rFonts w:ascii="Arial" w:hAnsi="Arial" w:cs="Arial"/>
          <w:b/>
          <w:sz w:val="24"/>
          <w:szCs w:val="24"/>
        </w:rPr>
      </w:pPr>
      <w:r w:rsidRPr="00C06661">
        <w:rPr>
          <w:rFonts w:ascii="Arial" w:eastAsia="Times New Roman" w:hAnsi="Arial" w:cs="Arial"/>
          <w:bCs/>
          <w:i/>
          <w:iCs/>
          <w:sz w:val="24"/>
          <w:szCs w:val="24"/>
          <w:lang w:eastAsia="es-ES"/>
        </w:rPr>
        <w:t>“</w:t>
      </w:r>
      <w:r w:rsidR="006F66FB" w:rsidRPr="006F66FB">
        <w:rPr>
          <w:rFonts w:ascii="Arial" w:eastAsia="Times New Roman" w:hAnsi="Arial" w:cs="Arial"/>
          <w:bCs/>
          <w:iCs/>
          <w:sz w:val="24"/>
          <w:szCs w:val="24"/>
          <w:lang w:eastAsia="es-ES"/>
        </w:rPr>
        <w:t>…</w:t>
      </w:r>
      <w:r w:rsidR="00C957D5">
        <w:rPr>
          <w:rFonts w:ascii="Arial" w:eastAsia="Times New Roman" w:hAnsi="Arial" w:cs="Arial"/>
          <w:bCs/>
          <w:i/>
          <w:iCs/>
          <w:sz w:val="24"/>
          <w:szCs w:val="24"/>
          <w:lang w:eastAsia="es-ES"/>
        </w:rPr>
        <w:t xml:space="preserve">Agréguese el escrito de </w:t>
      </w:r>
      <w:r w:rsidR="00E34824">
        <w:rPr>
          <w:rFonts w:ascii="Arial" w:hAnsi="Arial" w:cs="Arial"/>
          <w:b/>
          <w:sz w:val="24"/>
          <w:szCs w:val="24"/>
        </w:rPr>
        <w:t>**********</w:t>
      </w:r>
      <w:r w:rsidR="00C957D5" w:rsidRPr="00C957D5">
        <w:rPr>
          <w:rFonts w:ascii="Arial" w:hAnsi="Arial" w:cs="Arial"/>
          <w:b/>
          <w:sz w:val="24"/>
          <w:szCs w:val="24"/>
        </w:rPr>
        <w:t>.</w:t>
      </w:r>
      <w:r w:rsidR="00C957D5" w:rsidRPr="00C957D5">
        <w:rPr>
          <w:rFonts w:ascii="Arial" w:hAnsi="Arial" w:cs="Arial"/>
          <w:sz w:val="24"/>
          <w:szCs w:val="24"/>
        </w:rPr>
        <w:t>,</w:t>
      </w:r>
      <w:r w:rsidR="00C957D5">
        <w:rPr>
          <w:rFonts w:ascii="Arial" w:hAnsi="Arial" w:cs="Arial"/>
          <w:sz w:val="24"/>
          <w:szCs w:val="24"/>
        </w:rPr>
        <w:t xml:space="preserve"> presentado el siete de agosto de dos mil dieciocho, con anexos, mediante el cual promueve la </w:t>
      </w:r>
      <w:r w:rsidR="00C957D5">
        <w:rPr>
          <w:rFonts w:ascii="Arial" w:hAnsi="Arial" w:cs="Arial"/>
          <w:b/>
          <w:sz w:val="24"/>
          <w:szCs w:val="24"/>
        </w:rPr>
        <w:t xml:space="preserve">omisión de la demandada a cumplir con el contrato de obra pública a precios unitarios y tiempo determinado. </w:t>
      </w:r>
      <w:r w:rsidR="00C957D5">
        <w:rPr>
          <w:rFonts w:ascii="Arial" w:hAnsi="Arial" w:cs="Arial"/>
          <w:sz w:val="24"/>
          <w:szCs w:val="24"/>
        </w:rPr>
        <w:t xml:space="preserve">Se registra en el libro correspondiente con el número </w:t>
      </w:r>
      <w:r w:rsidR="00C957D5">
        <w:rPr>
          <w:rFonts w:ascii="Arial" w:hAnsi="Arial" w:cs="Arial"/>
          <w:b/>
          <w:sz w:val="24"/>
          <w:szCs w:val="24"/>
        </w:rPr>
        <w:t>38/2018.</w:t>
      </w:r>
    </w:p>
    <w:p w:rsidR="005E6972" w:rsidRDefault="005E6972" w:rsidP="002E0D17">
      <w:pPr>
        <w:widowControl w:val="0"/>
        <w:tabs>
          <w:tab w:val="left" w:pos="7938"/>
        </w:tabs>
        <w:spacing w:before="240" w:after="0" w:line="360" w:lineRule="auto"/>
        <w:ind w:left="1134" w:right="616"/>
        <w:jc w:val="both"/>
        <w:rPr>
          <w:rFonts w:ascii="Arial" w:eastAsia="Times New Roman" w:hAnsi="Arial" w:cs="Arial"/>
          <w:b/>
          <w:bCs/>
          <w:i/>
          <w:iCs/>
          <w:sz w:val="24"/>
          <w:szCs w:val="24"/>
          <w:u w:val="single"/>
          <w:lang w:eastAsia="es-ES"/>
        </w:rPr>
      </w:pPr>
      <w:r>
        <w:rPr>
          <w:rFonts w:ascii="Arial" w:eastAsia="Times New Roman" w:hAnsi="Arial" w:cs="Arial"/>
          <w:bCs/>
          <w:i/>
          <w:iCs/>
          <w:sz w:val="24"/>
          <w:szCs w:val="24"/>
          <w:lang w:eastAsia="es-ES"/>
        </w:rPr>
        <w:t xml:space="preserve">Con fundamento en lo dispuesto en los artículos 161, fracción VI; y 182, fracción I, de la Ley de Procedimiento y Justicia Administrativa para el Estado de Oaxaca, </w:t>
      </w:r>
      <w:r>
        <w:rPr>
          <w:rFonts w:ascii="Arial" w:eastAsia="Times New Roman" w:hAnsi="Arial" w:cs="Arial"/>
          <w:b/>
          <w:bCs/>
          <w:i/>
          <w:iCs/>
          <w:sz w:val="24"/>
          <w:szCs w:val="24"/>
          <w:lang w:eastAsia="es-ES"/>
        </w:rPr>
        <w:t xml:space="preserve">se desecha la demanda de mérito, </w:t>
      </w:r>
      <w:r>
        <w:rPr>
          <w:rFonts w:ascii="Arial" w:eastAsia="Times New Roman" w:hAnsi="Arial" w:cs="Arial"/>
          <w:bCs/>
          <w:i/>
          <w:iCs/>
          <w:sz w:val="24"/>
          <w:szCs w:val="24"/>
          <w:lang w:eastAsia="es-ES"/>
        </w:rPr>
        <w:t xml:space="preserve">al actualizarse un motivo </w:t>
      </w:r>
      <w:r>
        <w:rPr>
          <w:rFonts w:ascii="Arial" w:eastAsia="Times New Roman" w:hAnsi="Arial" w:cs="Arial"/>
          <w:bCs/>
          <w:i/>
          <w:iCs/>
          <w:sz w:val="24"/>
          <w:szCs w:val="24"/>
          <w:lang w:eastAsia="es-ES"/>
        </w:rPr>
        <w:lastRenderedPageBreak/>
        <w:t xml:space="preserve">manifiesto e indudable de improcedencia por </w:t>
      </w:r>
      <w:r>
        <w:rPr>
          <w:rFonts w:ascii="Arial" w:eastAsia="Times New Roman" w:hAnsi="Arial" w:cs="Arial"/>
          <w:b/>
          <w:bCs/>
          <w:i/>
          <w:iCs/>
          <w:sz w:val="24"/>
          <w:szCs w:val="24"/>
          <w:u w:val="single"/>
          <w:lang w:eastAsia="es-ES"/>
        </w:rPr>
        <w:t>manifestaciones de voluntad que entrañen el consentimiento del acto contra el cual no se promueve el juicio dentro del término de treinta días hábiles que establece el artículo 166 de la Ley de la Materia.</w:t>
      </w:r>
    </w:p>
    <w:p w:rsidR="005E697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Entendiéndose por </w:t>
      </w:r>
      <w:r w:rsidRPr="005E6972">
        <w:rPr>
          <w:rFonts w:ascii="Arial" w:eastAsia="Times New Roman" w:hAnsi="Arial" w:cs="Arial"/>
          <w:b/>
          <w:bCs/>
          <w:i/>
          <w:iCs/>
          <w:sz w:val="24"/>
          <w:szCs w:val="24"/>
          <w:u w:val="single"/>
          <w:lang w:eastAsia="es-ES"/>
        </w:rPr>
        <w:t>manifiesto</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aquello que no requiere de mayor demostración, sino que se advierte de manera clara y directa de la demanda y de sus anexos. Y por </w:t>
      </w:r>
      <w:r w:rsidRPr="005E6972">
        <w:rPr>
          <w:rFonts w:ascii="Arial" w:eastAsia="Times New Roman" w:hAnsi="Arial" w:cs="Arial"/>
          <w:b/>
          <w:bCs/>
          <w:i/>
          <w:iCs/>
          <w:sz w:val="24"/>
          <w:szCs w:val="24"/>
          <w:u w:val="single"/>
          <w:lang w:eastAsia="es-ES"/>
        </w:rPr>
        <w:t>indudable</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aquello de lo que se tiene la certeza y plena convicción.</w:t>
      </w:r>
    </w:p>
    <w:p w:rsidR="005E6972" w:rsidRDefault="005E6972" w:rsidP="002E0D17">
      <w:pPr>
        <w:widowControl w:val="0"/>
        <w:tabs>
          <w:tab w:val="left" w:pos="7938"/>
        </w:tabs>
        <w:spacing w:before="240" w:after="0" w:line="360" w:lineRule="auto"/>
        <w:ind w:left="1134" w:right="616"/>
        <w:jc w:val="both"/>
        <w:rPr>
          <w:rFonts w:ascii="Arial" w:hAnsi="Arial" w:cs="Arial"/>
          <w:sz w:val="24"/>
          <w:szCs w:val="24"/>
        </w:rPr>
      </w:pPr>
      <w:r>
        <w:rPr>
          <w:rFonts w:ascii="Arial" w:eastAsia="Times New Roman" w:hAnsi="Arial" w:cs="Arial"/>
          <w:bCs/>
          <w:i/>
          <w:iCs/>
          <w:sz w:val="24"/>
          <w:szCs w:val="24"/>
          <w:lang w:eastAsia="es-ES"/>
        </w:rPr>
        <w:t xml:space="preserve">En el presente caso, la actora </w:t>
      </w:r>
      <w:r w:rsidR="00E34824">
        <w:rPr>
          <w:rFonts w:ascii="Arial" w:hAnsi="Arial" w:cs="Arial"/>
          <w:b/>
          <w:sz w:val="24"/>
          <w:szCs w:val="24"/>
        </w:rPr>
        <w:t>**********</w:t>
      </w:r>
      <w:r w:rsidRPr="00C957D5">
        <w:rPr>
          <w:rFonts w:ascii="Arial" w:hAnsi="Arial" w:cs="Arial"/>
          <w:b/>
          <w:sz w:val="24"/>
          <w:szCs w:val="24"/>
        </w:rPr>
        <w:t>.</w:t>
      </w:r>
      <w:r w:rsidRPr="00C957D5">
        <w:rPr>
          <w:rFonts w:ascii="Arial" w:hAnsi="Arial" w:cs="Arial"/>
          <w:sz w:val="24"/>
          <w:szCs w:val="24"/>
        </w:rPr>
        <w:t>,</w:t>
      </w:r>
      <w:r>
        <w:rPr>
          <w:rFonts w:ascii="Arial" w:hAnsi="Arial" w:cs="Arial"/>
          <w:sz w:val="24"/>
          <w:szCs w:val="24"/>
        </w:rPr>
        <w:t xml:space="preserve"> solicita </w:t>
      </w:r>
      <w:r>
        <w:rPr>
          <w:rFonts w:ascii="Arial" w:hAnsi="Arial" w:cs="Arial"/>
          <w:b/>
          <w:sz w:val="24"/>
          <w:szCs w:val="24"/>
        </w:rPr>
        <w:t xml:space="preserve">el cumplimiento del contrato de obra pública a precios unitarios y tiempo determinado, </w:t>
      </w:r>
      <w:r>
        <w:rPr>
          <w:rFonts w:ascii="Arial" w:hAnsi="Arial" w:cs="Arial"/>
          <w:sz w:val="24"/>
          <w:szCs w:val="24"/>
        </w:rPr>
        <w:t>celebrado el cuatro de julio de dos mil catorce, con el municipio de San Bartolomé Loxicha, Distrito de Pochutla, Oaxaca.</w:t>
      </w:r>
    </w:p>
    <w:p w:rsidR="005E6972" w:rsidRDefault="005E6972"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El i</w:t>
      </w:r>
      <w:r w:rsidR="005E15B4">
        <w:rPr>
          <w:rFonts w:ascii="Arial" w:eastAsia="Times New Roman" w:hAnsi="Arial" w:cs="Arial"/>
          <w:bCs/>
          <w:i/>
          <w:iCs/>
          <w:sz w:val="24"/>
          <w:szCs w:val="24"/>
          <w:lang w:eastAsia="es-ES"/>
        </w:rPr>
        <w:t>ncumplimiento del pago es respec</w:t>
      </w:r>
      <w:r>
        <w:rPr>
          <w:rFonts w:ascii="Arial" w:eastAsia="Times New Roman" w:hAnsi="Arial" w:cs="Arial"/>
          <w:bCs/>
          <w:i/>
          <w:iCs/>
          <w:sz w:val="24"/>
          <w:szCs w:val="24"/>
          <w:lang w:eastAsia="es-ES"/>
        </w:rPr>
        <w:t>to de las estimaciones uno, dos y tres, cuyas cantidades en su orden ascienden a $90,292.</w:t>
      </w:r>
      <w:r w:rsidRPr="005E6972">
        <w:rPr>
          <w:rFonts w:ascii="Arial" w:eastAsia="Times New Roman" w:hAnsi="Arial" w:cs="Arial"/>
          <w:bCs/>
          <w:i/>
          <w:iCs/>
          <w:sz w:val="24"/>
          <w:szCs w:val="24"/>
          <w:lang w:eastAsia="es-ES"/>
        </w:rPr>
        <w:t>97; $170,648.96; y $936,326.93; cuyo total</w:t>
      </w:r>
      <w:r w:rsidR="005E15B4">
        <w:rPr>
          <w:rFonts w:ascii="Arial" w:eastAsia="Times New Roman" w:hAnsi="Arial" w:cs="Arial"/>
          <w:bCs/>
          <w:i/>
          <w:iCs/>
          <w:sz w:val="24"/>
          <w:szCs w:val="24"/>
          <w:lang w:eastAsia="es-ES"/>
        </w:rPr>
        <w:t xml:space="preserve"> es $1,197,268.86, más el impuesto al valor agregado.</w:t>
      </w:r>
    </w:p>
    <w:p w:rsidR="005E15B4" w:rsidRDefault="005E15B4"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Aunado a lo anterior, el pago de los gastos financieros causados desde el veintiocho de diciembre de dos mil dieciséis, cuya cantidad es $472,203.03, más el 16%, que corresponde al valor agregado de $75,552.48; cuyo importe total es de $547,755.51; esta cantidad fue autorizada </w:t>
      </w:r>
      <w:r>
        <w:rPr>
          <w:rFonts w:ascii="Arial" w:eastAsia="Times New Roman" w:hAnsi="Arial" w:cs="Arial"/>
          <w:b/>
          <w:bCs/>
          <w:i/>
          <w:iCs/>
          <w:sz w:val="24"/>
          <w:szCs w:val="24"/>
          <w:u w:val="single"/>
          <w:lang w:eastAsia="es-ES"/>
        </w:rPr>
        <w:t xml:space="preserve">mediante resolución </w:t>
      </w:r>
      <w:r w:rsidR="000D24E8">
        <w:rPr>
          <w:rFonts w:ascii="Arial" w:eastAsia="Times New Roman" w:hAnsi="Arial" w:cs="Arial"/>
          <w:b/>
          <w:bCs/>
          <w:i/>
          <w:iCs/>
          <w:sz w:val="24"/>
          <w:szCs w:val="24"/>
          <w:u w:val="single"/>
          <w:lang w:eastAsia="es-ES"/>
        </w:rPr>
        <w:t>d</w:t>
      </w:r>
      <w:r>
        <w:rPr>
          <w:rFonts w:ascii="Arial" w:eastAsia="Times New Roman" w:hAnsi="Arial" w:cs="Arial"/>
          <w:b/>
          <w:bCs/>
          <w:i/>
          <w:iCs/>
          <w:sz w:val="24"/>
          <w:szCs w:val="24"/>
          <w:u w:val="single"/>
          <w:lang w:eastAsia="es-ES"/>
        </w:rPr>
        <w:t>e treinta y uno de diciembre de dos mil dieciséis</w:t>
      </w:r>
      <w:r w:rsidRPr="005E15B4">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la demanda declaró procedente el pago de los gastos financieros.</w:t>
      </w:r>
    </w:p>
    <w:p w:rsidR="005E15B4" w:rsidRDefault="005E15B4"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Conforme al artículo 56, párrafo primero, fracciones III y IV, de la Ley de Obras Públicas y Servicios Relacionados del Estado de Oaxaca, las estimaciones uno, dos, tres y el pago de gastos financieros </w:t>
      </w:r>
      <w:r>
        <w:rPr>
          <w:rFonts w:ascii="Arial" w:eastAsia="Times New Roman" w:hAnsi="Arial" w:cs="Arial"/>
          <w:b/>
          <w:bCs/>
          <w:i/>
          <w:iCs/>
          <w:sz w:val="24"/>
          <w:szCs w:val="24"/>
          <w:lang w:eastAsia="es-ES"/>
        </w:rPr>
        <w:t xml:space="preserve">debieron de haberse cubierto veinte días hábiles después de la resolución de treinta y uno de diciembre de dos mil dieciséis, </w:t>
      </w:r>
      <w:r>
        <w:rPr>
          <w:rFonts w:ascii="Arial" w:eastAsia="Times New Roman" w:hAnsi="Arial" w:cs="Arial"/>
          <w:bCs/>
          <w:i/>
          <w:iCs/>
          <w:sz w:val="24"/>
          <w:szCs w:val="24"/>
          <w:lang w:eastAsia="es-ES"/>
        </w:rPr>
        <w:t xml:space="preserve">que se declaró procedente el pago por parte de la demandada, respecto de los gastos financieros; </w:t>
      </w:r>
      <w:r>
        <w:rPr>
          <w:rFonts w:ascii="Arial" w:eastAsia="Times New Roman" w:hAnsi="Arial" w:cs="Arial"/>
          <w:b/>
          <w:bCs/>
          <w:i/>
          <w:iCs/>
          <w:sz w:val="24"/>
          <w:szCs w:val="24"/>
          <w:lang w:eastAsia="es-ES"/>
        </w:rPr>
        <w:t xml:space="preserve">es decir, del dos de enero al veintisiete de enero de dos mil diecisiete abarcan los veinte días hábiles; </w:t>
      </w:r>
      <w:r>
        <w:rPr>
          <w:rFonts w:ascii="Arial" w:eastAsia="Times New Roman" w:hAnsi="Arial" w:cs="Arial"/>
          <w:bCs/>
          <w:i/>
          <w:iCs/>
          <w:sz w:val="24"/>
          <w:szCs w:val="24"/>
          <w:lang w:eastAsia="es-ES"/>
        </w:rPr>
        <w:t xml:space="preserve">y a partir </w:t>
      </w:r>
      <w:r>
        <w:rPr>
          <w:rFonts w:ascii="Arial" w:eastAsia="Times New Roman" w:hAnsi="Arial" w:cs="Arial"/>
          <w:b/>
          <w:bCs/>
          <w:i/>
          <w:iCs/>
          <w:sz w:val="24"/>
          <w:szCs w:val="24"/>
          <w:lang w:eastAsia="es-ES"/>
        </w:rPr>
        <w:t xml:space="preserve">del treinta de enero de dos mil diecisiete, comenzaron a transcurrir los treinta días hábiles para presentar la demanda ante este Tribunal para exigir el cumplimiento del contrato de obra pública a precios unitarios; </w:t>
      </w:r>
      <w:r>
        <w:rPr>
          <w:rFonts w:ascii="Arial" w:eastAsia="Times New Roman" w:hAnsi="Arial" w:cs="Arial"/>
          <w:bCs/>
          <w:i/>
          <w:iCs/>
          <w:sz w:val="24"/>
          <w:szCs w:val="24"/>
          <w:lang w:eastAsia="es-ES"/>
        </w:rPr>
        <w:t xml:space="preserve">cuyo plazo feneció el </w:t>
      </w:r>
      <w:r>
        <w:rPr>
          <w:rFonts w:ascii="Arial" w:eastAsia="Times New Roman" w:hAnsi="Arial" w:cs="Arial"/>
          <w:b/>
          <w:bCs/>
          <w:i/>
          <w:iCs/>
          <w:sz w:val="24"/>
          <w:szCs w:val="24"/>
          <w:lang w:eastAsia="es-ES"/>
        </w:rPr>
        <w:t xml:space="preserve">ocho de marzo </w:t>
      </w:r>
      <w:r>
        <w:rPr>
          <w:rFonts w:ascii="Arial" w:eastAsia="Times New Roman" w:hAnsi="Arial" w:cs="Arial"/>
          <w:b/>
          <w:bCs/>
          <w:i/>
          <w:iCs/>
          <w:sz w:val="24"/>
          <w:szCs w:val="24"/>
          <w:lang w:eastAsia="es-ES"/>
        </w:rPr>
        <w:lastRenderedPageBreak/>
        <w:t xml:space="preserve">de dos mil diecisiete; </w:t>
      </w:r>
      <w:r>
        <w:rPr>
          <w:rFonts w:ascii="Arial" w:eastAsia="Times New Roman" w:hAnsi="Arial" w:cs="Arial"/>
          <w:bCs/>
          <w:i/>
          <w:iCs/>
          <w:sz w:val="24"/>
          <w:szCs w:val="24"/>
          <w:lang w:eastAsia="es-ES"/>
        </w:rPr>
        <w:t>y al no presentar la demanda dentro de los treinta días hábiles, que establece el artículo 166, de la Ley de Procedimiento y Justicia Administrativa para el Estado de Oaxaca; la parte actora consintió el acto, tal y como lo establece el artículo 161, fracción VI, de la Ley de Procedimiento y Justicia Administrativa para el Estado de Oaxaca.</w:t>
      </w:r>
    </w:p>
    <w:p w:rsidR="005E15B4" w:rsidRDefault="005E15B4"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Se precia que en el presente caso, se trata de un contrato de obra a precios unitarios, ya que en el mismo se estipuló el pago a base de estimaciones uno, dos y tres; por el trabajo realizado en periodos determinados, de tal manera que conforme se acreditara su cumplimiento se deberían de cubrir los mismos; aunado a que también sería procedente cubrir los gastos financieros estuvieron o no pactados por las partes contratantes.</w:t>
      </w:r>
    </w:p>
    <w:p w:rsidR="00513626" w:rsidRDefault="00513626" w:rsidP="002E0D17">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Sirven de apoyo en lo </w:t>
      </w:r>
      <w:r w:rsidRPr="00513626">
        <w:rPr>
          <w:rFonts w:ascii="Arial" w:eastAsia="Times New Roman" w:hAnsi="Arial" w:cs="Arial"/>
          <w:bCs/>
          <w:i/>
          <w:iCs/>
          <w:sz w:val="24"/>
          <w:szCs w:val="24"/>
          <w:u w:val="single"/>
          <w:lang w:eastAsia="es-ES"/>
        </w:rPr>
        <w:t>conducente</w:t>
      </w:r>
      <w:r>
        <w:rPr>
          <w:rFonts w:ascii="Arial" w:eastAsia="Times New Roman" w:hAnsi="Arial" w:cs="Arial"/>
          <w:bCs/>
          <w:i/>
          <w:iCs/>
          <w:sz w:val="24"/>
          <w:szCs w:val="24"/>
          <w:lang w:eastAsia="es-ES"/>
        </w:rPr>
        <w:t xml:space="preserve"> las tesis y jurisprudencia de rubro y texto:</w:t>
      </w:r>
    </w:p>
    <w:p w:rsidR="006B52CD" w:rsidRPr="00C06661" w:rsidRDefault="005E15B4" w:rsidP="00513626">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Cs/>
          <w:i/>
          <w:iCs/>
          <w:sz w:val="24"/>
          <w:szCs w:val="24"/>
          <w:lang w:eastAsia="es-ES"/>
        </w:rPr>
        <w:t>…</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E5730">
        <w:rPr>
          <w:rFonts w:ascii="Arial" w:hAnsi="Arial" w:cs="Arial"/>
          <w:bCs/>
          <w:iCs/>
          <w:sz w:val="26"/>
          <w:szCs w:val="26"/>
        </w:rPr>
        <w:t>de conformidad con lo dispuesto por los artículos 1</w:t>
      </w:r>
      <w:r w:rsidR="00F3043E">
        <w:rPr>
          <w:rFonts w:ascii="Arial" w:hAnsi="Arial" w:cs="Arial"/>
          <w:bCs/>
          <w:iCs/>
          <w:sz w:val="26"/>
          <w:szCs w:val="26"/>
        </w:rPr>
        <w:t>1</w:t>
      </w:r>
      <w:r w:rsidR="00FE5730">
        <w:rPr>
          <w:rFonts w:ascii="Arial" w:hAnsi="Arial" w:cs="Arial"/>
          <w:bCs/>
          <w:iCs/>
          <w:sz w:val="26"/>
          <w:szCs w:val="26"/>
        </w:rPr>
        <w:t>4 Quáter de la Constitución Política del Estado Libre y Soberano de Oaxaca;</w:t>
      </w:r>
      <w:r w:rsidR="00C362F6">
        <w:rPr>
          <w:rFonts w:ascii="Arial" w:hAnsi="Arial" w:cs="Arial"/>
          <w:bCs/>
          <w:iCs/>
          <w:sz w:val="26"/>
          <w:szCs w:val="26"/>
          <w:lang w:eastAsia="es-ES"/>
        </w:rPr>
        <w:t xml:space="preserve"> </w:t>
      </w:r>
      <w:r w:rsidR="002161DA">
        <w:rPr>
          <w:rFonts w:ascii="Arial" w:hAnsi="Arial" w:cs="Arial"/>
          <w:bCs/>
          <w:iCs/>
          <w:sz w:val="26"/>
          <w:szCs w:val="26"/>
          <w:lang w:eastAsia="es-ES"/>
        </w:rPr>
        <w:t>125</w:t>
      </w:r>
      <w:r w:rsidR="00C362F6">
        <w:rPr>
          <w:rFonts w:ascii="Arial" w:hAnsi="Arial" w:cs="Arial"/>
          <w:bCs/>
          <w:iCs/>
          <w:sz w:val="26"/>
          <w:szCs w:val="26"/>
        </w:rPr>
        <w:t xml:space="preserve">, </w:t>
      </w:r>
      <w:r w:rsidR="002161DA">
        <w:rPr>
          <w:rFonts w:ascii="Arial" w:hAnsi="Arial" w:cs="Arial"/>
          <w:bCs/>
          <w:iCs/>
          <w:sz w:val="26"/>
          <w:szCs w:val="26"/>
        </w:rPr>
        <w:t>127</w:t>
      </w:r>
      <w:r w:rsidR="00C362F6">
        <w:rPr>
          <w:rFonts w:ascii="Arial" w:hAnsi="Arial" w:cs="Arial"/>
          <w:bCs/>
          <w:iCs/>
          <w:sz w:val="26"/>
          <w:szCs w:val="26"/>
        </w:rPr>
        <w:t xml:space="preserve">, </w:t>
      </w:r>
      <w:r w:rsidR="002161DA">
        <w:rPr>
          <w:rFonts w:ascii="Arial" w:hAnsi="Arial" w:cs="Arial"/>
          <w:bCs/>
          <w:iCs/>
          <w:sz w:val="26"/>
          <w:szCs w:val="26"/>
        </w:rPr>
        <w:t>129</w:t>
      </w:r>
      <w:r w:rsidR="00C362F6">
        <w:rPr>
          <w:rFonts w:ascii="Arial" w:hAnsi="Arial" w:cs="Arial"/>
          <w:bCs/>
          <w:iCs/>
          <w:sz w:val="26"/>
          <w:szCs w:val="26"/>
        </w:rPr>
        <w:t xml:space="preserve">, </w:t>
      </w:r>
      <w:r w:rsidR="002161DA">
        <w:rPr>
          <w:rFonts w:ascii="Arial" w:hAnsi="Arial" w:cs="Arial"/>
          <w:bCs/>
          <w:iCs/>
          <w:sz w:val="26"/>
          <w:szCs w:val="26"/>
        </w:rPr>
        <w:t>130</w:t>
      </w:r>
      <w:r w:rsidR="00C362F6">
        <w:rPr>
          <w:rFonts w:ascii="Arial" w:hAnsi="Arial" w:cs="Arial"/>
          <w:bCs/>
          <w:iCs/>
          <w:sz w:val="26"/>
          <w:szCs w:val="26"/>
        </w:rPr>
        <w:t xml:space="preserve">, fracción I, </w:t>
      </w:r>
      <w:r w:rsidR="002161DA">
        <w:rPr>
          <w:rFonts w:ascii="Arial" w:hAnsi="Arial" w:cs="Arial"/>
          <w:bCs/>
          <w:iCs/>
          <w:sz w:val="26"/>
          <w:szCs w:val="26"/>
        </w:rPr>
        <w:t>131</w:t>
      </w:r>
      <w:r w:rsidR="00C362F6">
        <w:rPr>
          <w:rFonts w:ascii="Arial" w:hAnsi="Arial" w:cs="Arial"/>
          <w:bCs/>
          <w:iCs/>
          <w:sz w:val="26"/>
          <w:szCs w:val="26"/>
        </w:rPr>
        <w:t>, 2</w:t>
      </w:r>
      <w:r w:rsidR="002161DA">
        <w:rPr>
          <w:rFonts w:ascii="Arial" w:hAnsi="Arial" w:cs="Arial"/>
          <w:bCs/>
          <w:iCs/>
          <w:sz w:val="26"/>
          <w:szCs w:val="26"/>
        </w:rPr>
        <w:t>31, 23</w:t>
      </w:r>
      <w:r w:rsidR="00C362F6">
        <w:rPr>
          <w:rFonts w:ascii="Arial" w:hAnsi="Arial" w:cs="Arial"/>
          <w:bCs/>
          <w:iCs/>
          <w:sz w:val="26"/>
          <w:szCs w:val="26"/>
        </w:rPr>
        <w:t>6 y 2</w:t>
      </w:r>
      <w:r w:rsidR="002161DA">
        <w:rPr>
          <w:rFonts w:ascii="Arial" w:hAnsi="Arial" w:cs="Arial"/>
          <w:bCs/>
          <w:iCs/>
          <w:sz w:val="26"/>
          <w:szCs w:val="26"/>
        </w:rPr>
        <w:t>3</w:t>
      </w:r>
      <w:r w:rsidR="00C362F6">
        <w:rPr>
          <w:rFonts w:ascii="Arial" w:hAnsi="Arial" w:cs="Arial"/>
          <w:bCs/>
          <w:iCs/>
          <w:sz w:val="26"/>
          <w:szCs w:val="26"/>
        </w:rPr>
        <w:t xml:space="preserve">8 de la Ley de </w:t>
      </w:r>
      <w:r w:rsidR="002161DA">
        <w:rPr>
          <w:rFonts w:ascii="Arial" w:hAnsi="Arial" w:cs="Arial"/>
          <w:bCs/>
          <w:iCs/>
          <w:sz w:val="26"/>
          <w:szCs w:val="26"/>
        </w:rPr>
        <w:t>Procedimiento y Justicia Administrativa para el Estado de Oaxaca</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del</w:t>
      </w:r>
      <w:r w:rsidR="002E0D17">
        <w:rPr>
          <w:rFonts w:ascii="Arial" w:hAnsi="Arial" w:cs="Arial"/>
          <w:bCs/>
          <w:iCs/>
          <w:sz w:val="26"/>
          <w:szCs w:val="26"/>
        </w:rPr>
        <w:t xml:space="preserve"> </w:t>
      </w:r>
      <w:r w:rsidR="002161DA">
        <w:rPr>
          <w:rFonts w:ascii="Arial" w:hAnsi="Arial" w:cs="Arial"/>
          <w:bCs/>
          <w:iCs/>
          <w:sz w:val="26"/>
          <w:szCs w:val="26"/>
        </w:rPr>
        <w:t xml:space="preserve">auto de </w:t>
      </w:r>
      <w:r w:rsidR="00513626">
        <w:rPr>
          <w:rFonts w:ascii="Arial" w:hAnsi="Arial" w:cs="Arial"/>
          <w:bCs/>
          <w:iCs/>
          <w:sz w:val="26"/>
          <w:szCs w:val="26"/>
        </w:rPr>
        <w:t xml:space="preserve">veintiuno de agosto </w:t>
      </w:r>
      <w:r w:rsidR="002161DA">
        <w:rPr>
          <w:rFonts w:ascii="Arial" w:hAnsi="Arial" w:cs="Arial"/>
          <w:bCs/>
          <w:iCs/>
          <w:sz w:val="26"/>
          <w:szCs w:val="26"/>
        </w:rPr>
        <w:t>de dos mil dieci</w:t>
      </w:r>
      <w:r w:rsidR="00513626">
        <w:rPr>
          <w:rFonts w:ascii="Arial" w:hAnsi="Arial" w:cs="Arial"/>
          <w:bCs/>
          <w:iCs/>
          <w:sz w:val="26"/>
          <w:szCs w:val="26"/>
        </w:rPr>
        <w:t>ocho</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513626">
        <w:rPr>
          <w:rFonts w:ascii="Arial" w:hAnsi="Arial" w:cs="Arial"/>
          <w:bCs/>
          <w:iCs/>
          <w:sz w:val="26"/>
          <w:szCs w:val="26"/>
        </w:rPr>
        <w:t xml:space="preserve">Segunda </w:t>
      </w:r>
      <w:r w:rsidR="00C06661" w:rsidRPr="00CB6405">
        <w:rPr>
          <w:rFonts w:ascii="Arial" w:hAnsi="Arial" w:cs="Arial"/>
          <w:bCs/>
          <w:iCs/>
          <w:sz w:val="26"/>
          <w:szCs w:val="26"/>
        </w:rPr>
        <w:t xml:space="preserve">Sala Unitaria de Primera Instancia de este Tribunal, en el expediente </w:t>
      </w:r>
      <w:r w:rsidR="00513626">
        <w:rPr>
          <w:rFonts w:ascii="Arial" w:hAnsi="Arial" w:cs="Arial"/>
          <w:b/>
          <w:bCs/>
          <w:iCs/>
          <w:sz w:val="26"/>
          <w:szCs w:val="26"/>
        </w:rPr>
        <w:t>0038</w:t>
      </w:r>
      <w:r w:rsidR="00C4233C">
        <w:rPr>
          <w:rFonts w:ascii="Arial" w:hAnsi="Arial" w:cs="Arial"/>
          <w:b/>
          <w:bCs/>
          <w:iCs/>
          <w:sz w:val="26"/>
          <w:szCs w:val="26"/>
        </w:rPr>
        <w:t>/201</w:t>
      </w:r>
      <w:r w:rsidR="00513626">
        <w:rPr>
          <w:rFonts w:ascii="Arial" w:hAnsi="Arial" w:cs="Arial"/>
          <w:b/>
          <w:bCs/>
          <w:iCs/>
          <w:sz w:val="26"/>
          <w:szCs w:val="26"/>
        </w:rPr>
        <w:t>8</w:t>
      </w:r>
      <w:r w:rsidR="00C06661" w:rsidRPr="00CB6405">
        <w:rPr>
          <w:rFonts w:ascii="Arial" w:hAnsi="Arial" w:cs="Arial"/>
          <w:sz w:val="26"/>
          <w:szCs w:val="26"/>
        </w:rPr>
        <w:t>.</w:t>
      </w:r>
    </w:p>
    <w:p w:rsidR="00673989" w:rsidRDefault="00673989" w:rsidP="00673989">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Pr>
          <w:rFonts w:ascii="Arial" w:hAnsi="Arial" w:cs="Arial"/>
          <w:sz w:val="26"/>
          <w:szCs w:val="26"/>
        </w:rPr>
        <w:t>.</w:t>
      </w:r>
    </w:p>
    <w:p w:rsidR="00513626" w:rsidRDefault="00673989" w:rsidP="00D63950">
      <w:pPr>
        <w:spacing w:before="240" w:line="360" w:lineRule="auto"/>
        <w:ind w:firstLine="708"/>
        <w:jc w:val="both"/>
        <w:rPr>
          <w:rFonts w:ascii="Arial" w:hAnsi="Arial" w:cs="Arial"/>
          <w:color w:val="000000"/>
          <w:sz w:val="26"/>
          <w:szCs w:val="26"/>
        </w:rPr>
      </w:pPr>
      <w:r>
        <w:rPr>
          <w:rFonts w:ascii="Arial" w:hAnsi="Arial" w:cs="Arial"/>
          <w:b/>
          <w:bCs/>
          <w:sz w:val="26"/>
          <w:szCs w:val="26"/>
        </w:rPr>
        <w:t>TERCERO</w:t>
      </w:r>
      <w:r w:rsidR="002161DA" w:rsidRPr="006E349D">
        <w:rPr>
          <w:rFonts w:ascii="Arial" w:hAnsi="Arial" w:cs="Arial"/>
          <w:b/>
          <w:bCs/>
          <w:sz w:val="26"/>
          <w:szCs w:val="26"/>
        </w:rPr>
        <w:t>.</w:t>
      </w:r>
      <w:r w:rsidR="002161DA" w:rsidRPr="006E349D">
        <w:rPr>
          <w:rFonts w:ascii="Arial" w:hAnsi="Arial" w:cs="Arial"/>
          <w:bCs/>
          <w:sz w:val="26"/>
          <w:szCs w:val="26"/>
        </w:rPr>
        <w:t xml:space="preserve"> </w:t>
      </w:r>
      <w:r w:rsidR="004B48D5">
        <w:rPr>
          <w:rFonts w:ascii="Arial" w:hAnsi="Arial" w:cs="Arial"/>
          <w:color w:val="000000"/>
          <w:sz w:val="26"/>
          <w:szCs w:val="26"/>
        </w:rPr>
        <w:t xml:space="preserve">Alega </w:t>
      </w:r>
      <w:r w:rsidR="00513626">
        <w:rPr>
          <w:rFonts w:ascii="Arial" w:hAnsi="Arial" w:cs="Arial"/>
          <w:color w:val="000000"/>
          <w:sz w:val="26"/>
          <w:szCs w:val="26"/>
        </w:rPr>
        <w:t>en esencia que la consideración de la Primera Ins</w:t>
      </w:r>
      <w:r w:rsidR="00050312">
        <w:rPr>
          <w:rFonts w:ascii="Arial" w:hAnsi="Arial" w:cs="Arial"/>
          <w:color w:val="000000"/>
          <w:sz w:val="26"/>
          <w:szCs w:val="26"/>
        </w:rPr>
        <w:t>tancia de que se actualiza la c</w:t>
      </w:r>
      <w:r w:rsidR="00513626">
        <w:rPr>
          <w:rFonts w:ascii="Arial" w:hAnsi="Arial" w:cs="Arial"/>
          <w:color w:val="000000"/>
          <w:sz w:val="26"/>
          <w:szCs w:val="26"/>
        </w:rPr>
        <w:t>a</w:t>
      </w:r>
      <w:r w:rsidR="00050312">
        <w:rPr>
          <w:rFonts w:ascii="Arial" w:hAnsi="Arial" w:cs="Arial"/>
          <w:color w:val="000000"/>
          <w:sz w:val="26"/>
          <w:szCs w:val="26"/>
        </w:rPr>
        <w:t>u</w:t>
      </w:r>
      <w:r w:rsidR="00513626">
        <w:rPr>
          <w:rFonts w:ascii="Arial" w:hAnsi="Arial" w:cs="Arial"/>
          <w:color w:val="000000"/>
          <w:sz w:val="26"/>
          <w:szCs w:val="26"/>
        </w:rPr>
        <w:t>sal de improcedencia prevista en el artículo 161 fracción VI de la ley de Procedimiento y Justicia Administrativa</w:t>
      </w:r>
      <w:r w:rsidR="00352F7F">
        <w:rPr>
          <w:rFonts w:ascii="Arial" w:hAnsi="Arial" w:cs="Arial"/>
          <w:color w:val="000000"/>
          <w:sz w:val="26"/>
          <w:szCs w:val="26"/>
        </w:rPr>
        <w:t>, es ilegal, pues dice, se pasó</w:t>
      </w:r>
      <w:r w:rsidR="00050312">
        <w:rPr>
          <w:rFonts w:ascii="Arial" w:hAnsi="Arial" w:cs="Arial"/>
          <w:color w:val="000000"/>
          <w:sz w:val="26"/>
          <w:szCs w:val="26"/>
        </w:rPr>
        <w:t xml:space="preserve"> por alto, </w:t>
      </w:r>
      <w:r w:rsidR="00C01348">
        <w:rPr>
          <w:rFonts w:ascii="Arial" w:hAnsi="Arial" w:cs="Arial"/>
          <w:color w:val="000000"/>
          <w:sz w:val="26"/>
          <w:szCs w:val="26"/>
        </w:rPr>
        <w:t>“</w:t>
      </w:r>
      <w:r w:rsidR="00050312" w:rsidRPr="00C01348">
        <w:rPr>
          <w:rFonts w:ascii="Arial" w:hAnsi="Arial" w:cs="Arial"/>
          <w:i/>
          <w:color w:val="000000"/>
          <w:sz w:val="24"/>
          <w:szCs w:val="24"/>
        </w:rPr>
        <w:t xml:space="preserve">que </w:t>
      </w:r>
      <w:r w:rsidR="00C01348" w:rsidRPr="00C01348">
        <w:rPr>
          <w:rFonts w:ascii="Arial" w:hAnsi="Arial" w:cs="Arial"/>
          <w:i/>
          <w:color w:val="000000"/>
          <w:sz w:val="24"/>
          <w:szCs w:val="24"/>
        </w:rPr>
        <w:t xml:space="preserve">en la especie, </w:t>
      </w:r>
      <w:r w:rsidR="00C01348" w:rsidRPr="00C01348">
        <w:rPr>
          <w:rFonts w:ascii="Arial" w:hAnsi="Arial" w:cs="Arial"/>
          <w:i/>
          <w:color w:val="000000"/>
          <w:sz w:val="24"/>
          <w:szCs w:val="24"/>
        </w:rPr>
        <w:lastRenderedPageBreak/>
        <w:t xml:space="preserve">estamos en presencia de actos </w:t>
      </w:r>
      <w:r w:rsidR="00C01348" w:rsidRPr="00C01348">
        <w:rPr>
          <w:rFonts w:ascii="Arial" w:hAnsi="Arial" w:cs="Arial"/>
          <w:i/>
          <w:color w:val="000000"/>
        </w:rPr>
        <w:t xml:space="preserve">OMISIVOS, RESPECTO DE LOS CUALES, NO PUEDE CORRER TÉRMINO PARA </w:t>
      </w:r>
      <w:r w:rsidR="00C01348">
        <w:rPr>
          <w:rFonts w:ascii="Arial" w:hAnsi="Arial" w:cs="Arial"/>
          <w:i/>
          <w:color w:val="000000"/>
        </w:rPr>
        <w:t>LA PROMO</w:t>
      </w:r>
      <w:r w:rsidR="00C01348" w:rsidRPr="00C01348">
        <w:rPr>
          <w:rFonts w:ascii="Arial" w:hAnsi="Arial" w:cs="Arial"/>
          <w:i/>
          <w:color w:val="000000"/>
        </w:rPr>
        <w:t>CIÓN DEL JUICIO DE NULIDAD</w:t>
      </w:r>
      <w:r w:rsidR="00C01348">
        <w:rPr>
          <w:rFonts w:ascii="Arial" w:hAnsi="Arial" w:cs="Arial"/>
          <w:color w:val="000000"/>
          <w:sz w:val="26"/>
          <w:szCs w:val="26"/>
        </w:rPr>
        <w:t>”</w:t>
      </w:r>
      <w:r w:rsidR="00050312">
        <w:rPr>
          <w:rFonts w:ascii="Arial" w:hAnsi="Arial" w:cs="Arial"/>
          <w:color w:val="000000"/>
          <w:sz w:val="26"/>
          <w:szCs w:val="26"/>
        </w:rPr>
        <w:t>;</w:t>
      </w:r>
      <w:r w:rsidR="00352F7F">
        <w:rPr>
          <w:rFonts w:ascii="Arial" w:hAnsi="Arial" w:cs="Arial"/>
          <w:color w:val="000000"/>
          <w:sz w:val="26"/>
          <w:szCs w:val="26"/>
        </w:rPr>
        <w:t xml:space="preserve"> aduciendo que “</w:t>
      </w:r>
      <w:r w:rsidR="00352F7F" w:rsidRPr="00352F7F">
        <w:rPr>
          <w:rFonts w:ascii="Arial" w:hAnsi="Arial" w:cs="Arial"/>
          <w:i/>
          <w:color w:val="000000"/>
          <w:sz w:val="24"/>
          <w:szCs w:val="24"/>
        </w:rPr>
        <w:t>la omisión de pagar lo adeudado, es de tracto sucesivo porque la violación se actualiza de momento a momento, por tratarse de un hecho contínuo (sic) que no se agota una vez producido, sino hasta en tanto cese la negativa u omisión de que se trata</w:t>
      </w:r>
      <w:r w:rsidR="00352F7F">
        <w:rPr>
          <w:rFonts w:ascii="Arial" w:hAnsi="Arial" w:cs="Arial"/>
          <w:color w:val="000000"/>
          <w:sz w:val="26"/>
          <w:szCs w:val="26"/>
        </w:rPr>
        <w:t>” y que por tanto “</w:t>
      </w:r>
      <w:r w:rsidR="00352F7F" w:rsidRPr="00352F7F">
        <w:rPr>
          <w:rFonts w:ascii="Arial" w:hAnsi="Arial" w:cs="Arial"/>
          <w:i/>
          <w:color w:val="000000"/>
          <w:sz w:val="24"/>
          <w:szCs w:val="24"/>
        </w:rPr>
        <w:t>no está sujeto al término de treinta días a que alude el artículo 166 de la Ley de Procedimiento y Justicia Administrativa para el estado de Oaxaca</w:t>
      </w:r>
      <w:r w:rsidR="00352F7F">
        <w:rPr>
          <w:rFonts w:ascii="Arial" w:hAnsi="Arial" w:cs="Arial"/>
          <w:i/>
          <w:color w:val="000000"/>
          <w:sz w:val="24"/>
          <w:szCs w:val="24"/>
        </w:rPr>
        <w:t>, sino que puede reclamarse en cualquier momento</w:t>
      </w:r>
      <w:r w:rsidR="00352F7F">
        <w:rPr>
          <w:rFonts w:ascii="Arial" w:hAnsi="Arial" w:cs="Arial"/>
          <w:color w:val="000000"/>
          <w:sz w:val="26"/>
          <w:szCs w:val="26"/>
        </w:rPr>
        <w:t>”.</w:t>
      </w:r>
    </w:p>
    <w:p w:rsidR="00C01348" w:rsidRDefault="00C01348" w:rsidP="00C01348">
      <w:pPr>
        <w:spacing w:line="360" w:lineRule="auto"/>
        <w:ind w:firstLine="708"/>
        <w:jc w:val="both"/>
        <w:rPr>
          <w:rFonts w:ascii="Arial" w:eastAsia="Calibri" w:hAnsi="Arial" w:cs="Arial"/>
          <w:bCs/>
          <w:sz w:val="26"/>
          <w:szCs w:val="26"/>
        </w:rPr>
      </w:pPr>
      <w:r>
        <w:rPr>
          <w:rFonts w:ascii="Arial" w:hAnsi="Arial" w:cs="Arial"/>
          <w:bCs/>
          <w:sz w:val="26"/>
          <w:szCs w:val="26"/>
        </w:rPr>
        <w:t xml:space="preserve">Estos alegatos son </w:t>
      </w:r>
      <w:r w:rsidRPr="00C360E1">
        <w:rPr>
          <w:rFonts w:ascii="Arial" w:hAnsi="Arial" w:cs="Arial"/>
          <w:b/>
          <w:bCs/>
          <w:sz w:val="26"/>
          <w:szCs w:val="26"/>
        </w:rPr>
        <w:t>inoperante</w:t>
      </w:r>
      <w:r>
        <w:rPr>
          <w:rFonts w:ascii="Arial" w:hAnsi="Arial" w:cs="Arial"/>
          <w:b/>
          <w:bCs/>
          <w:sz w:val="26"/>
          <w:szCs w:val="26"/>
        </w:rPr>
        <w:t>s</w:t>
      </w:r>
      <w:r>
        <w:rPr>
          <w:rFonts w:ascii="Arial" w:eastAsia="Calibri" w:hAnsi="Arial" w:cs="Arial"/>
          <w:bCs/>
          <w:sz w:val="26"/>
          <w:szCs w:val="26"/>
        </w:rPr>
        <w:t xml:space="preserve">, pues únicamente se concretan a afirmar que se está ante un acto omisivo, que respecto a este no puede correr término, al ser la omisión de pagar de trato sucesivo; pero </w:t>
      </w:r>
      <w:r w:rsidR="00A805A1">
        <w:rPr>
          <w:rFonts w:ascii="Arial" w:eastAsia="Calibri" w:hAnsi="Arial" w:cs="Arial"/>
          <w:bCs/>
          <w:sz w:val="26"/>
          <w:szCs w:val="26"/>
        </w:rPr>
        <w:t xml:space="preserve">sin </w:t>
      </w:r>
      <w:r>
        <w:rPr>
          <w:rFonts w:ascii="Arial" w:eastAsia="Calibri" w:hAnsi="Arial" w:cs="Arial"/>
          <w:bCs/>
          <w:sz w:val="26"/>
          <w:szCs w:val="26"/>
        </w:rPr>
        <w:t>explicar con argumento</w:t>
      </w:r>
      <w:r w:rsidR="00A805A1">
        <w:rPr>
          <w:rFonts w:ascii="Arial" w:eastAsia="Calibri" w:hAnsi="Arial" w:cs="Arial"/>
          <w:bCs/>
          <w:sz w:val="26"/>
          <w:szCs w:val="26"/>
        </w:rPr>
        <w:t>s</w:t>
      </w:r>
      <w:r>
        <w:rPr>
          <w:rFonts w:ascii="Arial" w:eastAsia="Calibri" w:hAnsi="Arial" w:cs="Arial"/>
          <w:bCs/>
          <w:sz w:val="26"/>
          <w:szCs w:val="26"/>
        </w:rPr>
        <w:t xml:space="preserve"> lógico – jurídicos, las razones de su afirmación; y sin que con tales manifestaciones combata de manera eficaz la razón toral de la Primera Instancia para desechar la demanda de nulidad, consistente en que “</w:t>
      </w:r>
      <w:r>
        <w:rPr>
          <w:rFonts w:ascii="Arial" w:eastAsia="Times New Roman" w:hAnsi="Arial" w:cs="Arial"/>
          <w:bCs/>
          <w:i/>
          <w:iCs/>
          <w:sz w:val="24"/>
          <w:szCs w:val="24"/>
          <w:lang w:eastAsia="es-ES"/>
        </w:rPr>
        <w:t xml:space="preserve">Conforme al artículo 56, párrafo primero, fracciones III y IV, de la Ley de Obras Públicas y Servicios Relacionados del Estado de Oaxaca, las estimaciones uno, dos, tres y el pago de gastos financieros </w:t>
      </w:r>
      <w:r>
        <w:rPr>
          <w:rFonts w:ascii="Arial" w:eastAsia="Times New Roman" w:hAnsi="Arial" w:cs="Arial"/>
          <w:b/>
          <w:bCs/>
          <w:i/>
          <w:iCs/>
          <w:sz w:val="24"/>
          <w:szCs w:val="24"/>
          <w:lang w:eastAsia="es-ES"/>
        </w:rPr>
        <w:t xml:space="preserve">debieron de haberse cubierto veinte días hábiles después de la resolución de treinta y uno de diciembre de dos mil dieciséis, </w:t>
      </w:r>
      <w:r>
        <w:rPr>
          <w:rFonts w:ascii="Arial" w:eastAsia="Times New Roman" w:hAnsi="Arial" w:cs="Arial"/>
          <w:bCs/>
          <w:i/>
          <w:iCs/>
          <w:sz w:val="24"/>
          <w:szCs w:val="24"/>
          <w:lang w:eastAsia="es-ES"/>
        </w:rPr>
        <w:t xml:space="preserve">que se declaró procedente el pago por parte de la demandada, respecto de los gastos financieros; </w:t>
      </w:r>
      <w:r>
        <w:rPr>
          <w:rFonts w:ascii="Arial" w:eastAsia="Times New Roman" w:hAnsi="Arial" w:cs="Arial"/>
          <w:b/>
          <w:bCs/>
          <w:i/>
          <w:iCs/>
          <w:sz w:val="24"/>
          <w:szCs w:val="24"/>
          <w:lang w:eastAsia="es-ES"/>
        </w:rPr>
        <w:t xml:space="preserve">es decir, del dos de enero al veintisiete de enero de dos mil diecisiete abarcan los veinte días hábiles; </w:t>
      </w:r>
      <w:r>
        <w:rPr>
          <w:rFonts w:ascii="Arial" w:eastAsia="Times New Roman" w:hAnsi="Arial" w:cs="Arial"/>
          <w:bCs/>
          <w:i/>
          <w:iCs/>
          <w:sz w:val="24"/>
          <w:szCs w:val="24"/>
          <w:lang w:eastAsia="es-ES"/>
        </w:rPr>
        <w:t xml:space="preserve">y a partir </w:t>
      </w:r>
      <w:r>
        <w:rPr>
          <w:rFonts w:ascii="Arial" w:eastAsia="Times New Roman" w:hAnsi="Arial" w:cs="Arial"/>
          <w:b/>
          <w:bCs/>
          <w:i/>
          <w:iCs/>
          <w:sz w:val="24"/>
          <w:szCs w:val="24"/>
          <w:lang w:eastAsia="es-ES"/>
        </w:rPr>
        <w:t xml:space="preserve">del treinta de enero de dos mil diecisiete, comenzaron a transcurrir los treinta días hábiles para presentar la demanda ante este Tribunal para exigir el cumplimiento del contrato de obra pública a precios unitarios; </w:t>
      </w:r>
      <w:r>
        <w:rPr>
          <w:rFonts w:ascii="Arial" w:eastAsia="Times New Roman" w:hAnsi="Arial" w:cs="Arial"/>
          <w:bCs/>
          <w:i/>
          <w:iCs/>
          <w:sz w:val="24"/>
          <w:szCs w:val="24"/>
          <w:lang w:eastAsia="es-ES"/>
        </w:rPr>
        <w:t xml:space="preserve">cuyo plazo feneció el </w:t>
      </w:r>
      <w:r>
        <w:rPr>
          <w:rFonts w:ascii="Arial" w:eastAsia="Times New Roman" w:hAnsi="Arial" w:cs="Arial"/>
          <w:b/>
          <w:bCs/>
          <w:i/>
          <w:iCs/>
          <w:sz w:val="24"/>
          <w:szCs w:val="24"/>
          <w:lang w:eastAsia="es-ES"/>
        </w:rPr>
        <w:t xml:space="preserve">ocho de marzo de dos mil diecisiete; </w:t>
      </w:r>
      <w:r>
        <w:rPr>
          <w:rFonts w:ascii="Arial" w:eastAsia="Times New Roman" w:hAnsi="Arial" w:cs="Arial"/>
          <w:bCs/>
          <w:i/>
          <w:iCs/>
          <w:sz w:val="24"/>
          <w:szCs w:val="24"/>
          <w:lang w:eastAsia="es-ES"/>
        </w:rPr>
        <w:t>y al no presentar la demanda dentro de los treinta días hábiles, que establece el artículo 166, de la Ley de Procedimiento y Justicia Administrativa para el Estado de Oaxaca; la parte actora consintió el acto, tal y como lo establece el artículo 161, fracción VI, de la Ley de Procedimiento y Justicia Administrativa para el Estado de Oaxaca.</w:t>
      </w:r>
      <w:r w:rsidRPr="00C01348">
        <w:rPr>
          <w:rFonts w:ascii="Arial" w:eastAsia="Times New Roman" w:hAnsi="Arial" w:cs="Arial"/>
          <w:bCs/>
          <w:iCs/>
          <w:sz w:val="26"/>
          <w:szCs w:val="26"/>
          <w:lang w:eastAsia="es-ES"/>
        </w:rPr>
        <w:t>”</w:t>
      </w:r>
      <w:r>
        <w:rPr>
          <w:rFonts w:ascii="Arial" w:eastAsia="Calibri" w:hAnsi="Arial" w:cs="Arial"/>
          <w:bCs/>
          <w:sz w:val="26"/>
          <w:szCs w:val="26"/>
        </w:rPr>
        <w:t>.</w:t>
      </w:r>
    </w:p>
    <w:p w:rsidR="00C01348" w:rsidRDefault="00C01348" w:rsidP="00C01348">
      <w:pPr>
        <w:spacing w:before="240" w:after="0" w:line="360" w:lineRule="auto"/>
        <w:ind w:firstLine="708"/>
        <w:jc w:val="both"/>
        <w:rPr>
          <w:rFonts w:ascii="Arial" w:eastAsia="Times New Roman" w:hAnsi="Arial" w:cs="Arial"/>
          <w:color w:val="000000"/>
          <w:sz w:val="24"/>
          <w:szCs w:val="24"/>
        </w:rPr>
      </w:pPr>
      <w:r>
        <w:rPr>
          <w:rFonts w:ascii="Arial" w:hAnsi="Arial" w:cs="Arial"/>
          <w:sz w:val="26"/>
          <w:szCs w:val="26"/>
        </w:rPr>
        <w:t>Sirve de apoyo la Jurisprudencia del Tercer Tribunal Colegiado del Cuarto Circuito, Octava Época, publicada en la página 57 de la Gaceta del Semanario Judicial de la Federación, Tomo 57, Septiembre de 1992, Materia Común, de rubro y texto siguientes:</w:t>
      </w:r>
    </w:p>
    <w:p w:rsidR="00C01348" w:rsidRPr="00FE349C" w:rsidRDefault="00C01348" w:rsidP="00C01348">
      <w:pPr>
        <w:spacing w:before="240" w:after="0" w:line="360" w:lineRule="auto"/>
        <w:ind w:left="1134" w:right="616"/>
        <w:jc w:val="both"/>
        <w:rPr>
          <w:rFonts w:ascii="Arial" w:hAnsi="Arial" w:cs="Arial"/>
          <w:bCs/>
          <w:sz w:val="24"/>
          <w:szCs w:val="24"/>
        </w:rPr>
      </w:pPr>
      <w:r w:rsidRPr="00FE349C">
        <w:rPr>
          <w:rFonts w:ascii="Arial" w:hAnsi="Arial" w:cs="Arial"/>
          <w:sz w:val="24"/>
          <w:szCs w:val="24"/>
        </w:rPr>
        <w:t>“</w:t>
      </w:r>
      <w:r w:rsidRPr="00823B19">
        <w:rPr>
          <w:rFonts w:ascii="Arial" w:hAnsi="Arial" w:cs="Arial"/>
          <w:b/>
          <w:i/>
          <w:sz w:val="24"/>
          <w:szCs w:val="24"/>
        </w:rPr>
        <w:t>AGRAVIOS. DEBEN DE IMPUGNAR LA ILEGALIDAD DEL FALLO RECURRIDO</w:t>
      </w:r>
      <w:r w:rsidRPr="00823B19">
        <w:rPr>
          <w:rFonts w:ascii="Arial" w:hAnsi="Arial" w:cs="Arial"/>
          <w:i/>
          <w:sz w:val="24"/>
          <w:szCs w:val="24"/>
        </w:rPr>
        <w:t xml:space="preserve">. Si el recurrente no formula ninguna objeción contra el considerando que rige el sentido del fallo y sólo hace el señalamiento de las disposiciones </w:t>
      </w:r>
      <w:r w:rsidRPr="00823B19">
        <w:rPr>
          <w:rFonts w:ascii="Arial" w:hAnsi="Arial" w:cs="Arial"/>
          <w:i/>
          <w:sz w:val="24"/>
          <w:szCs w:val="24"/>
        </w:rPr>
        <w:lastRenderedPageBreak/>
        <w:t>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FE349C">
        <w:rPr>
          <w:rFonts w:ascii="Arial" w:hAnsi="Arial" w:cs="Arial"/>
          <w:sz w:val="24"/>
          <w:szCs w:val="24"/>
        </w:rPr>
        <w:t>”.</w:t>
      </w:r>
    </w:p>
    <w:p w:rsidR="002161DA" w:rsidRDefault="002161DA" w:rsidP="00A805A1">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C62C05">
        <w:rPr>
          <w:rFonts w:ascii="Arial" w:hAnsi="Arial" w:cs="Arial"/>
          <w:sz w:val="26"/>
          <w:szCs w:val="26"/>
        </w:rPr>
        <w:t>37 y 23</w:t>
      </w:r>
      <w:r>
        <w:rPr>
          <w:rFonts w:ascii="Arial" w:hAnsi="Arial" w:cs="Arial"/>
          <w:sz w:val="26"/>
          <w:szCs w:val="26"/>
        </w:rPr>
        <w:t xml:space="preserve">8 de la Ley de </w:t>
      </w:r>
      <w:r w:rsidR="00C62C05">
        <w:rPr>
          <w:rFonts w:ascii="Arial" w:hAnsi="Arial" w:cs="Arial"/>
          <w:sz w:val="26"/>
          <w:szCs w:val="26"/>
        </w:rPr>
        <w:t xml:space="preserve">Procedimiento y Justicia Administrativa para el </w:t>
      </w:r>
      <w:r>
        <w:rPr>
          <w:rFonts w:ascii="Arial" w:hAnsi="Arial" w:cs="Arial"/>
          <w:sz w:val="26"/>
          <w:szCs w:val="26"/>
        </w:rPr>
        <w:t>Estado</w:t>
      </w:r>
      <w:r w:rsidR="00C62C05">
        <w:rPr>
          <w:rFonts w:ascii="Arial" w:hAnsi="Arial" w:cs="Arial"/>
          <w:sz w:val="26"/>
          <w:szCs w:val="26"/>
        </w:rPr>
        <w:t xml:space="preserve"> de Oaxaca</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1F309C">
        <w:rPr>
          <w:rFonts w:ascii="Arial" w:hAnsi="Arial" w:cs="Arial"/>
          <w:b/>
          <w:sz w:val="26"/>
          <w:szCs w:val="26"/>
          <w:lang w:val="es-MX"/>
        </w:rPr>
        <w:t>CONFIRMA</w:t>
      </w:r>
      <w:r w:rsidR="001F309C">
        <w:rPr>
          <w:rFonts w:ascii="Arial" w:hAnsi="Arial" w:cs="Arial"/>
          <w:sz w:val="26"/>
          <w:szCs w:val="26"/>
          <w:lang w:val="es-MX"/>
        </w:rPr>
        <w:t xml:space="preserve"> el auto recurrido</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bookmarkStart w:id="0" w:name="_GoBack"/>
      <w:bookmarkEnd w:id="0"/>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A805A1">
        <w:rPr>
          <w:rFonts w:ascii="Arial" w:hAnsi="Arial" w:cs="Arial"/>
          <w:sz w:val="26"/>
          <w:szCs w:val="26"/>
        </w:rPr>
        <w:t xml:space="preserve">Segunda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032E76" w:rsidRPr="00032E76" w:rsidRDefault="00032E76" w:rsidP="00032E76">
      <w:pPr>
        <w:spacing w:line="360" w:lineRule="auto"/>
        <w:jc w:val="both"/>
        <w:rPr>
          <w:rFonts w:ascii="Arial" w:hAnsi="Arial" w:cs="Arial"/>
          <w:bCs/>
          <w:sz w:val="26"/>
          <w:szCs w:val="26"/>
          <w:lang w:val="es-MX"/>
        </w:rPr>
      </w:pPr>
      <w:r>
        <w:rPr>
          <w:rFonts w:ascii="Arial" w:hAnsi="Arial" w:cs="Arial"/>
          <w:bCs/>
          <w:sz w:val="26"/>
          <w:szCs w:val="26"/>
          <w:lang w:val="es-MX"/>
        </w:rPr>
        <w:tab/>
      </w:r>
      <w:r w:rsidRPr="00032E76">
        <w:rPr>
          <w:rFonts w:ascii="Arial" w:hAnsi="Arial" w:cs="Arial"/>
          <w:bCs/>
          <w:sz w:val="26"/>
          <w:szCs w:val="26"/>
          <w:lang w:val="es-MX"/>
        </w:rPr>
        <w:t>Así por unanimidad de votos, lo resolvieron y firmaron los Magistrados integrantes de la Sala Superior del Tribunal de Justicia Administrativa del Estado, quienes, actúan con Secretaria General de Acuerdos de este Tribunal, que autoriza y da fe.</w:t>
      </w:r>
    </w:p>
    <w:p w:rsidR="00032E76" w:rsidRPr="00032E76" w:rsidRDefault="00032E76" w:rsidP="00032E76">
      <w:pPr>
        <w:jc w:val="center"/>
        <w:rPr>
          <w:rFonts w:ascii="Arial" w:hAnsi="Arial" w:cs="Arial"/>
          <w:bCs/>
          <w:sz w:val="26"/>
          <w:szCs w:val="26"/>
          <w:lang w:val="es-MX"/>
        </w:rPr>
      </w:pPr>
    </w:p>
    <w:p w:rsidR="00032E76" w:rsidRDefault="00032E76" w:rsidP="00032E76">
      <w:pPr>
        <w:jc w:val="center"/>
        <w:rPr>
          <w:rFonts w:ascii="Arial" w:hAnsi="Arial" w:cs="Arial"/>
          <w:sz w:val="26"/>
          <w:szCs w:val="26"/>
          <w:lang w:val="es-MX"/>
        </w:rPr>
      </w:pPr>
    </w:p>
    <w:p w:rsidR="00032E76" w:rsidRPr="00032E76" w:rsidRDefault="00032E76" w:rsidP="00A27FAA">
      <w:pPr>
        <w:rPr>
          <w:rFonts w:ascii="Arial" w:hAnsi="Arial" w:cs="Arial"/>
          <w:sz w:val="26"/>
          <w:szCs w:val="26"/>
          <w:lang w:val="es-MX"/>
        </w:rPr>
      </w:pPr>
    </w:p>
    <w:p w:rsidR="00032E76" w:rsidRP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MAGISTRADO ADRIÁN QUIROGA AVENDAÑO</w:t>
      </w:r>
    </w:p>
    <w:p w:rsid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PRESIDENTE</w:t>
      </w:r>
    </w:p>
    <w:p w:rsidR="00A27FAA" w:rsidRPr="00032E76" w:rsidRDefault="00A27FAA" w:rsidP="00032E76">
      <w:pPr>
        <w:spacing w:after="0"/>
        <w:jc w:val="center"/>
        <w:rPr>
          <w:rFonts w:ascii="Arial" w:hAnsi="Arial" w:cs="Arial"/>
          <w:sz w:val="26"/>
          <w:szCs w:val="26"/>
          <w:lang w:val="es-MX"/>
        </w:rPr>
      </w:pPr>
    </w:p>
    <w:p w:rsidR="00032E76" w:rsidRPr="00032E76" w:rsidRDefault="00032E76" w:rsidP="00032E76">
      <w:pPr>
        <w:jc w:val="center"/>
        <w:rPr>
          <w:rFonts w:ascii="Arial" w:hAnsi="Arial" w:cs="Arial"/>
          <w:b/>
          <w:sz w:val="14"/>
          <w:szCs w:val="26"/>
          <w:lang w:val="es-MX"/>
        </w:rPr>
      </w:pPr>
      <w:r w:rsidRPr="00032E76">
        <w:rPr>
          <w:rFonts w:ascii="Arial" w:hAnsi="Arial" w:cs="Arial"/>
          <w:b/>
          <w:sz w:val="14"/>
          <w:szCs w:val="26"/>
          <w:lang w:val="es-MX"/>
        </w:rPr>
        <w:t>LAS PRESENTES FIRMAS CORRESP</w:t>
      </w:r>
      <w:r>
        <w:rPr>
          <w:rFonts w:ascii="Arial" w:hAnsi="Arial" w:cs="Arial"/>
          <w:b/>
          <w:sz w:val="14"/>
          <w:szCs w:val="26"/>
          <w:lang w:val="es-MX"/>
        </w:rPr>
        <w:t>ONDEN AL RECURSO DE REVISIÓN 352</w:t>
      </w:r>
      <w:r w:rsidRPr="00032E76">
        <w:rPr>
          <w:rFonts w:ascii="Arial" w:hAnsi="Arial" w:cs="Arial"/>
          <w:b/>
          <w:sz w:val="14"/>
          <w:szCs w:val="26"/>
          <w:lang w:val="es-MX"/>
        </w:rPr>
        <w:t>/2018</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MAGISTRADO HUGO VILLEGAS AQUINO</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MAGISTRADO ENRIQUE PACHECO MARTÍNEZ</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MAGISTRADA MARÍA ELENA VILLA DE JARQUÍN</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r w:rsidRPr="00032E76">
        <w:rPr>
          <w:rFonts w:ascii="Arial" w:hAnsi="Arial" w:cs="Arial"/>
          <w:sz w:val="26"/>
          <w:szCs w:val="26"/>
          <w:lang w:val="es-MX"/>
        </w:rPr>
        <w:t xml:space="preserve">     MAGISTRADO MANUEL VELASCO ALCÁNTARA</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032E76" w:rsidRP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 xml:space="preserve">        LICENCIADA SANDRA PÉREZ CRUZ.</w:t>
      </w:r>
    </w:p>
    <w:p w:rsidR="00032E76" w:rsidRPr="00032E76" w:rsidRDefault="00032E76" w:rsidP="00032E76">
      <w:pPr>
        <w:spacing w:after="0"/>
        <w:jc w:val="center"/>
        <w:rPr>
          <w:rFonts w:ascii="Arial" w:hAnsi="Arial" w:cs="Arial"/>
          <w:sz w:val="26"/>
          <w:szCs w:val="26"/>
          <w:lang w:val="es-MX"/>
        </w:rPr>
      </w:pPr>
      <w:r w:rsidRPr="00032E76">
        <w:rPr>
          <w:rFonts w:ascii="Arial" w:hAnsi="Arial" w:cs="Arial"/>
          <w:sz w:val="26"/>
          <w:szCs w:val="26"/>
          <w:lang w:val="es-MX"/>
        </w:rPr>
        <w:t xml:space="preserve">        SECRETARIA GENERAL DE ACUERDOS.</w:t>
      </w:r>
    </w:p>
    <w:p w:rsidR="00032E76" w:rsidRPr="00032E76" w:rsidRDefault="00032E76" w:rsidP="00032E76">
      <w:pPr>
        <w:jc w:val="center"/>
        <w:rPr>
          <w:rFonts w:ascii="Arial" w:hAnsi="Arial" w:cs="Arial"/>
          <w:sz w:val="26"/>
          <w:szCs w:val="26"/>
          <w:lang w:val="es-MX"/>
        </w:rPr>
      </w:pPr>
    </w:p>
    <w:p w:rsidR="00032E76" w:rsidRPr="00032E76" w:rsidRDefault="00032E76" w:rsidP="00032E76">
      <w:pPr>
        <w:jc w:val="center"/>
        <w:rPr>
          <w:rFonts w:ascii="Arial" w:hAnsi="Arial" w:cs="Arial"/>
          <w:sz w:val="26"/>
          <w:szCs w:val="26"/>
          <w:lang w:val="es-MX"/>
        </w:rPr>
      </w:pPr>
    </w:p>
    <w:p w:rsidR="00380926" w:rsidRDefault="00380926" w:rsidP="00380926">
      <w:pPr>
        <w:jc w:val="center"/>
        <w:rPr>
          <w:sz w:val="26"/>
          <w:szCs w:val="26"/>
        </w:rPr>
      </w:pPr>
    </w:p>
    <w:sectPr w:rsidR="00380926"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6D" w:rsidRDefault="00EF1A6D">
      <w:pPr>
        <w:spacing w:after="0" w:line="240" w:lineRule="auto"/>
      </w:pPr>
      <w:r>
        <w:separator/>
      </w:r>
    </w:p>
  </w:endnote>
  <w:endnote w:type="continuationSeparator" w:id="0">
    <w:p w:rsidR="00EF1A6D" w:rsidRDefault="00EF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3" w:rsidRDefault="007E4223">
    <w:pPr>
      <w:pStyle w:val="Piedepgina"/>
    </w:pPr>
    <w:r>
      <w:rPr>
        <w:noProof/>
        <w:lang w:val="es-MX" w:eastAsia="es-MX"/>
      </w:rPr>
      <w:drawing>
        <wp:anchor distT="0" distB="0" distL="114300" distR="114300" simplePos="0" relativeHeight="251658240" behindDoc="0" locked="0" layoutInCell="1" allowOverlap="1" wp14:anchorId="61C28B98" wp14:editId="7F72315D">
          <wp:simplePos x="0" y="0"/>
          <wp:positionH relativeFrom="column">
            <wp:posOffset>5242560</wp:posOffset>
          </wp:positionH>
          <wp:positionV relativeFrom="paragraph">
            <wp:posOffset>-5722620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3" w:rsidRDefault="007E4223">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3" w:rsidRDefault="007E422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6D" w:rsidRDefault="00EF1A6D">
      <w:pPr>
        <w:spacing w:after="0" w:line="240" w:lineRule="auto"/>
      </w:pPr>
      <w:r>
        <w:separator/>
      </w:r>
    </w:p>
  </w:footnote>
  <w:footnote w:type="continuationSeparator" w:id="0">
    <w:p w:rsidR="00EF1A6D" w:rsidRDefault="00EF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E34824">
          <w:rPr>
            <w:noProof/>
          </w:rPr>
          <w:t>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E34824">
          <w:rPr>
            <w:noProof/>
          </w:rPr>
          <w:t>5</w:t>
        </w:r>
        <w:r>
          <w:rPr>
            <w:noProof/>
          </w:rPr>
          <w:fldChar w:fldCharType="end"/>
        </w:r>
      </w:p>
      <w:p w:rsidR="008C74CA" w:rsidRDefault="00E34824" w:rsidP="008C74CA">
        <w:pPr>
          <w:pStyle w:val="Encabezado"/>
          <w:jc w:val="center"/>
        </w:pPr>
      </w:p>
    </w:sdtContent>
  </w:sdt>
  <w:p w:rsidR="00256B01" w:rsidRDefault="00256B01" w:rsidP="00256B01">
    <w:pPr>
      <w:pStyle w:val="Encabezado"/>
      <w:jc w:val="center"/>
    </w:pPr>
  </w:p>
  <w:p w:rsidR="007A2B3C" w:rsidRDefault="007E4223"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5158105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23" w:rsidRDefault="007E422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2E76"/>
    <w:rsid w:val="000330FB"/>
    <w:rsid w:val="00035047"/>
    <w:rsid w:val="00035379"/>
    <w:rsid w:val="00036D01"/>
    <w:rsid w:val="000410A1"/>
    <w:rsid w:val="00041D15"/>
    <w:rsid w:val="0004575F"/>
    <w:rsid w:val="00045A11"/>
    <w:rsid w:val="00050312"/>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D0E1D"/>
    <w:rsid w:val="000D1BD0"/>
    <w:rsid w:val="000D24E8"/>
    <w:rsid w:val="000D29A1"/>
    <w:rsid w:val="000D2FDE"/>
    <w:rsid w:val="000E12D3"/>
    <w:rsid w:val="000E218B"/>
    <w:rsid w:val="000E2E24"/>
    <w:rsid w:val="000E322A"/>
    <w:rsid w:val="000E32A6"/>
    <w:rsid w:val="000F018A"/>
    <w:rsid w:val="000F54B0"/>
    <w:rsid w:val="000F5D12"/>
    <w:rsid w:val="000F62C3"/>
    <w:rsid w:val="000F7CF6"/>
    <w:rsid w:val="001023AF"/>
    <w:rsid w:val="00103FE7"/>
    <w:rsid w:val="001058D3"/>
    <w:rsid w:val="00105DF0"/>
    <w:rsid w:val="0010644A"/>
    <w:rsid w:val="001079FF"/>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0D02"/>
    <w:rsid w:val="001D2397"/>
    <w:rsid w:val="001D27A6"/>
    <w:rsid w:val="001D3B81"/>
    <w:rsid w:val="001D694C"/>
    <w:rsid w:val="001D730F"/>
    <w:rsid w:val="001D7FCD"/>
    <w:rsid w:val="001E1758"/>
    <w:rsid w:val="001E3B11"/>
    <w:rsid w:val="001E503D"/>
    <w:rsid w:val="001E631B"/>
    <w:rsid w:val="001E680E"/>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2F7F"/>
    <w:rsid w:val="00355E72"/>
    <w:rsid w:val="00360A0B"/>
    <w:rsid w:val="00362E0E"/>
    <w:rsid w:val="003633B9"/>
    <w:rsid w:val="003646B9"/>
    <w:rsid w:val="003708D3"/>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3626"/>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2D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5B4"/>
    <w:rsid w:val="005E18B0"/>
    <w:rsid w:val="005E3275"/>
    <w:rsid w:val="005E40A8"/>
    <w:rsid w:val="005E5273"/>
    <w:rsid w:val="005E6972"/>
    <w:rsid w:val="005E76E1"/>
    <w:rsid w:val="005F0B76"/>
    <w:rsid w:val="005F1575"/>
    <w:rsid w:val="005F35AE"/>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4F07"/>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3989"/>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2F86"/>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4223"/>
    <w:rsid w:val="007E503E"/>
    <w:rsid w:val="007E52F1"/>
    <w:rsid w:val="007E6F05"/>
    <w:rsid w:val="007E7DD4"/>
    <w:rsid w:val="007F1451"/>
    <w:rsid w:val="007F3488"/>
    <w:rsid w:val="007F4057"/>
    <w:rsid w:val="007F43B4"/>
    <w:rsid w:val="007F4ED0"/>
    <w:rsid w:val="007F566C"/>
    <w:rsid w:val="007F5AE4"/>
    <w:rsid w:val="007F644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50F0"/>
    <w:rsid w:val="00855650"/>
    <w:rsid w:val="00857BD3"/>
    <w:rsid w:val="00860037"/>
    <w:rsid w:val="00860FEF"/>
    <w:rsid w:val="008618D9"/>
    <w:rsid w:val="0086361E"/>
    <w:rsid w:val="008649E5"/>
    <w:rsid w:val="00864F72"/>
    <w:rsid w:val="0086594B"/>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756"/>
    <w:rsid w:val="008B5E35"/>
    <w:rsid w:val="008C25FC"/>
    <w:rsid w:val="008C297E"/>
    <w:rsid w:val="008C380D"/>
    <w:rsid w:val="008C4AF8"/>
    <w:rsid w:val="008C508D"/>
    <w:rsid w:val="008C74CA"/>
    <w:rsid w:val="008D04B8"/>
    <w:rsid w:val="008D1236"/>
    <w:rsid w:val="008E215F"/>
    <w:rsid w:val="008E4231"/>
    <w:rsid w:val="008E586E"/>
    <w:rsid w:val="008E7E93"/>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27FAA"/>
    <w:rsid w:val="00A3229B"/>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5A1"/>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275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1348"/>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57D5"/>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73"/>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EEE"/>
    <w:rsid w:val="00E33520"/>
    <w:rsid w:val="00E34824"/>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133F"/>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1A6D"/>
    <w:rsid w:val="00F02180"/>
    <w:rsid w:val="00F02DE0"/>
    <w:rsid w:val="00F053FC"/>
    <w:rsid w:val="00F06CB3"/>
    <w:rsid w:val="00F079CC"/>
    <w:rsid w:val="00F07FC2"/>
    <w:rsid w:val="00F11375"/>
    <w:rsid w:val="00F123A4"/>
    <w:rsid w:val="00F1519C"/>
    <w:rsid w:val="00F16359"/>
    <w:rsid w:val="00F21698"/>
    <w:rsid w:val="00F24A07"/>
    <w:rsid w:val="00F2514D"/>
    <w:rsid w:val="00F27F5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49C5"/>
    <w:rsid w:val="00F8623A"/>
    <w:rsid w:val="00F8652F"/>
    <w:rsid w:val="00F87E4D"/>
    <w:rsid w:val="00F90B7E"/>
    <w:rsid w:val="00F90CCF"/>
    <w:rsid w:val="00F92334"/>
    <w:rsid w:val="00F937F9"/>
    <w:rsid w:val="00F972BF"/>
    <w:rsid w:val="00FA0211"/>
    <w:rsid w:val="00FA0F1F"/>
    <w:rsid w:val="00FA26F7"/>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388911-A6AC-4D2B-8564-24D41B8C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A935F-76E6-47D4-9B20-263028460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6</Pages>
  <Words>1553</Words>
  <Characters>8546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156</cp:revision>
  <cp:lastPrinted>2018-11-20T21:04:00Z</cp:lastPrinted>
  <dcterms:created xsi:type="dcterms:W3CDTF">2017-09-05T18:57:00Z</dcterms:created>
  <dcterms:modified xsi:type="dcterms:W3CDTF">2019-02-05T06:46:00Z</dcterms:modified>
</cp:coreProperties>
</file>