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70" w:rsidRDefault="00B92D70" w:rsidP="00B92D70">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92D70" w:rsidRDefault="00B92D70" w:rsidP="00B92D70">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0345/2018</w:t>
      </w:r>
    </w:p>
    <w:p w:rsidR="00B92D70" w:rsidRDefault="00B92D70" w:rsidP="00B92D70">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0477/2016 SEXTA SALA UNITARIA DE PRIMERA INSTANCIA</w:t>
      </w:r>
    </w:p>
    <w:p w:rsidR="00B92D70" w:rsidRDefault="00B92D70" w:rsidP="00B92D70">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B92D70" w:rsidRDefault="002C1929" w:rsidP="00B92D70">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w:t>
      </w:r>
      <w:r w:rsidR="00B92D70">
        <w:rPr>
          <w:rFonts w:ascii="Arial" w:hAnsi="Arial" w:cs="Arial"/>
          <w:b/>
          <w:sz w:val="26"/>
          <w:szCs w:val="26"/>
        </w:rPr>
        <w:t>VEINTIOCHO DE FEBRERO DE DOS MIL DIECINUEVE.</w:t>
      </w:r>
    </w:p>
    <w:p w:rsidR="00B92D70" w:rsidRDefault="00B92D70" w:rsidP="00B92D70">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0345/2018</w:t>
      </w:r>
      <w:r>
        <w:rPr>
          <w:rFonts w:ascii="Arial" w:hAnsi="Arial" w:cs="Arial"/>
          <w:sz w:val="26"/>
          <w:szCs w:val="26"/>
        </w:rPr>
        <w:t xml:space="preserve">, que remite la Secretaría General de Acuerdos, con motivo del recurso de revisión interpuesto por </w:t>
      </w:r>
      <w:r w:rsidRPr="009C23AE">
        <w:rPr>
          <w:rFonts w:ascii="Arial" w:hAnsi="Arial" w:cs="Arial"/>
          <w:b/>
          <w:sz w:val="26"/>
          <w:szCs w:val="26"/>
        </w:rPr>
        <w:t>JOEL MÁXIMO ALONSO VALERIO, COMISARIO DE VIALIDAD Y MOVILIDAD MUNICIPAL DEL HONORABLE AYUNTAMIENTO DE SANTA LUCÍA DEL CAMINO, OAXACA</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parte relativa del acuerdo de 15 quince de junio de 2018 dos mil dieciocho, </w:t>
      </w:r>
      <w:r>
        <w:rPr>
          <w:rFonts w:ascii="Arial" w:hAnsi="Arial" w:cs="Arial"/>
          <w:sz w:val="26"/>
          <w:szCs w:val="26"/>
        </w:rPr>
        <w:t xml:space="preserve">dictada en el expediente </w:t>
      </w:r>
      <w:r>
        <w:rPr>
          <w:rFonts w:ascii="Arial" w:hAnsi="Arial" w:cs="Arial"/>
          <w:b/>
          <w:sz w:val="26"/>
          <w:szCs w:val="26"/>
        </w:rPr>
        <w:t>0477/2016,</w:t>
      </w:r>
      <w:r>
        <w:rPr>
          <w:rFonts w:ascii="Arial" w:hAnsi="Arial" w:cs="Arial"/>
          <w:sz w:val="26"/>
          <w:szCs w:val="26"/>
        </w:rPr>
        <w:t xml:space="preserve"> de la Sexta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w:t>
      </w:r>
      <w:r w:rsidR="00220B82">
        <w:rPr>
          <w:rFonts w:ascii="Arial"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en contra del </w:t>
      </w:r>
      <w:r w:rsidRPr="00E71E58">
        <w:rPr>
          <w:rFonts w:ascii="Arial" w:eastAsia="Calibri" w:hAnsi="Arial" w:cs="Arial"/>
          <w:b/>
          <w:sz w:val="26"/>
          <w:szCs w:val="26"/>
        </w:rPr>
        <w:t xml:space="preserve">POLICÍA VIAL adscrito a la COMISIÓN DE SEGURIDAD PÚBLICA Y VIALIDAD MUNICIPAL DE SANTA LUCÍA DEL CAMINO, OAXACA, que haya levantado el acta de infracción y </w:t>
      </w:r>
      <w:r>
        <w:rPr>
          <w:rFonts w:ascii="Arial" w:eastAsia="Calibri" w:hAnsi="Arial" w:cs="Arial"/>
          <w:b/>
          <w:sz w:val="26"/>
          <w:szCs w:val="26"/>
        </w:rPr>
        <w:t xml:space="preserve">el </w:t>
      </w:r>
      <w:r w:rsidRPr="00E71E58">
        <w:rPr>
          <w:rFonts w:ascii="Arial" w:eastAsia="Calibri" w:hAnsi="Arial" w:cs="Arial"/>
          <w:b/>
          <w:sz w:val="26"/>
          <w:szCs w:val="26"/>
        </w:rPr>
        <w:t>JUEZ CALIFICADOR MUNICIPAL O JUEZ CALIFICADOR DEL HONORABLE AYUNTAMIENTO CONSTITUCIONAL DE SANTA LUCÍA DEL CAMINO, OAXACA</w:t>
      </w:r>
      <w:r w:rsidRPr="00CA3845">
        <w:rPr>
          <w:rFonts w:ascii="Arial" w:eastAsia="Calibri" w:hAnsi="Arial" w:cs="Arial"/>
          <w:sz w:val="26"/>
          <w:szCs w:val="26"/>
        </w:rPr>
        <w:t xml:space="preserve">, </w:t>
      </w:r>
      <w:r>
        <w:rPr>
          <w:rFonts w:ascii="Arial" w:eastAsia="Calibri" w:hAnsi="Arial" w:cs="Arial"/>
          <w:sz w:val="26"/>
          <w:szCs w:val="26"/>
        </w:rPr>
        <w:t>por lo que con fundamento en los artículos 207 y 208, de la Ley de Justicia Administrativa para el Estado de Oaxaca, vigente al inicio del juicio natural, se admite. En consecuencia, se procede a dictar resolución en los siguientes términos:</w:t>
      </w:r>
    </w:p>
    <w:p w:rsidR="00B92D70" w:rsidRDefault="00B92D70" w:rsidP="00B92D70">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B92D70" w:rsidRDefault="00B92D70" w:rsidP="00B92D70">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parte relativa del acuerdo de 15 quince de junio de 2018 dos mil dieciocho, dictado por la Sexta Sala Unitaria de Primera Instancia </w:t>
      </w:r>
      <w:r w:rsidRPr="009C23AE">
        <w:rPr>
          <w:rFonts w:ascii="Arial" w:hAnsi="Arial" w:cs="Arial"/>
          <w:b/>
          <w:sz w:val="26"/>
          <w:szCs w:val="26"/>
        </w:rPr>
        <w:t>JOEL MÁXIMO ALONSO VALERIO, COMISARIO DE VIALIDAD Y MOVILIDAD MUNICIPAL DEL HONORABLE AYUNTAMIENTO DE SANTA LUCÍA DEL CAMINO, OAXACA</w:t>
      </w:r>
      <w:r w:rsidRPr="00CA3845">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B92D70" w:rsidRDefault="00B92D70" w:rsidP="00B92D70">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La parte conducente del acuerdo recurrido es el siguiente:</w:t>
      </w:r>
    </w:p>
    <w:p w:rsidR="00B92D70" w:rsidRDefault="00B92D70" w:rsidP="00B92D70">
      <w:pPr>
        <w:pStyle w:val="Textoindependiente21"/>
        <w:tabs>
          <w:tab w:val="left" w:pos="7938"/>
        </w:tabs>
        <w:spacing w:before="240" w:line="360" w:lineRule="auto"/>
        <w:ind w:left="1134" w:right="616" w:firstLine="0"/>
        <w:rPr>
          <w:rFonts w:ascii="Arial" w:hAnsi="Arial" w:cs="Arial"/>
          <w:b/>
          <w:bCs/>
          <w:iCs/>
          <w:szCs w:val="24"/>
        </w:rPr>
      </w:pPr>
      <w:r w:rsidRPr="00F158CB">
        <w:rPr>
          <w:rFonts w:ascii="Arial" w:hAnsi="Arial" w:cs="Arial"/>
          <w:bCs/>
          <w:iCs/>
          <w:szCs w:val="24"/>
        </w:rPr>
        <w:lastRenderedPageBreak/>
        <w:t>“</w:t>
      </w:r>
      <w:r w:rsidRPr="00F158CB">
        <w:rPr>
          <w:rFonts w:ascii="Arial" w:hAnsi="Arial" w:cs="Arial"/>
          <w:bCs/>
          <w:i/>
          <w:iCs/>
          <w:szCs w:val="24"/>
        </w:rPr>
        <w:t>Es</w:t>
      </w:r>
      <w:r>
        <w:rPr>
          <w:rFonts w:ascii="Arial" w:hAnsi="Arial" w:cs="Arial"/>
          <w:bCs/>
          <w:i/>
          <w:iCs/>
          <w:szCs w:val="24"/>
        </w:rPr>
        <w:t xml:space="preserve"> entonces que se procede a acordar la promoción presentada por la parte actora y que fue reservada mediante proveído de fecha 14 catorce de noviembre del 2017 dos mil diecisiete en los siguiente (sic) términos: con fecha 22 veintidós de agosto de 2017 dos mil diecisiete se recibió en este Tribunal escrito de </w:t>
      </w:r>
      <w:r w:rsidR="00220B82">
        <w:rPr>
          <w:rFonts w:ascii="Arial" w:hAnsi="Arial" w:cs="Arial"/>
          <w:bCs/>
          <w:i/>
          <w:iCs/>
          <w:szCs w:val="24"/>
        </w:rPr>
        <w:t>**********</w:t>
      </w:r>
      <w:r>
        <w:rPr>
          <w:rFonts w:ascii="Arial" w:hAnsi="Arial" w:cs="Arial"/>
          <w:bCs/>
          <w:i/>
          <w:iCs/>
          <w:szCs w:val="24"/>
        </w:rPr>
        <w:t xml:space="preserve"> (parte actora en el presente juicio), en atención al proveído de fecha 10 diez de julio del mismo año mediante el cual amplía su demanda; vista la certificación de término realizada por el Secretario de Acuerdos de esta Sala se constata que presentó su escrito dentro del plazo concedido, por tanto, </w:t>
      </w:r>
      <w:r>
        <w:rPr>
          <w:rFonts w:ascii="Arial" w:hAnsi="Arial" w:cs="Arial"/>
          <w:b/>
          <w:bCs/>
          <w:i/>
          <w:iCs/>
          <w:szCs w:val="24"/>
        </w:rPr>
        <w:t xml:space="preserve">se tiene a </w:t>
      </w:r>
      <w:r w:rsidR="00220B82">
        <w:rPr>
          <w:rFonts w:ascii="Arial" w:hAnsi="Arial" w:cs="Arial"/>
          <w:b/>
          <w:bCs/>
          <w:i/>
          <w:iCs/>
          <w:szCs w:val="24"/>
        </w:rPr>
        <w:t>**********</w:t>
      </w:r>
      <w:r>
        <w:rPr>
          <w:rFonts w:ascii="Arial" w:hAnsi="Arial" w:cs="Arial"/>
          <w:b/>
          <w:bCs/>
          <w:i/>
          <w:iCs/>
          <w:szCs w:val="24"/>
        </w:rPr>
        <w:t xml:space="preserve"> ampliando su demanda, </w:t>
      </w:r>
      <w:r>
        <w:rPr>
          <w:rFonts w:ascii="Arial" w:hAnsi="Arial" w:cs="Arial"/>
          <w:bCs/>
          <w:i/>
          <w:iCs/>
          <w:szCs w:val="24"/>
        </w:rPr>
        <w:t>exponiendo sus argumentos, los que esta Sala analizará al momento de dictar la sentencia en el presente juicio; se advierte que no ofrece pruebas de su parte.</w:t>
      </w:r>
      <w:r w:rsidRPr="00F158CB">
        <w:rPr>
          <w:rFonts w:ascii="Arial" w:hAnsi="Arial" w:cs="Arial"/>
          <w:bCs/>
          <w:i/>
          <w:iCs/>
          <w:szCs w:val="24"/>
        </w:rPr>
        <w:t xml:space="preserve">- - - </w:t>
      </w:r>
      <w:r>
        <w:rPr>
          <w:rFonts w:ascii="Arial" w:hAnsi="Arial" w:cs="Arial"/>
          <w:bCs/>
          <w:i/>
          <w:iCs/>
          <w:szCs w:val="24"/>
        </w:rPr>
        <w:t xml:space="preserve">- - </w:t>
      </w:r>
      <w:r w:rsidRPr="00AE3C7A">
        <w:rPr>
          <w:rFonts w:ascii="Arial" w:hAnsi="Arial" w:cs="Arial"/>
          <w:bCs/>
          <w:iCs/>
          <w:szCs w:val="24"/>
        </w:rPr>
        <w:t>”</w:t>
      </w:r>
    </w:p>
    <w:p w:rsidR="00B92D70" w:rsidRDefault="00B92D70" w:rsidP="00B92D70">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B92D70" w:rsidRPr="00CB6405" w:rsidRDefault="00B92D70" w:rsidP="00B92D70">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5F1D44" w:rsidRPr="00B23FC1">
        <w:rPr>
          <w:rFonts w:ascii="Arial" w:eastAsia="Calibri" w:hAnsi="Arial" w:cs="Arial"/>
          <w:bCs/>
          <w:iCs/>
          <w:sz w:val="26"/>
          <w:szCs w:val="26"/>
          <w:lang w:eastAsia="es-ES"/>
        </w:rPr>
        <w:t>Esta Sala Superior</w:t>
      </w:r>
      <w:r w:rsidR="005F1D44" w:rsidRPr="00B23FC1">
        <w:rPr>
          <w:rFonts w:ascii="Arial" w:eastAsia="Calibri" w:hAnsi="Arial" w:cs="Arial"/>
          <w:b/>
          <w:bCs/>
          <w:iCs/>
          <w:sz w:val="26"/>
          <w:szCs w:val="26"/>
          <w:lang w:eastAsia="es-ES"/>
        </w:rPr>
        <w:t xml:space="preserve"> </w:t>
      </w:r>
      <w:r w:rsidR="005F1D44"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w:t>
      </w:r>
      <w:r w:rsidR="005F1D44">
        <w:rPr>
          <w:rFonts w:ascii="Arial" w:hAnsi="Arial" w:cs="Arial"/>
          <w:bCs/>
          <w:iCs/>
          <w:sz w:val="26"/>
          <w:szCs w:val="26"/>
          <w:lang w:eastAsia="es-ES"/>
        </w:rPr>
        <w:t>ativa para el Estado de Oaxaca,</w:t>
      </w:r>
      <w:r>
        <w:rPr>
          <w:rFonts w:ascii="Arial" w:hAnsi="Arial" w:cs="Arial"/>
          <w:bCs/>
          <w:iCs/>
          <w:sz w:val="26"/>
          <w:szCs w:val="26"/>
        </w:rPr>
        <w:t xml:space="preserve"> de la Ley de Justicia Administrativa para el Estado de Oaxaca, vigente al inicio de juicio principal,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parte relativa del acuerdo de 15 quince de junio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0477/2016</w:t>
      </w:r>
      <w:r w:rsidRPr="00CB6405">
        <w:rPr>
          <w:rFonts w:ascii="Arial" w:hAnsi="Arial" w:cs="Arial"/>
          <w:sz w:val="26"/>
          <w:szCs w:val="26"/>
        </w:rPr>
        <w:t>.</w:t>
      </w:r>
    </w:p>
    <w:p w:rsidR="00B92D70" w:rsidRPr="00CB6405" w:rsidRDefault="00B92D70" w:rsidP="00B92D70">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B92D70" w:rsidRPr="00325A98" w:rsidRDefault="00B92D70" w:rsidP="00B92D70">
      <w:pPr>
        <w:spacing w:line="360" w:lineRule="auto"/>
        <w:ind w:firstLine="709"/>
        <w:jc w:val="both"/>
        <w:rPr>
          <w:rFonts w:ascii="Arial" w:eastAsia="Calibri" w:hAnsi="Arial" w:cs="Arial"/>
          <w:b/>
          <w:bCs/>
          <w:sz w:val="26"/>
          <w:szCs w:val="26"/>
        </w:rPr>
      </w:pPr>
      <w:r>
        <w:rPr>
          <w:rFonts w:ascii="Arial" w:eastAsia="Calibri" w:hAnsi="Arial" w:cs="Arial"/>
          <w:b/>
          <w:bCs/>
          <w:sz w:val="26"/>
          <w:szCs w:val="26"/>
        </w:rPr>
        <w:t>TERCERO</w:t>
      </w:r>
      <w:r>
        <w:rPr>
          <w:rFonts w:ascii="Arial" w:eastAsia="Calibri" w:hAnsi="Arial" w:cs="Arial"/>
          <w:bCs/>
          <w:sz w:val="26"/>
          <w:szCs w:val="26"/>
        </w:rPr>
        <w:t xml:space="preserve">. Los agravios planteados son </w:t>
      </w:r>
      <w:r w:rsidRPr="008C387B">
        <w:rPr>
          <w:rFonts w:ascii="Arial" w:eastAsia="Calibri" w:hAnsi="Arial" w:cs="Arial"/>
          <w:b/>
          <w:bCs/>
          <w:sz w:val="26"/>
          <w:szCs w:val="26"/>
        </w:rPr>
        <w:t>in</w:t>
      </w:r>
      <w:r>
        <w:rPr>
          <w:rFonts w:ascii="Arial" w:eastAsia="Calibri" w:hAnsi="Arial" w:cs="Arial"/>
          <w:b/>
          <w:bCs/>
          <w:sz w:val="26"/>
          <w:szCs w:val="26"/>
        </w:rPr>
        <w:t>operantes</w:t>
      </w:r>
      <w:r w:rsidRPr="00255A38">
        <w:rPr>
          <w:rFonts w:ascii="Arial" w:eastAsia="Calibri" w:hAnsi="Arial" w:cs="Arial"/>
          <w:bCs/>
          <w:sz w:val="26"/>
          <w:szCs w:val="26"/>
        </w:rPr>
        <w:t>.</w:t>
      </w:r>
    </w:p>
    <w:p w:rsidR="00B92D70" w:rsidRDefault="00B92D70" w:rsidP="00B92D70">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Alega que la determinación que recurre lo deja en estado de indefensión, porque se actualiza la causal de improcedencia y sobreseimiento prevista en la fracción II del artículo 161 de la Ley de Procedimiento y Justicia Administrativa para el Estado de Oaxaca, porque de los hechos narrados por el actor y de las pruebas que ofreció, se puede apreciar claramente la fundamentación y motivación del acto impugnado, lo que hace evidente que no se afecta su interés jurídico y legítimo, siendo así procedente se sobresea el juicio conforme lo prevé la fracción II del artículo 162 de la citada ley de Procedimiento y Justicia Administrativa; que por ello no es posible conceder la ampliación de la demanda del actor; pues se cumplió a cabalidad lo establecido por el artículo 17 de la Ley en cita. Cita como apoyo el criterio de rubro: “</w:t>
      </w:r>
      <w:r w:rsidRPr="00010B3B">
        <w:rPr>
          <w:rFonts w:ascii="Arial" w:eastAsia="Calibri" w:hAnsi="Arial" w:cs="Arial"/>
          <w:bCs/>
          <w:i/>
        </w:rPr>
        <w:t>ACTO ADMINISTRATIVO FAVORABLE. SU EFICACIA NO DEPENDE NI ESTÁ CONDICIONADA A QUE LA AUTORIDAD QUE LO DICTÓ LO NOTIFIQUE AL PARTICULAR.</w:t>
      </w:r>
      <w:r>
        <w:rPr>
          <w:rFonts w:ascii="Arial" w:eastAsia="Calibri" w:hAnsi="Arial" w:cs="Arial"/>
          <w:bCs/>
          <w:sz w:val="26"/>
          <w:szCs w:val="26"/>
        </w:rPr>
        <w:t>”.</w:t>
      </w:r>
    </w:p>
    <w:p w:rsidR="00B92D70" w:rsidRDefault="00B92D70" w:rsidP="00B92D70">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010B3B">
        <w:rPr>
          <w:rFonts w:ascii="Arial" w:eastAsia="Calibri" w:hAnsi="Arial" w:cs="Arial"/>
          <w:b/>
          <w:bCs/>
          <w:sz w:val="26"/>
          <w:szCs w:val="26"/>
        </w:rPr>
        <w:t>in</w:t>
      </w:r>
      <w:r>
        <w:rPr>
          <w:rFonts w:ascii="Arial" w:eastAsia="Calibri" w:hAnsi="Arial" w:cs="Arial"/>
          <w:b/>
          <w:bCs/>
          <w:sz w:val="26"/>
          <w:szCs w:val="26"/>
        </w:rPr>
        <w:t>operantes</w:t>
      </w:r>
      <w:r w:rsidRPr="00010B3B">
        <w:rPr>
          <w:rFonts w:ascii="Arial" w:eastAsia="Calibri" w:hAnsi="Arial" w:cs="Arial"/>
          <w:bCs/>
          <w:sz w:val="26"/>
          <w:szCs w:val="26"/>
        </w:rPr>
        <w:t xml:space="preserve">, </w:t>
      </w:r>
      <w:r>
        <w:rPr>
          <w:rFonts w:ascii="Arial" w:eastAsia="Calibri" w:hAnsi="Arial" w:cs="Arial"/>
          <w:bCs/>
          <w:sz w:val="26"/>
          <w:szCs w:val="26"/>
        </w:rPr>
        <w:t>al no combatir de manera alguna la consideración toral que se recurre, consistente en tener a la parte actora ampliando su demanda; pues las manifestaciones que realiza el recurrente, de manera esencial se concretan sostener la legalidad del acto impugnado en primera instancia, pues aduce que desde su punto de vista se actualiza la causal de improcedencia y sobreseimiento, que prevé la fracción II del artículo 161 de la Ley de Procedimiento y Justicia Administrativa para el Estado de Oaxaca, pues dice que el acto impugnado se encuentra fundado y motivado, y que por ello no se afecta el interés jurídico y legítimo del actor.</w:t>
      </w:r>
    </w:p>
    <w:p w:rsidR="00B92D70" w:rsidRPr="002B506D" w:rsidRDefault="00B92D70" w:rsidP="00B92D70">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B92D70" w:rsidRPr="004A2FA8" w:rsidRDefault="00B92D70" w:rsidP="00B92D70">
      <w:pPr>
        <w:spacing w:line="360" w:lineRule="auto"/>
        <w:ind w:left="1134" w:right="709"/>
        <w:jc w:val="both"/>
        <w:rPr>
          <w:rFonts w:ascii="Arial" w:hAnsi="Arial" w:cs="Arial"/>
          <w:bCs/>
          <w:i/>
          <w:color w:val="000000" w:themeColor="text1"/>
          <w:sz w:val="24"/>
          <w:szCs w:val="24"/>
          <w:lang w:val="es-MX"/>
        </w:rPr>
      </w:pPr>
      <w:r w:rsidRPr="00041C7F">
        <w:rPr>
          <w:rFonts w:ascii="Arial" w:eastAsia="Times New Roman" w:hAnsi="Arial"/>
          <w:i/>
          <w:color w:val="000000" w:themeColor="text1"/>
          <w:sz w:val="24"/>
          <w:szCs w:val="24"/>
          <w:lang w:val="es-MX"/>
        </w:rPr>
        <w:t>“</w:t>
      </w: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 xml:space="preserve">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w:t>
      </w:r>
      <w:r w:rsidRPr="004A2FA8">
        <w:rPr>
          <w:rFonts w:ascii="Arial" w:eastAsia="Times New Roman" w:hAnsi="Arial"/>
          <w:i/>
          <w:color w:val="000000" w:themeColor="text1"/>
          <w:sz w:val="24"/>
          <w:szCs w:val="24"/>
          <w:lang w:val="es-MX"/>
        </w:rPr>
        <w:lastRenderedPageBreak/>
        <w:t>argumentos reúnen los requisitos que la técnica procesal señala al efecto, debió precisar y exponer los argumentos y razonamientos tendientes a impugnar la ilegalidad del fallo, señalando las violaciones que cometió la autoridad recurrida.”</w:t>
      </w:r>
    </w:p>
    <w:p w:rsidR="00B92D70" w:rsidRDefault="00B92D70" w:rsidP="00B92D70">
      <w:pPr>
        <w:spacing w:line="360" w:lineRule="auto"/>
        <w:ind w:firstLine="709"/>
        <w:jc w:val="both"/>
        <w:rPr>
          <w:rFonts w:ascii="Arial" w:eastAsia="Calibri" w:hAnsi="Arial" w:cs="Arial"/>
          <w:bCs/>
          <w:sz w:val="26"/>
          <w:szCs w:val="26"/>
        </w:rPr>
      </w:pPr>
      <w:r>
        <w:rPr>
          <w:rFonts w:ascii="Arial" w:eastAsia="Calibri" w:hAnsi="Arial" w:cs="Arial"/>
          <w:bCs/>
          <w:sz w:val="26"/>
          <w:szCs w:val="26"/>
        </w:rPr>
        <w:t>Aunado a esto debe precisarse que la Ley de Procedimiento y Justicia Administrativa para el Estado de Oaxaca, que cita y que dice fue transgredido, no resulta aplicable al presente caso, porque conforme al artículo quinto tránsito</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dicha Ley, los procedimiento en trámite a la entrada en vigor de esa Ley serán tramitados y concluidos conforme a las disposiciones legales vigentes a su inicio, siendo en el caso la Ley de Justicia Administrativa para el Estado de Oaxaca, la aplicable.</w:t>
      </w:r>
    </w:p>
    <w:p w:rsidR="00B92D70" w:rsidRDefault="00B92D70" w:rsidP="00B92D70">
      <w:pPr>
        <w:spacing w:line="360" w:lineRule="auto"/>
        <w:ind w:firstLine="709"/>
        <w:jc w:val="both"/>
        <w:rPr>
          <w:rFonts w:ascii="Arial" w:eastAsia="Calibri" w:hAnsi="Arial" w:cs="Arial"/>
          <w:bCs/>
          <w:sz w:val="26"/>
          <w:szCs w:val="26"/>
        </w:rPr>
      </w:pPr>
      <w:r>
        <w:rPr>
          <w:rFonts w:ascii="Arial" w:eastAsia="Calibri" w:hAnsi="Arial" w:cs="Arial"/>
          <w:bCs/>
          <w:sz w:val="26"/>
          <w:szCs w:val="26"/>
        </w:rPr>
        <w:t>Por último, cabe puntualizar que si bien como aduce en sus alegaciones, las causales de improcedencia y sobreseimiento, son de orden público y de estudio preferente, las que se pueden estudiar aun de manera oficiosa, el hecho de no atender en esta instancia las alegaciones que hace al respecto, no le causa perjuicio alguno, porque como se dijo anteriormente, alega la actualización de dicha causal, basándose primordialmente en sostener la legalidad del acto impugnado, situación que será atendida al momento de emitirse la sentencia correspondiente.</w:t>
      </w:r>
    </w:p>
    <w:p w:rsidR="00B92D70" w:rsidRDefault="00B92D70" w:rsidP="00B92D70">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vigente al inicio del juicio principal, se:</w:t>
      </w:r>
    </w:p>
    <w:p w:rsidR="00B92D70" w:rsidRDefault="00B92D70" w:rsidP="00B92D70">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B92D70" w:rsidRDefault="00B92D70" w:rsidP="00B92D70">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sidR="00117BB2">
        <w:rPr>
          <w:rFonts w:ascii="Arial" w:hAnsi="Arial" w:cs="Arial"/>
          <w:sz w:val="26"/>
          <w:szCs w:val="26"/>
        </w:rPr>
        <w:t>el acuerdo recurrido</w:t>
      </w:r>
      <w:r>
        <w:rPr>
          <w:rFonts w:ascii="Arial" w:hAnsi="Arial" w:cs="Arial"/>
          <w:sz w:val="26"/>
          <w:szCs w:val="26"/>
        </w:rPr>
        <w:t xml:space="preserve">, </w:t>
      </w:r>
      <w:r>
        <w:rPr>
          <w:rFonts w:ascii="Arial" w:hAnsi="Arial" w:cs="Arial"/>
          <w:sz w:val="26"/>
          <w:szCs w:val="26"/>
          <w:lang w:eastAsia="es-ES"/>
        </w:rPr>
        <w:t>por las razones expuestas en el considerando que antecede</w:t>
      </w:r>
      <w:r>
        <w:rPr>
          <w:rFonts w:ascii="Arial" w:hAnsi="Arial" w:cs="Arial"/>
          <w:sz w:val="26"/>
          <w:szCs w:val="26"/>
        </w:rPr>
        <w:t>.</w:t>
      </w:r>
    </w:p>
    <w:p w:rsidR="00B92D70" w:rsidRDefault="00B92D70" w:rsidP="00B92D70">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Sexta Sala Unitaria de Primera Instancia, </w:t>
      </w:r>
      <w:r w:rsidRPr="00D81DA7">
        <w:rPr>
          <w:rFonts w:ascii="Arial" w:hAnsi="Arial" w:cs="Arial"/>
          <w:sz w:val="26"/>
          <w:szCs w:val="26"/>
        </w:rPr>
        <w:t>y en su oportunidad archívese el cuaderno de revisión como concluido.</w:t>
      </w:r>
    </w:p>
    <w:p w:rsidR="00B92D70" w:rsidRPr="00B92D70" w:rsidRDefault="00B92D70" w:rsidP="00B92D70">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lastRenderedPageBreak/>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B7D4C" w:rsidRDefault="00CB7D4C" w:rsidP="00C35063">
      <w:pPr>
        <w:spacing w:line="360" w:lineRule="auto"/>
        <w:jc w:val="both"/>
        <w:rPr>
          <w:rFonts w:ascii="Arial" w:eastAsiaTheme="minorEastAsia" w:hAnsi="Arial" w:cs="Arial"/>
          <w:sz w:val="26"/>
          <w:szCs w:val="26"/>
          <w:lang w:val="es-MX" w:eastAsia="es-MX"/>
        </w:rPr>
      </w:pPr>
    </w:p>
    <w:p w:rsidR="00CB7D4C" w:rsidRDefault="00CB7D4C"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3B5FEA" w:rsidRDefault="003B5FEA" w:rsidP="00FB3C95">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B5FEA" w:rsidRDefault="003B5FEA" w:rsidP="00C35063">
      <w:pPr>
        <w:spacing w:line="360" w:lineRule="auto"/>
        <w:rPr>
          <w:rFonts w:ascii="Arial" w:eastAsia="Calibri" w:hAnsi="Arial" w:cs="Arial"/>
          <w:sz w:val="26"/>
          <w:szCs w:val="26"/>
        </w:rPr>
      </w:pPr>
    </w:p>
    <w:p w:rsidR="00FB3C95" w:rsidRDefault="00FB3C95"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FB3C95" w:rsidRPr="003B5FEA" w:rsidRDefault="00FB3C95" w:rsidP="00FB3C95">
      <w:pPr>
        <w:spacing w:line="360" w:lineRule="auto"/>
        <w:jc w:val="center"/>
        <w:rPr>
          <w:rFonts w:ascii="Arial" w:eastAsia="Calibri" w:hAnsi="Arial" w:cs="Arial"/>
          <w:b/>
          <w:sz w:val="16"/>
          <w:szCs w:val="26"/>
        </w:rPr>
      </w:pPr>
      <w:r w:rsidRPr="009819AC">
        <w:rPr>
          <w:rFonts w:ascii="Arial" w:eastAsia="Calibri" w:hAnsi="Arial" w:cs="Arial"/>
          <w:b/>
          <w:sz w:val="16"/>
          <w:szCs w:val="26"/>
        </w:rPr>
        <w:lastRenderedPageBreak/>
        <w:t>LAS PRESENTES FIRMAS CORRES</w:t>
      </w:r>
      <w:r>
        <w:rPr>
          <w:rFonts w:ascii="Arial" w:eastAsia="Calibri" w:hAnsi="Arial" w:cs="Arial"/>
          <w:b/>
          <w:sz w:val="16"/>
          <w:szCs w:val="26"/>
        </w:rPr>
        <w:t>PONDEN AL RECURSO DE REVSIÓN 345</w:t>
      </w:r>
      <w:r w:rsidRPr="009819AC">
        <w:rPr>
          <w:rFonts w:ascii="Arial" w:eastAsia="Calibri" w:hAnsi="Arial" w:cs="Arial"/>
          <w:b/>
          <w:sz w:val="16"/>
          <w:szCs w:val="26"/>
        </w:rPr>
        <w:t>/2018</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3B5FEA" w:rsidRDefault="003B5FEA" w:rsidP="00C35063">
      <w:pPr>
        <w:spacing w:line="360" w:lineRule="auto"/>
        <w:jc w:val="center"/>
        <w:rPr>
          <w:rFonts w:ascii="Arial" w:eastAsia="Calibri" w:hAnsi="Arial" w:cs="Arial"/>
          <w:sz w:val="26"/>
          <w:szCs w:val="26"/>
        </w:rPr>
      </w:pPr>
    </w:p>
    <w:p w:rsidR="00CB7D4C" w:rsidRDefault="00CB7D4C"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B7D4C" w:rsidRDefault="00CB7D4C"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117BB2">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98" w:rsidRDefault="00450E98">
      <w:pPr>
        <w:spacing w:after="0" w:line="240" w:lineRule="auto"/>
      </w:pPr>
      <w:r>
        <w:separator/>
      </w:r>
    </w:p>
  </w:endnote>
  <w:endnote w:type="continuationSeparator" w:id="0">
    <w:p w:rsidR="00450E98" w:rsidRDefault="0045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E3" w:rsidRDefault="00E635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E3" w:rsidRDefault="00E635E3">
    <w:pPr>
      <w:pStyle w:val="Piedepgina"/>
    </w:pPr>
    <w:r>
      <w:rPr>
        <w:noProof/>
        <w:lang w:val="es-MX" w:eastAsia="es-MX"/>
      </w:rPr>
      <w:drawing>
        <wp:anchor distT="0" distB="0" distL="114300" distR="114300" simplePos="0" relativeHeight="251670016" behindDoc="0" locked="0" layoutInCell="1" allowOverlap="1" wp14:anchorId="4528C7C9" wp14:editId="48853AF1">
          <wp:simplePos x="0" y="0"/>
          <wp:positionH relativeFrom="column">
            <wp:posOffset>-1300480</wp:posOffset>
          </wp:positionH>
          <wp:positionV relativeFrom="paragraph">
            <wp:posOffset>-4731512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E3" w:rsidRDefault="00E635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98" w:rsidRDefault="00450E98">
      <w:pPr>
        <w:spacing w:after="0" w:line="240" w:lineRule="auto"/>
      </w:pPr>
      <w:r>
        <w:separator/>
      </w:r>
    </w:p>
  </w:footnote>
  <w:footnote w:type="continuationSeparator" w:id="0">
    <w:p w:rsidR="00450E98" w:rsidRDefault="00450E98">
      <w:pPr>
        <w:spacing w:after="0" w:line="240" w:lineRule="auto"/>
      </w:pPr>
      <w:r>
        <w:continuationSeparator/>
      </w:r>
    </w:p>
  </w:footnote>
  <w:footnote w:id="1">
    <w:p w:rsidR="00B92D70" w:rsidRPr="00B57EC7" w:rsidRDefault="00B92D70" w:rsidP="00B92D70">
      <w:pPr>
        <w:pStyle w:val="Textonotapie"/>
        <w:jc w:val="both"/>
        <w:rPr>
          <w:lang w:val="es-MX"/>
        </w:rPr>
      </w:pPr>
      <w:r>
        <w:rPr>
          <w:rStyle w:val="Refdenotaalpie"/>
        </w:rPr>
        <w:footnoteRef/>
      </w:r>
      <w:r>
        <w:t xml:space="preserve"> </w:t>
      </w:r>
      <w:r>
        <w:rPr>
          <w:lang w:val="es-MX"/>
        </w:rPr>
        <w:t>“</w:t>
      </w:r>
      <w:r>
        <w:rPr>
          <w:b/>
          <w:lang w:val="es-MX"/>
        </w:rPr>
        <w:t xml:space="preserve">QUINTO.- </w:t>
      </w:r>
      <w:r>
        <w:rPr>
          <w:lang w:val="es-MX"/>
        </w:rPr>
        <w:t>Los procedimientos que se encuentren en trámite a la entrada en vigor de la presente Ley serán tramitados y concluidos conforme a las disposiciones legales vigentes a su inicio.”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6C3623">
          <w:rPr>
            <w:noProof/>
          </w:rPr>
          <w:t>6</w:t>
        </w:r>
        <w:r>
          <w:fldChar w:fldCharType="end"/>
        </w:r>
      </w:p>
    </w:sdtContent>
  </w:sdt>
  <w:p w:rsidR="00126798" w:rsidRDefault="00E635E3">
    <w:pPr>
      <w:pStyle w:val="Encabezado"/>
    </w:pPr>
    <w:bookmarkStart w:id="0" w:name="_GoBack"/>
    <w:r>
      <w:rPr>
        <w:noProof/>
        <w:lang w:val="es-MX" w:eastAsia="es-MX"/>
      </w:rPr>
      <w:drawing>
        <wp:anchor distT="0" distB="0" distL="114300" distR="114300" simplePos="0" relativeHeight="251682304" behindDoc="0" locked="0" layoutInCell="1" allowOverlap="1" wp14:anchorId="3E7714F1" wp14:editId="796B479A">
          <wp:simplePos x="0" y="0"/>
          <wp:positionH relativeFrom="column">
            <wp:posOffset>5448808</wp:posOffset>
          </wp:positionH>
          <wp:positionV relativeFrom="paragraph">
            <wp:posOffset>4263263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6C3623">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2848" behindDoc="0" locked="0" layoutInCell="1" allowOverlap="1" wp14:anchorId="3209C051" wp14:editId="3B23ABCF">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47488" behindDoc="1" locked="0" layoutInCell="1" allowOverlap="1" wp14:anchorId="6282E982" wp14:editId="5344FABD">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E3" w:rsidRDefault="00E635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17BB2"/>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0B82"/>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1929"/>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5FEA"/>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0E98"/>
    <w:rsid w:val="00451B4A"/>
    <w:rsid w:val="00454494"/>
    <w:rsid w:val="00455743"/>
    <w:rsid w:val="00456030"/>
    <w:rsid w:val="004567C7"/>
    <w:rsid w:val="00464F10"/>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44"/>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36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15B"/>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183"/>
    <w:rsid w:val="00956CD1"/>
    <w:rsid w:val="00964A87"/>
    <w:rsid w:val="00964E26"/>
    <w:rsid w:val="00965F01"/>
    <w:rsid w:val="009678B3"/>
    <w:rsid w:val="00975A6B"/>
    <w:rsid w:val="0097768E"/>
    <w:rsid w:val="009819AC"/>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2D70"/>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7C9"/>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136F"/>
    <w:rsid w:val="00E56D9B"/>
    <w:rsid w:val="00E604BE"/>
    <w:rsid w:val="00E618BF"/>
    <w:rsid w:val="00E61CDE"/>
    <w:rsid w:val="00E61E14"/>
    <w:rsid w:val="00E635E3"/>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C95"/>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90A5BF-5E47-471D-A91E-4299D42A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228B-E594-4FE5-B0F6-0ADA524D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6</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405</cp:revision>
  <cp:lastPrinted>2019-02-20T16:12:00Z</cp:lastPrinted>
  <dcterms:created xsi:type="dcterms:W3CDTF">2018-05-04T17:53:00Z</dcterms:created>
  <dcterms:modified xsi:type="dcterms:W3CDTF">2019-04-08T20:14:00Z</dcterms:modified>
</cp:coreProperties>
</file>