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F2" w:rsidRPr="00CB6405" w:rsidRDefault="00F979F2" w:rsidP="00F979F2">
      <w:pPr>
        <w:spacing w:line="240" w:lineRule="auto"/>
        <w:ind w:left="2127"/>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F979F2" w:rsidRPr="00CB6405" w:rsidRDefault="00F979F2" w:rsidP="00F979F2">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338</w:t>
      </w:r>
      <w:r w:rsidRPr="00CB6405">
        <w:rPr>
          <w:rFonts w:ascii="Arial" w:hAnsi="Arial" w:cs="Arial"/>
          <w:b/>
          <w:sz w:val="26"/>
          <w:szCs w:val="26"/>
        </w:rPr>
        <w:t>/201</w:t>
      </w:r>
      <w:r>
        <w:rPr>
          <w:rFonts w:ascii="Arial" w:hAnsi="Arial" w:cs="Arial"/>
          <w:b/>
          <w:sz w:val="26"/>
          <w:szCs w:val="26"/>
        </w:rPr>
        <w:t>8</w:t>
      </w:r>
    </w:p>
    <w:p w:rsidR="00F979F2" w:rsidRPr="00CB6405" w:rsidRDefault="00F979F2" w:rsidP="00F979F2">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0080/</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CUARTA </w:t>
      </w:r>
      <w:r w:rsidRPr="00CB6405">
        <w:rPr>
          <w:rFonts w:ascii="Arial" w:hAnsi="Arial" w:cs="Arial"/>
          <w:b/>
          <w:sz w:val="26"/>
          <w:szCs w:val="26"/>
        </w:rPr>
        <w:t>SALA UNITARIA DE PRIMERA INSTANCIA</w:t>
      </w:r>
    </w:p>
    <w:p w:rsidR="00F979F2" w:rsidRDefault="00F979F2" w:rsidP="00F979F2">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F979F2" w:rsidRPr="00CB6405" w:rsidRDefault="00F979F2" w:rsidP="00F979F2">
      <w:pPr>
        <w:spacing w:line="240" w:lineRule="auto"/>
        <w:ind w:left="2124"/>
        <w:jc w:val="both"/>
        <w:rPr>
          <w:rFonts w:ascii="Arial" w:hAnsi="Arial" w:cs="Arial"/>
          <w:b/>
          <w:sz w:val="26"/>
          <w:szCs w:val="26"/>
        </w:rPr>
      </w:pPr>
    </w:p>
    <w:p w:rsidR="00F979F2" w:rsidRDefault="00F979F2" w:rsidP="00F979F2">
      <w:pPr>
        <w:spacing w:before="240" w:line="360" w:lineRule="auto"/>
        <w:jc w:val="both"/>
        <w:rPr>
          <w:rFonts w:ascii="Arial" w:hAnsi="Arial" w:cs="Arial"/>
          <w:b/>
          <w:sz w:val="26"/>
          <w:szCs w:val="26"/>
        </w:rPr>
      </w:pPr>
      <w:r>
        <w:rPr>
          <w:rFonts w:ascii="Arial" w:hAnsi="Arial" w:cs="Arial"/>
          <w:b/>
          <w:sz w:val="26"/>
          <w:szCs w:val="26"/>
        </w:rPr>
        <w:t>OAXACA DE JUÁREZ, OAXACA, CATORCE DE MARZO DE DOS MIL DIECINUEVE.</w:t>
      </w:r>
    </w:p>
    <w:p w:rsidR="00F979F2" w:rsidRPr="00CB6405" w:rsidRDefault="00F979F2" w:rsidP="00F979F2">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338/2018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el </w:t>
      </w:r>
      <w:r w:rsidRPr="001407FA">
        <w:rPr>
          <w:rFonts w:ascii="Arial" w:hAnsi="Arial" w:cs="Arial"/>
          <w:b/>
          <w:sz w:val="26"/>
          <w:szCs w:val="26"/>
        </w:rPr>
        <w:t>DIRECTOR JURÍDICO DE LA SECRETARÍA DE LA CONTRALORÍA Y TRANSPARENCIA GUBERNAMENTAL DEL ESTADO DE OAXACA</w:t>
      </w:r>
      <w:r w:rsidRPr="00CB6405">
        <w:rPr>
          <w:rFonts w:ascii="Arial" w:hAnsi="Arial" w:cs="Arial"/>
          <w:sz w:val="26"/>
          <w:szCs w:val="26"/>
        </w:rPr>
        <w:t>, en contra de</w:t>
      </w:r>
      <w:r>
        <w:rPr>
          <w:rFonts w:ascii="Arial" w:hAnsi="Arial" w:cs="Arial"/>
          <w:sz w:val="26"/>
          <w:szCs w:val="26"/>
        </w:rPr>
        <w:t xml:space="preserve"> la resolución de treinta de enero de dos mil dieciocho, dictada </w:t>
      </w:r>
      <w:r w:rsidRPr="00CB6405">
        <w:rPr>
          <w:rFonts w:ascii="Arial" w:hAnsi="Arial" w:cs="Arial"/>
          <w:sz w:val="26"/>
          <w:szCs w:val="26"/>
        </w:rPr>
        <w:t xml:space="preserve">en el expediente </w:t>
      </w:r>
      <w:r>
        <w:rPr>
          <w:rFonts w:ascii="Arial" w:hAnsi="Arial" w:cs="Arial"/>
          <w:b/>
          <w:sz w:val="26"/>
          <w:szCs w:val="26"/>
        </w:rPr>
        <w:t>0080</w:t>
      </w:r>
      <w:r w:rsidRPr="00CB6405">
        <w:rPr>
          <w:rFonts w:ascii="Arial" w:hAnsi="Arial" w:cs="Arial"/>
          <w:b/>
          <w:sz w:val="26"/>
          <w:szCs w:val="26"/>
        </w:rPr>
        <w:t>/201</w:t>
      </w:r>
      <w:r>
        <w:rPr>
          <w:rFonts w:ascii="Arial" w:hAnsi="Arial" w:cs="Arial"/>
          <w:b/>
          <w:sz w:val="26"/>
          <w:szCs w:val="26"/>
        </w:rPr>
        <w:t>7</w:t>
      </w:r>
      <w:r w:rsidRPr="00CB6405">
        <w:rPr>
          <w:rFonts w:ascii="Arial" w:hAnsi="Arial" w:cs="Arial"/>
          <w:sz w:val="26"/>
          <w:szCs w:val="26"/>
        </w:rPr>
        <w:t xml:space="preserve"> de la </w:t>
      </w:r>
      <w:r>
        <w:rPr>
          <w:rFonts w:ascii="Arial" w:hAnsi="Arial" w:cs="Arial"/>
          <w:sz w:val="26"/>
          <w:szCs w:val="26"/>
        </w:rPr>
        <w:t xml:space="preserve">Cuarta </w:t>
      </w:r>
      <w:r w:rsidRPr="00CB6405">
        <w:rPr>
          <w:rFonts w:ascii="Arial" w:hAnsi="Arial" w:cs="Arial"/>
          <w:sz w:val="26"/>
          <w:szCs w:val="26"/>
        </w:rPr>
        <w:t xml:space="preserve">Sala Unitaria de Primera Instancia, relativo al </w:t>
      </w:r>
      <w:r>
        <w:rPr>
          <w:rFonts w:ascii="Arial" w:hAnsi="Arial" w:cs="Arial"/>
          <w:sz w:val="26"/>
          <w:szCs w:val="26"/>
        </w:rPr>
        <w:t xml:space="preserve">juicio de nulidad promovido por </w:t>
      </w:r>
      <w:r w:rsidR="004D21E3">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Pr>
          <w:rFonts w:ascii="Arial" w:hAnsi="Arial" w:cs="Arial"/>
          <w:sz w:val="26"/>
          <w:szCs w:val="26"/>
        </w:rPr>
        <w:t xml:space="preserve">l </w:t>
      </w:r>
      <w:r>
        <w:rPr>
          <w:rFonts w:ascii="Arial" w:hAnsi="Arial" w:cs="Arial"/>
          <w:b/>
          <w:sz w:val="26"/>
          <w:szCs w:val="26"/>
        </w:rPr>
        <w:t>DIRECTOR DE RESPONSABILIDADES Y SITUACIÓN PATRIMONIAL DE LA SECRETARÍA DE LA CONTRALORÍA Y TRANSPARENCIA GUBERNAMENTAL y TITULAR DEL ÁREA DE RESPONSABILIDADES DEL ÓRGANO DE CONTROL INTERNO DEL INSTITUTO ESTATAL DE EDUCACIÓN PÚBLICA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sz w:val="26"/>
          <w:szCs w:val="26"/>
        </w:rPr>
        <w:t xml:space="preserve">aplicable por ser la que estaba </w:t>
      </w:r>
      <w:r>
        <w:rPr>
          <w:rFonts w:ascii="Arial" w:hAnsi="Arial" w:cs="Arial"/>
          <w:bCs/>
          <w:iCs/>
          <w:sz w:val="26"/>
          <w:szCs w:val="26"/>
        </w:rPr>
        <w:t>vigente 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F979F2" w:rsidRPr="00CB6405" w:rsidRDefault="00F979F2" w:rsidP="00F979F2">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F979F2" w:rsidRPr="00CB6405" w:rsidRDefault="00F979F2" w:rsidP="00F979F2">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Pr>
          <w:rFonts w:ascii="Arial" w:hAnsi="Arial" w:cs="Arial"/>
          <w:sz w:val="26"/>
          <w:szCs w:val="26"/>
        </w:rPr>
        <w:t>con la resolución de 30 treinta de enero de 2018 dos mil dieciocho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Cuarta </w:t>
      </w:r>
      <w:r w:rsidRPr="00CB6405">
        <w:rPr>
          <w:rFonts w:ascii="Arial" w:hAnsi="Arial" w:cs="Arial"/>
          <w:sz w:val="26"/>
          <w:szCs w:val="26"/>
        </w:rPr>
        <w:t xml:space="preserve">Sala Unitaria de Primera Instancia </w:t>
      </w:r>
      <w:r>
        <w:rPr>
          <w:rFonts w:ascii="Arial" w:hAnsi="Arial" w:cs="Arial"/>
          <w:sz w:val="26"/>
          <w:szCs w:val="26"/>
        </w:rPr>
        <w:t xml:space="preserve">el </w:t>
      </w:r>
      <w:r w:rsidRPr="001407FA">
        <w:rPr>
          <w:rFonts w:ascii="Arial" w:hAnsi="Arial" w:cs="Arial"/>
          <w:b/>
          <w:sz w:val="26"/>
          <w:szCs w:val="26"/>
        </w:rPr>
        <w:t>DIRECTOR JURÍDICO DE LA SECRETARÍA DE LA CONTRALORÍA Y TRANSPARENCIA GUBERNAMENTAL DEL ESTADO DE OAXACA</w:t>
      </w:r>
      <w:r w:rsidRPr="00CB6405">
        <w:rPr>
          <w:rFonts w:ascii="Arial" w:hAnsi="Arial" w:cs="Arial"/>
          <w:sz w:val="26"/>
          <w:szCs w:val="26"/>
        </w:rPr>
        <w:t>, interpuso en su contra recurso de revisión.</w:t>
      </w:r>
    </w:p>
    <w:p w:rsidR="00F979F2" w:rsidRDefault="00F979F2" w:rsidP="00F979F2">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Los puntos resolutivos de la resolución recurrida son los siguientes:</w:t>
      </w:r>
    </w:p>
    <w:p w:rsidR="00F979F2" w:rsidRPr="00C06661" w:rsidRDefault="00F979F2" w:rsidP="00F979F2">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270ACE">
        <w:rPr>
          <w:rFonts w:ascii="Arial" w:eastAsia="Times New Roman" w:hAnsi="Arial" w:cs="Arial"/>
          <w:bCs/>
          <w:i/>
          <w:iCs/>
          <w:sz w:val="24"/>
          <w:szCs w:val="24"/>
          <w:lang w:eastAsia="es-ES"/>
        </w:rPr>
        <w:lastRenderedPageBreak/>
        <w:t>“</w:t>
      </w:r>
      <w:r>
        <w:rPr>
          <w:rFonts w:ascii="Arial" w:eastAsia="Times New Roman" w:hAnsi="Arial" w:cs="Arial"/>
          <w:b/>
          <w:bCs/>
          <w:i/>
          <w:iCs/>
          <w:sz w:val="24"/>
          <w:szCs w:val="24"/>
          <w:lang w:eastAsia="es-ES"/>
        </w:rPr>
        <w:t xml:space="preserve">PRIMERO. </w:t>
      </w:r>
      <w:r w:rsidRPr="00270ACE">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Cuarta </w:t>
      </w:r>
      <w:r w:rsidRPr="00270ACE">
        <w:rPr>
          <w:rFonts w:ascii="Arial" w:eastAsia="Times New Roman" w:hAnsi="Arial" w:cs="Arial"/>
          <w:bCs/>
          <w:i/>
          <w:iCs/>
          <w:sz w:val="24"/>
          <w:szCs w:val="24"/>
          <w:lang w:eastAsia="es-ES"/>
        </w:rPr>
        <w:t xml:space="preserve">Sala </w:t>
      </w:r>
      <w:r>
        <w:rPr>
          <w:rFonts w:ascii="Arial" w:eastAsia="Times New Roman" w:hAnsi="Arial" w:cs="Arial"/>
          <w:bCs/>
          <w:i/>
          <w:iCs/>
          <w:sz w:val="24"/>
          <w:szCs w:val="24"/>
          <w:lang w:eastAsia="es-ES"/>
        </w:rPr>
        <w:t xml:space="preserve">Unitaria fue </w:t>
      </w:r>
      <w:r w:rsidRPr="00270ACE">
        <w:rPr>
          <w:rFonts w:ascii="Arial" w:eastAsia="Times New Roman" w:hAnsi="Arial" w:cs="Arial"/>
          <w:bCs/>
          <w:i/>
          <w:iCs/>
          <w:sz w:val="24"/>
          <w:szCs w:val="24"/>
          <w:lang w:eastAsia="es-ES"/>
        </w:rPr>
        <w:t xml:space="preserve">competente para conocer y resolver </w:t>
      </w:r>
      <w:r>
        <w:rPr>
          <w:rFonts w:ascii="Arial" w:eastAsia="Times New Roman" w:hAnsi="Arial" w:cs="Arial"/>
          <w:bCs/>
          <w:i/>
          <w:iCs/>
          <w:sz w:val="24"/>
          <w:szCs w:val="24"/>
          <w:lang w:eastAsia="es-ES"/>
        </w:rPr>
        <w:t>d</w:t>
      </w:r>
      <w:r w:rsidRPr="00270ACE">
        <w:rPr>
          <w:rFonts w:ascii="Arial" w:eastAsia="Times New Roman" w:hAnsi="Arial" w:cs="Arial"/>
          <w:bCs/>
          <w:i/>
          <w:iCs/>
          <w:sz w:val="24"/>
          <w:szCs w:val="24"/>
          <w:lang w:eastAsia="es-ES"/>
        </w:rPr>
        <w:t>el presente asunto</w:t>
      </w:r>
      <w:r>
        <w:rPr>
          <w:rFonts w:ascii="Arial" w:eastAsia="Times New Roman" w:hAnsi="Arial" w:cs="Arial"/>
          <w:b/>
          <w:bCs/>
          <w:i/>
          <w:iCs/>
          <w:sz w:val="24"/>
          <w:szCs w:val="24"/>
          <w:lang w:eastAsia="es-ES"/>
        </w:rPr>
        <w:t>.</w:t>
      </w:r>
      <w:r w:rsidRPr="00270ACE">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 - - - - - - - - - - - - - </w:t>
      </w:r>
      <w:r>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 xml:space="preserve">La personalidad de las partes quedó acreditada en autos.- - - - - - - - - - - - - - - - - - - - - - - - - - - - - - - - - - - - - - </w:t>
      </w:r>
      <w:r>
        <w:rPr>
          <w:rFonts w:ascii="Arial" w:eastAsia="Times New Roman" w:hAnsi="Arial" w:cs="Arial"/>
          <w:b/>
          <w:bCs/>
          <w:i/>
          <w:iCs/>
          <w:sz w:val="24"/>
          <w:szCs w:val="24"/>
          <w:lang w:eastAsia="es-ES"/>
        </w:rPr>
        <w:t xml:space="preserve">TERCERO. </w:t>
      </w:r>
      <w:r>
        <w:rPr>
          <w:rFonts w:ascii="Arial" w:eastAsia="Times New Roman" w:hAnsi="Arial" w:cs="Arial"/>
          <w:bCs/>
          <w:i/>
          <w:iCs/>
          <w:sz w:val="24"/>
          <w:szCs w:val="24"/>
          <w:lang w:eastAsia="es-ES"/>
        </w:rPr>
        <w:t xml:space="preserve">Se </w:t>
      </w:r>
      <w:r>
        <w:rPr>
          <w:rFonts w:ascii="Arial" w:eastAsia="Times New Roman" w:hAnsi="Arial" w:cs="Arial"/>
          <w:b/>
          <w:bCs/>
          <w:i/>
          <w:iCs/>
          <w:sz w:val="24"/>
          <w:szCs w:val="24"/>
          <w:lang w:eastAsia="es-ES"/>
        </w:rPr>
        <w:t xml:space="preserve">SOBRESEE </w:t>
      </w:r>
      <w:r>
        <w:rPr>
          <w:rFonts w:ascii="Arial" w:eastAsia="Times New Roman" w:hAnsi="Arial" w:cs="Arial"/>
          <w:bCs/>
          <w:i/>
          <w:iCs/>
          <w:sz w:val="24"/>
          <w:szCs w:val="24"/>
          <w:lang w:eastAsia="es-ES"/>
        </w:rPr>
        <w:t xml:space="preserve">el juicio respecto a la resolución de 23 veintitrés de mayo de 2017 dos mil diecisiete, emitida en el expediente administrativo </w:t>
      </w:r>
      <w:r>
        <w:rPr>
          <w:rFonts w:ascii="Arial" w:eastAsia="Times New Roman" w:hAnsi="Arial" w:cs="Arial"/>
          <w:b/>
          <w:bCs/>
          <w:i/>
          <w:iCs/>
          <w:sz w:val="24"/>
          <w:szCs w:val="24"/>
          <w:lang w:eastAsia="es-ES"/>
        </w:rPr>
        <w:t xml:space="preserve">004/R/2016, </w:t>
      </w:r>
      <w:r>
        <w:rPr>
          <w:rFonts w:ascii="Arial" w:eastAsia="Times New Roman" w:hAnsi="Arial" w:cs="Arial"/>
          <w:bCs/>
          <w:i/>
          <w:iCs/>
          <w:sz w:val="24"/>
          <w:szCs w:val="24"/>
          <w:lang w:eastAsia="es-ES"/>
        </w:rPr>
        <w:t>por el Titular del Área de Responsabilidades del Órgano de Control Interno del Instituto Estatal de Educación Pública del Oaxaca, como quedo precisado en el considerando tercero de esta sentencia.- - - - - - - - - - - - - - - - - - - - - - - - - - - - - - - - - - - -</w:t>
      </w:r>
      <w:r w:rsidRPr="005A1953">
        <w:rPr>
          <w:rFonts w:ascii="Arial" w:eastAsia="Times New Roman" w:hAnsi="Arial" w:cs="Arial"/>
          <w:b/>
          <w:bCs/>
          <w:i/>
          <w:iCs/>
          <w:sz w:val="24"/>
          <w:szCs w:val="24"/>
          <w:lang w:eastAsia="es-ES"/>
        </w:rPr>
        <w:t xml:space="preserve"> </w:t>
      </w:r>
      <w:r>
        <w:rPr>
          <w:rFonts w:ascii="Arial" w:eastAsia="Times New Roman" w:hAnsi="Arial" w:cs="Arial"/>
          <w:b/>
          <w:bCs/>
          <w:i/>
          <w:iCs/>
          <w:sz w:val="24"/>
          <w:szCs w:val="24"/>
          <w:lang w:eastAsia="es-ES"/>
        </w:rPr>
        <w:t xml:space="preserve">CUARTO. </w:t>
      </w:r>
      <w:r w:rsidRPr="005A1953">
        <w:rPr>
          <w:rFonts w:ascii="Arial" w:eastAsia="Times New Roman" w:hAnsi="Arial" w:cs="Arial"/>
          <w:b/>
          <w:bCs/>
          <w:i/>
          <w:iCs/>
          <w:sz w:val="24"/>
          <w:szCs w:val="24"/>
          <w:lang w:eastAsia="es-ES"/>
        </w:rPr>
        <w:t>SE</w:t>
      </w:r>
      <w:r>
        <w:rPr>
          <w:rFonts w:ascii="Arial" w:eastAsia="Times New Roman" w:hAnsi="Arial" w:cs="Arial"/>
          <w:bCs/>
          <w:i/>
          <w:iCs/>
          <w:sz w:val="24"/>
          <w:szCs w:val="24"/>
          <w:lang w:eastAsia="es-ES"/>
        </w:rPr>
        <w:t xml:space="preserve"> </w:t>
      </w:r>
      <w:r>
        <w:rPr>
          <w:rFonts w:ascii="Arial" w:eastAsia="Times New Roman" w:hAnsi="Arial" w:cs="Arial"/>
          <w:b/>
          <w:bCs/>
          <w:i/>
          <w:iCs/>
          <w:sz w:val="24"/>
          <w:szCs w:val="24"/>
          <w:lang w:eastAsia="es-ES"/>
        </w:rPr>
        <w:t xml:space="preserve">SOBRESEE </w:t>
      </w:r>
      <w:r>
        <w:rPr>
          <w:rFonts w:ascii="Arial" w:eastAsia="Times New Roman" w:hAnsi="Arial" w:cs="Arial"/>
          <w:bCs/>
          <w:i/>
          <w:iCs/>
          <w:sz w:val="24"/>
          <w:szCs w:val="24"/>
          <w:lang w:eastAsia="es-ES"/>
        </w:rPr>
        <w:t xml:space="preserve">la resolución dictada 06 seis de julio de 2017 dos mil diecisiete por el Director de Responsabilidades y Situación Patrimonial de la Secretaría de la Contraloría y Transparencia Gubernamental en el expediente </w:t>
      </w:r>
      <w:r>
        <w:rPr>
          <w:rFonts w:ascii="Arial" w:eastAsia="Times New Roman" w:hAnsi="Arial" w:cs="Arial"/>
          <w:b/>
          <w:bCs/>
          <w:i/>
          <w:iCs/>
          <w:sz w:val="24"/>
          <w:szCs w:val="24"/>
          <w:lang w:eastAsia="es-ES"/>
        </w:rPr>
        <w:t>305/IQD-A/2016</w:t>
      </w:r>
      <w:r>
        <w:rPr>
          <w:rFonts w:ascii="Arial" w:eastAsia="Times New Roman" w:hAnsi="Arial" w:cs="Arial"/>
          <w:bCs/>
          <w:i/>
          <w:iCs/>
          <w:sz w:val="24"/>
          <w:szCs w:val="24"/>
          <w:lang w:eastAsia="es-ES"/>
        </w:rPr>
        <w:t xml:space="preserve">, como quedo precisado en el considerando cuarto de esta sentencia.- - - - - - - - - - - - - - - - </w:t>
      </w:r>
      <w:r>
        <w:rPr>
          <w:rFonts w:ascii="Arial" w:eastAsia="Times New Roman" w:hAnsi="Arial" w:cs="Arial"/>
          <w:b/>
          <w:bCs/>
          <w:i/>
          <w:iCs/>
          <w:sz w:val="24"/>
          <w:szCs w:val="24"/>
          <w:lang w:eastAsia="es-ES"/>
        </w:rPr>
        <w:t>QUINTO</w:t>
      </w:r>
      <w:r>
        <w:rPr>
          <w:rFonts w:ascii="Arial" w:eastAsia="Times New Roman" w:hAnsi="Arial" w:cs="Arial"/>
          <w:bCs/>
          <w:i/>
          <w:iCs/>
          <w:sz w:val="24"/>
          <w:szCs w:val="24"/>
          <w:lang w:eastAsia="es-ES"/>
        </w:rPr>
        <w:t xml:space="preserve">. Una vez que cause ejecutoria la sentencia, devuélvase los originales del expediente administrativo 305/IQD-A/2016, a la autoridad demandada.- - - - - - - - - - - - </w:t>
      </w:r>
      <w:r>
        <w:rPr>
          <w:rFonts w:ascii="Arial" w:eastAsia="Times New Roman" w:hAnsi="Arial" w:cs="Arial"/>
          <w:b/>
          <w:bCs/>
          <w:i/>
          <w:iCs/>
          <w:sz w:val="24"/>
          <w:szCs w:val="24"/>
          <w:lang w:eastAsia="es-ES"/>
        </w:rPr>
        <w:t xml:space="preserve">SEXTO. NOTIFÍQUESE PERSONALMENTE A LA PARTE ACTORA Y POR OFICIO A LAS AUTORIDADES DEMANDADAS, </w:t>
      </w:r>
      <w:r>
        <w:rPr>
          <w:rFonts w:ascii="Arial" w:eastAsia="Times New Roman" w:hAnsi="Arial" w:cs="Arial"/>
          <w:bCs/>
          <w:i/>
          <w:iCs/>
          <w:sz w:val="24"/>
          <w:szCs w:val="24"/>
          <w:lang w:eastAsia="es-ES"/>
        </w:rPr>
        <w:t xml:space="preserve">conforme a lo dispuesto en el artículo 142 fracción I y 143 fracciones I y II, de la Ley de Justicia Administrativa para el Estado.- - - - - - - - - - - - - - - - - - - - - - </w:t>
      </w:r>
      <w:r w:rsidRPr="00C06661">
        <w:rPr>
          <w:rFonts w:ascii="Arial" w:eastAsia="Times New Roman" w:hAnsi="Arial" w:cs="Arial"/>
          <w:bCs/>
          <w:i/>
          <w:iCs/>
          <w:sz w:val="24"/>
          <w:szCs w:val="24"/>
          <w:lang w:eastAsia="es-ES"/>
        </w:rPr>
        <w:t>”</w:t>
      </w:r>
    </w:p>
    <w:p w:rsidR="00F979F2" w:rsidRPr="00CB6405" w:rsidRDefault="00F979F2" w:rsidP="00F979F2">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F979F2" w:rsidRPr="00CB6405" w:rsidRDefault="00F979F2" w:rsidP="00F979F2">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Pr="00435724">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Pr="00D8044C">
        <w:rPr>
          <w:rFonts w:ascii="Arial" w:eastAsia="Calibri" w:hAnsi="Arial" w:cs="Arial"/>
          <w:bCs/>
          <w:iCs/>
          <w:sz w:val="26"/>
          <w:szCs w:val="26"/>
          <w:lang w:eastAsia="es-ES"/>
        </w:rPr>
        <w:t>;</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resolución de 30 treinta de enero de 2018 dos mil dieciocho, dictada </w:t>
      </w:r>
      <w:r w:rsidRPr="00CB6405">
        <w:rPr>
          <w:rFonts w:ascii="Arial" w:hAnsi="Arial" w:cs="Arial"/>
          <w:bCs/>
          <w:iCs/>
          <w:sz w:val="26"/>
          <w:szCs w:val="26"/>
        </w:rPr>
        <w:t xml:space="preserve">por la </w:t>
      </w:r>
      <w:r>
        <w:rPr>
          <w:rFonts w:ascii="Arial" w:hAnsi="Arial" w:cs="Arial"/>
          <w:bCs/>
          <w:iCs/>
          <w:sz w:val="26"/>
          <w:szCs w:val="26"/>
        </w:rPr>
        <w:t xml:space="preserve">Cuarta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0080/2017</w:t>
      </w:r>
      <w:r w:rsidRPr="00CB6405">
        <w:rPr>
          <w:rFonts w:ascii="Arial" w:hAnsi="Arial" w:cs="Arial"/>
          <w:sz w:val="26"/>
          <w:szCs w:val="26"/>
        </w:rPr>
        <w:t>.</w:t>
      </w:r>
    </w:p>
    <w:p w:rsidR="00F979F2" w:rsidRPr="00CB6405" w:rsidRDefault="00F979F2" w:rsidP="00F979F2">
      <w:pPr>
        <w:pStyle w:val="NormalWeb"/>
        <w:spacing w:line="360" w:lineRule="auto"/>
        <w:ind w:firstLine="708"/>
        <w:jc w:val="both"/>
        <w:rPr>
          <w:rFonts w:ascii="Arial" w:hAnsi="Arial" w:cs="Arial"/>
          <w:sz w:val="26"/>
          <w:szCs w:val="26"/>
        </w:rPr>
      </w:pPr>
      <w:r w:rsidRPr="00CB6405">
        <w:rPr>
          <w:rFonts w:ascii="Arial" w:hAnsi="Arial" w:cs="Arial"/>
          <w:b/>
          <w:sz w:val="26"/>
          <w:szCs w:val="26"/>
        </w:rPr>
        <w:lastRenderedPageBreak/>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F979F2" w:rsidRDefault="00F979F2" w:rsidP="00F979F2">
      <w:pPr>
        <w:spacing w:before="240" w:line="360" w:lineRule="auto"/>
        <w:ind w:firstLine="708"/>
        <w:jc w:val="both"/>
        <w:rPr>
          <w:rFonts w:ascii="Arial" w:hAnsi="Arial" w:cs="Arial"/>
          <w:color w:val="000000"/>
          <w:sz w:val="26"/>
          <w:szCs w:val="26"/>
        </w:rPr>
      </w:pPr>
      <w:r w:rsidRPr="00372D3D">
        <w:rPr>
          <w:rFonts w:ascii="Arial" w:eastAsia="Calibri" w:hAnsi="Arial" w:cs="Arial"/>
          <w:b/>
          <w:bCs/>
          <w:sz w:val="26"/>
          <w:szCs w:val="26"/>
        </w:rPr>
        <w:t>TERCERO</w:t>
      </w:r>
      <w:r>
        <w:rPr>
          <w:rFonts w:ascii="Arial" w:eastAsia="Calibri" w:hAnsi="Arial" w:cs="Arial"/>
          <w:b/>
          <w:bCs/>
          <w:sz w:val="26"/>
          <w:szCs w:val="26"/>
        </w:rPr>
        <w:t xml:space="preserve">. </w:t>
      </w:r>
      <w:r>
        <w:rPr>
          <w:rFonts w:ascii="Arial" w:hAnsi="Arial" w:cs="Arial"/>
          <w:color w:val="000000"/>
          <w:sz w:val="26"/>
          <w:szCs w:val="26"/>
        </w:rPr>
        <w:t>Alega que se viola lo dispuesto por los artículos 14, 16 y 17 de la Constitución Política de los Estados Unidos Mexicanos, en relación con el artículo 177 de la Ley de Justicia Administrativa para el Estado de Oaxaca, al considerar que el considerando cuarto de la sentencia alzada transgrede el principio de debida fundamentación y motivación, así como el de congruencia, lo anterior porque el juzgador determinó sobreseer el juicio respecto de la resolución de 6 seis de julio de 2017 dos mil diecisiete, emitida por el Director de Responsabilidades y Situación Patrimonial de la Secretaría de la Contraloría y Transparencia Gubernamental, pero posteriormente entra al estudio del fondo de dicha resolución y expresa que esta proviene de un acto viciado, lo que dice es ilegal porque el sobreseimiento decretado le impedía entrar al estudio de los conceptos de impugnación expuestos y por ello se encontraba impedido para tocar la materia del juicio en cuanto a dicha resolución, de ahí que al entrar al estudio del fondo del asunto en cuanto a esa resolución, resolvió el juicio más allá. Se apoya en los criterios de rubros: “</w:t>
      </w:r>
      <w:r w:rsidRPr="00915324">
        <w:rPr>
          <w:rFonts w:ascii="Arial" w:hAnsi="Arial" w:cs="Arial"/>
          <w:i/>
          <w:color w:val="000000"/>
        </w:rPr>
        <w:t>SOBRESEIMIENTO EN EL JUICIO DE AMPARO.</w:t>
      </w:r>
      <w:r>
        <w:rPr>
          <w:rFonts w:ascii="Arial" w:hAnsi="Arial" w:cs="Arial"/>
          <w:color w:val="000000"/>
          <w:sz w:val="26"/>
          <w:szCs w:val="26"/>
        </w:rPr>
        <w:t>” y “</w:t>
      </w:r>
      <w:r>
        <w:rPr>
          <w:rFonts w:ascii="Arial" w:hAnsi="Arial" w:cs="Arial"/>
          <w:i/>
          <w:color w:val="000000"/>
        </w:rPr>
        <w:t>PRINCIPIO DE CONGRUENCIA. QUE DEBE PREVALECER EN TODA RESOLUCIÓN JUDICIAL</w:t>
      </w:r>
      <w:r w:rsidRPr="00915324">
        <w:rPr>
          <w:rFonts w:ascii="Arial" w:hAnsi="Arial" w:cs="Arial"/>
          <w:i/>
          <w:color w:val="000000"/>
        </w:rPr>
        <w:t>.</w:t>
      </w:r>
      <w:r>
        <w:rPr>
          <w:rFonts w:ascii="Arial" w:hAnsi="Arial" w:cs="Arial"/>
          <w:color w:val="000000"/>
          <w:sz w:val="26"/>
          <w:szCs w:val="26"/>
        </w:rPr>
        <w:t>”</w:t>
      </w:r>
    </w:p>
    <w:p w:rsidR="00F979F2" w:rsidRDefault="00F979F2" w:rsidP="00F979F2">
      <w:pPr>
        <w:spacing w:before="240" w:line="360" w:lineRule="auto"/>
        <w:ind w:firstLine="708"/>
        <w:jc w:val="both"/>
        <w:rPr>
          <w:rFonts w:ascii="Arial" w:hAnsi="Arial" w:cs="Arial"/>
          <w:color w:val="000000"/>
          <w:sz w:val="26"/>
          <w:szCs w:val="26"/>
        </w:rPr>
      </w:pPr>
      <w:r>
        <w:rPr>
          <w:rFonts w:ascii="Arial" w:eastAsia="Calibri" w:hAnsi="Arial" w:cs="Arial"/>
          <w:bCs/>
          <w:sz w:val="26"/>
          <w:szCs w:val="26"/>
        </w:rPr>
        <w:t>Sus alegaciones s</w:t>
      </w:r>
      <w:r w:rsidRPr="006A0645">
        <w:rPr>
          <w:rFonts w:ascii="Arial" w:eastAsia="Calibri" w:hAnsi="Arial" w:cs="Arial"/>
          <w:bCs/>
          <w:sz w:val="26"/>
          <w:szCs w:val="26"/>
        </w:rPr>
        <w:t>on</w:t>
      </w:r>
      <w:r>
        <w:rPr>
          <w:rFonts w:ascii="Arial" w:eastAsia="Calibri" w:hAnsi="Arial" w:cs="Arial"/>
          <w:b/>
          <w:bCs/>
          <w:sz w:val="26"/>
          <w:szCs w:val="26"/>
        </w:rPr>
        <w:t xml:space="preserve"> infundadas, </w:t>
      </w:r>
      <w:r>
        <w:rPr>
          <w:rFonts w:ascii="Arial" w:eastAsia="Calibri" w:hAnsi="Arial" w:cs="Arial"/>
          <w:bCs/>
          <w:sz w:val="26"/>
          <w:szCs w:val="26"/>
        </w:rPr>
        <w:t xml:space="preserve">porque contrario a su afirmación esencial, la Primera Instancia no entró al estudio de los conceptos de impugnación planteados en relación a la resolución de </w:t>
      </w:r>
      <w:r>
        <w:rPr>
          <w:rFonts w:ascii="Arial" w:hAnsi="Arial" w:cs="Arial"/>
          <w:color w:val="000000"/>
          <w:sz w:val="26"/>
          <w:szCs w:val="26"/>
        </w:rPr>
        <w:t>6 seis de julio de 2017 dos mil diecisiete, emitida por el Director de Responsabilidades y Situación Patrimonial de la Secretaría de la Contraloría y Transparencia Gubernamental del Estado de Oaxaca, pues fue puntual en establecer que procedía sobreseer el juicio por lo que respecta a la referida resolución, al considerar que al haberse sobreseído por lo que hace a la diversa de 23 veintitrés de mayo de 2017 dos mil diecisiete, emitida por el Titular del Área de Responsabilidades del Órgano Interno de Control del Instituto Estatal de Educación Pública de Oaxaca, se encontraba imposibilitado para resolver la de 6 seis de julio; como a continuación se aprecia:</w:t>
      </w:r>
    </w:p>
    <w:p w:rsidR="00F979F2" w:rsidRDefault="00F979F2" w:rsidP="00F979F2">
      <w:pPr>
        <w:spacing w:before="240" w:line="360" w:lineRule="auto"/>
        <w:ind w:left="1134" w:right="333"/>
        <w:jc w:val="both"/>
        <w:rPr>
          <w:rFonts w:ascii="Arial" w:hAnsi="Arial" w:cs="Arial"/>
          <w:color w:val="000000"/>
          <w:sz w:val="26"/>
          <w:szCs w:val="26"/>
        </w:rPr>
      </w:pPr>
      <w:r>
        <w:rPr>
          <w:rFonts w:ascii="Arial" w:hAnsi="Arial" w:cs="Arial"/>
          <w:color w:val="000000"/>
          <w:sz w:val="26"/>
          <w:szCs w:val="26"/>
        </w:rPr>
        <w:lastRenderedPageBreak/>
        <w:t>“</w:t>
      </w:r>
      <w:r w:rsidRPr="00BA47B9">
        <w:rPr>
          <w:rFonts w:ascii="Arial" w:hAnsi="Arial" w:cs="Arial"/>
          <w:b/>
          <w:i/>
          <w:color w:val="000000"/>
        </w:rPr>
        <w:t>CUARTO</w:t>
      </w:r>
      <w:r w:rsidRPr="00BA47B9">
        <w:rPr>
          <w:rFonts w:ascii="Arial" w:hAnsi="Arial" w:cs="Arial"/>
          <w:b/>
          <w:i/>
          <w:color w:val="000000"/>
          <w:sz w:val="24"/>
          <w:szCs w:val="24"/>
        </w:rPr>
        <w:t xml:space="preserve">. </w:t>
      </w:r>
      <w:r w:rsidRPr="00BA47B9">
        <w:rPr>
          <w:rFonts w:ascii="Arial" w:hAnsi="Arial" w:cs="Arial"/>
          <w:i/>
          <w:color w:val="000000"/>
          <w:sz w:val="24"/>
          <w:szCs w:val="24"/>
        </w:rPr>
        <w:t xml:space="preserve">Ahora bien, como se ha sobreseído el juicio respecto de la resolución administrativa dictada en el expediente administrativo </w:t>
      </w:r>
      <w:r w:rsidRPr="00BA47B9">
        <w:rPr>
          <w:rFonts w:ascii="Arial" w:hAnsi="Arial" w:cs="Arial"/>
          <w:b/>
          <w:i/>
          <w:color w:val="000000"/>
          <w:sz w:val="24"/>
          <w:szCs w:val="24"/>
        </w:rPr>
        <w:t xml:space="preserve">004/R/2016, </w:t>
      </w:r>
      <w:r w:rsidRPr="00BA47B9">
        <w:rPr>
          <w:rFonts w:ascii="Arial" w:hAnsi="Arial" w:cs="Arial"/>
          <w:i/>
          <w:color w:val="000000"/>
          <w:sz w:val="24"/>
          <w:szCs w:val="24"/>
        </w:rPr>
        <w:t xml:space="preserve">este juzgador se encuentra legalmente imposibilitado para resolver respecto a la resolución dictada el 06 seis de julio de 2017 dos mil diecisiete, por el Director de Responsabilidades y Situación Patrimonial de la Secretaría de la Contraloría y Transparencia Gubernamental en el expediente </w:t>
      </w:r>
      <w:r w:rsidRPr="00BA47B9">
        <w:rPr>
          <w:rFonts w:ascii="Arial" w:hAnsi="Arial" w:cs="Arial"/>
          <w:b/>
          <w:i/>
          <w:color w:val="000000"/>
          <w:sz w:val="24"/>
          <w:szCs w:val="24"/>
        </w:rPr>
        <w:t>305/</w:t>
      </w:r>
      <w:r w:rsidRPr="00BA47B9">
        <w:rPr>
          <w:rFonts w:ascii="Arial" w:hAnsi="Arial" w:cs="Arial"/>
          <w:b/>
          <w:i/>
          <w:color w:val="000000"/>
        </w:rPr>
        <w:t>IQD</w:t>
      </w:r>
      <w:r w:rsidRPr="00BA47B9">
        <w:rPr>
          <w:rFonts w:ascii="Arial" w:hAnsi="Arial" w:cs="Arial"/>
          <w:b/>
          <w:i/>
          <w:color w:val="000000"/>
          <w:sz w:val="24"/>
          <w:szCs w:val="24"/>
        </w:rPr>
        <w:t>-a/2016</w:t>
      </w:r>
      <w:r w:rsidRPr="00BA47B9">
        <w:rPr>
          <w:rFonts w:ascii="Arial" w:hAnsi="Arial" w:cs="Arial"/>
          <w:i/>
          <w:color w:val="000000"/>
          <w:sz w:val="24"/>
          <w:szCs w:val="24"/>
        </w:rPr>
        <w:t>, por provenir de un acto viciado.</w:t>
      </w:r>
      <w:r>
        <w:rPr>
          <w:rFonts w:ascii="Arial" w:hAnsi="Arial" w:cs="Arial"/>
          <w:color w:val="000000"/>
          <w:sz w:val="26"/>
          <w:szCs w:val="26"/>
        </w:rPr>
        <w:t>”</w:t>
      </w:r>
    </w:p>
    <w:p w:rsidR="00F979F2" w:rsidRDefault="00F979F2" w:rsidP="00F979F2">
      <w:pPr>
        <w:spacing w:before="240" w:line="360" w:lineRule="auto"/>
        <w:ind w:firstLine="708"/>
        <w:jc w:val="both"/>
        <w:rPr>
          <w:rFonts w:ascii="Arial" w:hAnsi="Arial" w:cs="Arial"/>
          <w:color w:val="000000"/>
          <w:sz w:val="26"/>
          <w:szCs w:val="26"/>
        </w:rPr>
      </w:pPr>
      <w:r>
        <w:rPr>
          <w:rFonts w:ascii="Arial" w:hAnsi="Arial" w:cs="Arial"/>
          <w:color w:val="000000"/>
          <w:sz w:val="26"/>
          <w:szCs w:val="26"/>
        </w:rPr>
        <w:t>Ahora, si bien en efecto en la parte final de dicha consideración adujo que la resolución de 6 seis de julio de 2017 dos mil diecisiete, provenía de un acto viciado, esto no lleva a que haya realizado el análisis de la legalidad de la citada resolución, pues más adelante concluye, que al haberse sobreseído el juicio, se encuentra impedido para entrar al fondo del asunto planteado.</w:t>
      </w:r>
    </w:p>
    <w:p w:rsidR="00F979F2" w:rsidRDefault="00F979F2" w:rsidP="00F979F2">
      <w:pPr>
        <w:spacing w:before="240" w:line="360" w:lineRule="auto"/>
        <w:ind w:left="1134" w:right="333"/>
        <w:jc w:val="both"/>
        <w:rPr>
          <w:rFonts w:ascii="Arial" w:hAnsi="Arial" w:cs="Arial"/>
          <w:color w:val="000000"/>
          <w:sz w:val="26"/>
          <w:szCs w:val="26"/>
        </w:rPr>
      </w:pPr>
      <w:r>
        <w:rPr>
          <w:rFonts w:ascii="Arial" w:hAnsi="Arial" w:cs="Arial"/>
          <w:color w:val="000000"/>
          <w:sz w:val="26"/>
          <w:szCs w:val="26"/>
        </w:rPr>
        <w:t>“</w:t>
      </w:r>
      <w:r>
        <w:rPr>
          <w:rFonts w:ascii="Arial" w:hAnsi="Arial" w:cs="Arial"/>
          <w:b/>
          <w:i/>
          <w:color w:val="000000"/>
        </w:rPr>
        <w:t>QUINTO</w:t>
      </w:r>
      <w:r w:rsidRPr="00BA47B9">
        <w:rPr>
          <w:rFonts w:ascii="Arial" w:hAnsi="Arial" w:cs="Arial"/>
          <w:b/>
          <w:i/>
          <w:color w:val="000000"/>
          <w:sz w:val="24"/>
          <w:szCs w:val="24"/>
        </w:rPr>
        <w:t xml:space="preserve">. </w:t>
      </w:r>
      <w:r>
        <w:rPr>
          <w:rFonts w:ascii="Arial" w:hAnsi="Arial" w:cs="Arial"/>
          <w:i/>
          <w:color w:val="000000"/>
          <w:sz w:val="24"/>
          <w:szCs w:val="24"/>
        </w:rPr>
        <w:t>C</w:t>
      </w:r>
      <w:r w:rsidRPr="00BA47B9">
        <w:rPr>
          <w:rFonts w:ascii="Arial" w:hAnsi="Arial" w:cs="Arial"/>
          <w:i/>
          <w:color w:val="000000"/>
          <w:sz w:val="24"/>
          <w:szCs w:val="24"/>
        </w:rPr>
        <w:t>omo se ha sobreseído el juicio respecto de l</w:t>
      </w:r>
      <w:r>
        <w:rPr>
          <w:rFonts w:ascii="Arial" w:hAnsi="Arial" w:cs="Arial"/>
          <w:i/>
          <w:color w:val="000000"/>
          <w:sz w:val="24"/>
          <w:szCs w:val="24"/>
        </w:rPr>
        <w:t>os actos impugnados de la parte actora, este juzgador se encuentra impedido para entrar al fondo del asunto planteado</w:t>
      </w:r>
      <w:r w:rsidRPr="00BA47B9">
        <w:rPr>
          <w:rFonts w:ascii="Arial" w:hAnsi="Arial" w:cs="Arial"/>
          <w:i/>
          <w:color w:val="000000"/>
          <w:sz w:val="24"/>
          <w:szCs w:val="24"/>
        </w:rPr>
        <w:t>.</w:t>
      </w:r>
      <w:r>
        <w:rPr>
          <w:rFonts w:ascii="Arial" w:hAnsi="Arial" w:cs="Arial"/>
          <w:color w:val="000000"/>
          <w:sz w:val="26"/>
          <w:szCs w:val="26"/>
        </w:rPr>
        <w:t>”.</w:t>
      </w:r>
    </w:p>
    <w:p w:rsidR="00F979F2" w:rsidRDefault="00F979F2" w:rsidP="00F979F2">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ante las relacionadas consideraciones y al no existir agravio que reparar,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resolución alzada y </w:t>
      </w:r>
      <w:r>
        <w:rPr>
          <w:rFonts w:ascii="Arial" w:hAnsi="Arial" w:cs="Arial"/>
          <w:sz w:val="26"/>
          <w:szCs w:val="26"/>
        </w:rPr>
        <w:t xml:space="preserve">con fundamento en los artículos 207 y 208 de la Ley de Justicia Administrativa para el Estado, aplicable por ser la que estaba </w:t>
      </w:r>
      <w:r>
        <w:rPr>
          <w:rFonts w:ascii="Arial" w:hAnsi="Arial" w:cs="Arial"/>
          <w:bCs/>
          <w:iCs/>
          <w:sz w:val="26"/>
          <w:szCs w:val="26"/>
        </w:rPr>
        <w:t>vigente la inicio del juicio natural</w:t>
      </w:r>
      <w:r>
        <w:rPr>
          <w:rFonts w:ascii="Arial" w:hAnsi="Arial" w:cs="Arial"/>
          <w:sz w:val="26"/>
          <w:szCs w:val="26"/>
        </w:rPr>
        <w:t>, se:</w:t>
      </w:r>
    </w:p>
    <w:p w:rsidR="00F979F2" w:rsidRDefault="00F979F2" w:rsidP="00F979F2">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F979F2" w:rsidRDefault="00F979F2" w:rsidP="00F979F2">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Pr>
          <w:rFonts w:ascii="Arial" w:hAnsi="Arial" w:cs="Arial"/>
          <w:b/>
          <w:sz w:val="26"/>
          <w:szCs w:val="26"/>
          <w:lang w:val="es-MX"/>
        </w:rPr>
        <w:t xml:space="preserve">CONFIRMA </w:t>
      </w:r>
      <w:r>
        <w:rPr>
          <w:rFonts w:ascii="Arial" w:hAnsi="Arial" w:cs="Arial"/>
          <w:sz w:val="26"/>
          <w:szCs w:val="26"/>
          <w:lang w:val="es-MX"/>
        </w:rPr>
        <w:t>la resolución recurrida, por las razones expuestas en el considerando que antecede.</w:t>
      </w:r>
    </w:p>
    <w:p w:rsidR="00F979F2" w:rsidRDefault="00F979F2" w:rsidP="00F979F2">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Cuarta Sala Unitaria de Primera Instancia de este Tribunal y en su oportunidad archívese el presente cuaderno de revisión como asunto concluido.</w:t>
      </w:r>
    </w:p>
    <w:p w:rsidR="00F979F2" w:rsidRDefault="00F979F2" w:rsidP="00F979F2">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 xml:space="preserve">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w:t>
      </w:r>
      <w:r>
        <w:rPr>
          <w:rFonts w:ascii="Arial" w:hAnsi="Arial" w:cs="Arial"/>
          <w:sz w:val="26"/>
          <w:szCs w:val="26"/>
        </w:rPr>
        <w:lastRenderedPageBreak/>
        <w:t>instalaciones de este Tribunal a partir del uno de enero de dos mil diecinueve, es el ubicado en la Calle Miguel Hidalgo número 215, Colonia Centro, Municipio de Oaxaca de Juárez, Oaxaca, Código Postal 68000.</w:t>
      </w:r>
    </w:p>
    <w:p w:rsidR="001B1F0B" w:rsidRDefault="001B1F0B" w:rsidP="001B1F0B">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con ausencia de la Magistrada María Elena Villa de Jarquín, quien cuenta con licencia autorizada mediante oficio TJAO/SGA/853/2019; quienes actúan con la Secretaria General de Acuerdos de este Tribunal, que autoriza y da fe.</w:t>
      </w:r>
    </w:p>
    <w:p w:rsidR="001B1F0B" w:rsidRDefault="001B1F0B"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MAGISTRADO ADRIÁN QUIROGA AVENDAÑO.</w:t>
      </w: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PRESIDENTE</w:t>
      </w:r>
    </w:p>
    <w:p w:rsidR="001B1F0B" w:rsidRDefault="001B1F0B" w:rsidP="001B1F0B">
      <w:pPr>
        <w:spacing w:after="0" w:line="240" w:lineRule="auto"/>
        <w:jc w:val="center"/>
        <w:rPr>
          <w:rFonts w:ascii="Arial" w:hAnsi="Arial" w:cs="Arial"/>
          <w:sz w:val="26"/>
          <w:szCs w:val="26"/>
        </w:rPr>
      </w:pPr>
    </w:p>
    <w:p w:rsidR="001B1F0B" w:rsidRPr="00E66676" w:rsidRDefault="001B1F0B" w:rsidP="001B1F0B">
      <w:pPr>
        <w:spacing w:after="0" w:line="240" w:lineRule="auto"/>
        <w:jc w:val="center"/>
        <w:rPr>
          <w:rFonts w:ascii="Arial" w:hAnsi="Arial" w:cs="Arial"/>
          <w:b/>
          <w:sz w:val="14"/>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F979F2" w:rsidRDefault="00F979F2"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HUGO VILLEGAS AQUINO.</w:t>
      </w:r>
    </w:p>
    <w:p w:rsidR="001B1F0B" w:rsidRDefault="001B1F0B" w:rsidP="001B1F0B">
      <w:pPr>
        <w:spacing w:after="0" w:line="360" w:lineRule="auto"/>
        <w:jc w:val="center"/>
        <w:rPr>
          <w:rFonts w:ascii="Arial" w:hAnsi="Arial" w:cs="Arial"/>
          <w:sz w:val="26"/>
          <w:szCs w:val="26"/>
        </w:rPr>
      </w:pPr>
    </w:p>
    <w:p w:rsidR="001B1F0B" w:rsidRDefault="001B1F0B" w:rsidP="00F979F2">
      <w:pPr>
        <w:spacing w:after="0" w:line="360" w:lineRule="auto"/>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D6512C" w:rsidRDefault="00D6512C"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ENRIQUE PACHECO MARTÍNEZ.</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B1F0B" w:rsidRDefault="001B1F0B" w:rsidP="001B1F0B">
      <w:pPr>
        <w:spacing w:after="0" w:line="360" w:lineRule="auto"/>
        <w:rPr>
          <w:rFonts w:ascii="Arial" w:hAnsi="Arial" w:cs="Arial"/>
          <w:sz w:val="26"/>
          <w:szCs w:val="26"/>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LICENCIADA LETICIA GARCIA SOTO.</w:t>
      </w:r>
    </w:p>
    <w:p w:rsidR="00AB454A" w:rsidRDefault="001B1F0B" w:rsidP="00F979F2">
      <w:pPr>
        <w:spacing w:after="0" w:line="240" w:lineRule="auto"/>
        <w:jc w:val="center"/>
        <w:rPr>
          <w:rFonts w:ascii="Arial" w:hAnsi="Arial" w:cs="Arial"/>
          <w:sz w:val="26"/>
          <w:szCs w:val="26"/>
        </w:rPr>
      </w:pPr>
      <w:r>
        <w:rPr>
          <w:rFonts w:ascii="Arial" w:hAnsi="Arial" w:cs="Arial"/>
          <w:sz w:val="26"/>
          <w:szCs w:val="26"/>
        </w:rPr>
        <w:t xml:space="preserve">  SECRETARIA GENERAL DE ACUERDOS.</w:t>
      </w:r>
    </w:p>
    <w:sectPr w:rsidR="00AB454A" w:rsidSect="00F979F2">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A3" w:rsidRDefault="00FD4DA3">
      <w:pPr>
        <w:spacing w:after="0" w:line="240" w:lineRule="auto"/>
      </w:pPr>
      <w:r>
        <w:separator/>
      </w:r>
    </w:p>
  </w:endnote>
  <w:endnote w:type="continuationSeparator" w:id="0">
    <w:p w:rsidR="00FD4DA3" w:rsidRDefault="00FD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42" w:rsidRDefault="000204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42" w:rsidRDefault="00020442">
    <w:pPr>
      <w:pStyle w:val="Piedepgina"/>
    </w:pPr>
    <w:r>
      <w:rPr>
        <w:noProof/>
        <w:lang w:val="es-MX" w:eastAsia="es-MX"/>
      </w:rPr>
      <w:drawing>
        <wp:anchor distT="0" distB="0" distL="114300" distR="114300" simplePos="0" relativeHeight="251668480" behindDoc="0" locked="0" layoutInCell="1" allowOverlap="1" wp14:anchorId="60281BC1" wp14:editId="7DBDA429">
          <wp:simplePos x="0" y="0"/>
          <wp:positionH relativeFrom="column">
            <wp:posOffset>-1205865</wp:posOffset>
          </wp:positionH>
          <wp:positionV relativeFrom="paragraph">
            <wp:posOffset>-4301490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42" w:rsidRDefault="000204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A3" w:rsidRDefault="00FD4DA3">
      <w:pPr>
        <w:spacing w:after="0" w:line="240" w:lineRule="auto"/>
      </w:pPr>
      <w:r>
        <w:separator/>
      </w:r>
    </w:p>
  </w:footnote>
  <w:footnote w:type="continuationSeparator" w:id="0">
    <w:p w:rsidR="00FD4DA3" w:rsidRDefault="00FD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020442" w:rsidP="00D25099">
        <w:pPr>
          <w:pStyle w:val="Encabezado"/>
          <w:jc w:val="center"/>
        </w:pPr>
        <w:r>
          <w:rPr>
            <w:noProof/>
            <w:lang w:val="es-MX" w:eastAsia="es-MX"/>
          </w:rPr>
          <w:drawing>
            <wp:anchor distT="0" distB="0" distL="114300" distR="114300" simplePos="0" relativeHeight="251672576" behindDoc="0" locked="0" layoutInCell="1" allowOverlap="1" wp14:anchorId="7ED7F614" wp14:editId="3E084CD6">
              <wp:simplePos x="0" y="0"/>
              <wp:positionH relativeFrom="column">
                <wp:posOffset>5558790</wp:posOffset>
              </wp:positionH>
              <wp:positionV relativeFrom="paragraph">
                <wp:posOffset>5051425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A45DEB">
          <w:fldChar w:fldCharType="begin"/>
        </w:r>
        <w:r w:rsidR="00A45DEB">
          <w:instrText>PAGE   \* MERGEFORMAT</w:instrText>
        </w:r>
        <w:r w:rsidR="00A45DEB">
          <w:fldChar w:fldCharType="separate"/>
        </w:r>
        <w:r w:rsidR="00D50693">
          <w:rPr>
            <w:noProof/>
          </w:rPr>
          <w:t>4</w:t>
        </w:r>
        <w:r w:rsidR="00A45DE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D50693">
          <w:rPr>
            <w:noProof/>
          </w:rPr>
          <w:t>1</w:t>
        </w:r>
        <w:r>
          <w:rPr>
            <w:noProof/>
          </w:rPr>
          <w:fldChar w:fldCharType="end"/>
        </w:r>
      </w:p>
      <w:p w:rsidR="00A45DEB" w:rsidRDefault="00D50693" w:rsidP="008C74CA">
        <w:pPr>
          <w:pStyle w:val="Encabezado"/>
          <w:jc w:val="center"/>
        </w:pPr>
      </w:p>
    </w:sdtContent>
  </w:sdt>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64384" behindDoc="1" locked="0" layoutInCell="1" allowOverlap="1" wp14:anchorId="22BDDF47" wp14:editId="692B594B">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3120" behindDoc="0" locked="0" layoutInCell="1" allowOverlap="1" wp14:anchorId="3F0D7C6B" wp14:editId="036AFD7A">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42" w:rsidRDefault="000204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4"/>
  </w:num>
  <w:num w:numId="8">
    <w:abstractNumId w:val="10"/>
  </w:num>
  <w:num w:numId="9">
    <w:abstractNumId w:val="7"/>
  </w:num>
  <w:num w:numId="10">
    <w:abstractNumId w:val="8"/>
  </w:num>
  <w:num w:numId="11">
    <w:abstractNumId w:val="14"/>
  </w:num>
  <w:num w:numId="12">
    <w:abstractNumId w:val="2"/>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0442"/>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1F0B"/>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21B"/>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3AF5"/>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C0AC1"/>
    <w:rsid w:val="003C3C72"/>
    <w:rsid w:val="003C4A93"/>
    <w:rsid w:val="003C63BE"/>
    <w:rsid w:val="003C6B55"/>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4B6E"/>
    <w:rsid w:val="004C5691"/>
    <w:rsid w:val="004C57A9"/>
    <w:rsid w:val="004D21E3"/>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49BE"/>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4969"/>
    <w:rsid w:val="00964A87"/>
    <w:rsid w:val="00965794"/>
    <w:rsid w:val="00965870"/>
    <w:rsid w:val="00966EAF"/>
    <w:rsid w:val="00970BC4"/>
    <w:rsid w:val="00973D8D"/>
    <w:rsid w:val="009752F6"/>
    <w:rsid w:val="009758DB"/>
    <w:rsid w:val="009768B5"/>
    <w:rsid w:val="0097768E"/>
    <w:rsid w:val="00980157"/>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148AF"/>
    <w:rsid w:val="00A21B13"/>
    <w:rsid w:val="00A2508C"/>
    <w:rsid w:val="00A2572E"/>
    <w:rsid w:val="00A25FC0"/>
    <w:rsid w:val="00A262B6"/>
    <w:rsid w:val="00A26D41"/>
    <w:rsid w:val="00A27138"/>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4F0D"/>
    <w:rsid w:val="00BD5CAE"/>
    <w:rsid w:val="00BD7208"/>
    <w:rsid w:val="00BD7C52"/>
    <w:rsid w:val="00BE01B0"/>
    <w:rsid w:val="00BE08A5"/>
    <w:rsid w:val="00BE1BBE"/>
    <w:rsid w:val="00BE32C7"/>
    <w:rsid w:val="00BE379C"/>
    <w:rsid w:val="00BE4652"/>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3E0"/>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0693"/>
    <w:rsid w:val="00D511DC"/>
    <w:rsid w:val="00D5482F"/>
    <w:rsid w:val="00D54C8F"/>
    <w:rsid w:val="00D566F5"/>
    <w:rsid w:val="00D56752"/>
    <w:rsid w:val="00D56F54"/>
    <w:rsid w:val="00D5720A"/>
    <w:rsid w:val="00D62375"/>
    <w:rsid w:val="00D63A6F"/>
    <w:rsid w:val="00D6512C"/>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979F2"/>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4DA3"/>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39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EFF8-6F62-44EE-9889-DD7BE4F4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5046</TotalTime>
  <Pages>5</Pages>
  <Words>1442</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408</cp:revision>
  <cp:lastPrinted>2019-04-09T16:14:00Z</cp:lastPrinted>
  <dcterms:created xsi:type="dcterms:W3CDTF">2017-09-05T18:57:00Z</dcterms:created>
  <dcterms:modified xsi:type="dcterms:W3CDTF">2019-04-09T16:14:00Z</dcterms:modified>
</cp:coreProperties>
</file>