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0" w:type="dxa"/>
        <w:tblInd w:w="-781" w:type="dxa"/>
        <w:tblLayout w:type="fixed"/>
        <w:tblCellMar>
          <w:left w:w="70" w:type="dxa"/>
          <w:right w:w="70" w:type="dxa"/>
        </w:tblCellMar>
        <w:tblLook w:val="04A0" w:firstRow="1" w:lastRow="0" w:firstColumn="1" w:lastColumn="0" w:noHBand="0" w:noVBand="1"/>
      </w:tblPr>
      <w:tblGrid>
        <w:gridCol w:w="2355"/>
        <w:gridCol w:w="6855"/>
      </w:tblGrid>
      <w:tr w:rsidR="00906AF9" w14:paraId="639DEDFF" w14:textId="77777777" w:rsidTr="00906AF9">
        <w:tc>
          <w:tcPr>
            <w:tcW w:w="2356" w:type="dxa"/>
          </w:tcPr>
          <w:p w14:paraId="4A70B49B" w14:textId="77777777" w:rsidR="00906AF9" w:rsidRDefault="00906AF9">
            <w:pPr>
              <w:rPr>
                <w:rFonts w:ascii="Arial" w:hAnsi="Arial" w:cs="Arial"/>
                <w:b/>
                <w:sz w:val="26"/>
                <w:szCs w:val="26"/>
                <w:lang w:val="es-ES"/>
              </w:rPr>
            </w:pPr>
          </w:p>
        </w:tc>
        <w:tc>
          <w:tcPr>
            <w:tcW w:w="6859" w:type="dxa"/>
          </w:tcPr>
          <w:p w14:paraId="60CD6F14" w14:textId="77777777" w:rsidR="00906AF9" w:rsidRDefault="00906AF9">
            <w:pPr>
              <w:tabs>
                <w:tab w:val="left" w:pos="3103"/>
              </w:tabs>
              <w:ind w:left="1119" w:hanging="1119"/>
              <w:jc w:val="both"/>
              <w:rPr>
                <w:rFonts w:ascii="Arial" w:hAnsi="Arial" w:cs="Arial"/>
                <w:b/>
                <w:iCs/>
                <w:caps/>
                <w:sz w:val="26"/>
                <w:szCs w:val="26"/>
                <w:lang w:val="es-ES"/>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w:t>
            </w:r>
          </w:p>
          <w:p w14:paraId="442B4B20" w14:textId="77777777" w:rsidR="00906AF9" w:rsidRDefault="00906AF9">
            <w:pPr>
              <w:pStyle w:val="Encabezado"/>
              <w:tabs>
                <w:tab w:val="clear" w:pos="4252"/>
              </w:tabs>
              <w:spacing w:line="256" w:lineRule="auto"/>
              <w:ind w:right="51"/>
              <w:jc w:val="both"/>
              <w:rPr>
                <w:rFonts w:ascii="Arial" w:hAnsi="Arial" w:cs="Arial"/>
                <w:b/>
                <w:iCs/>
                <w:caps/>
                <w:sz w:val="26"/>
                <w:szCs w:val="26"/>
              </w:rPr>
            </w:pPr>
            <w:r>
              <w:rPr>
                <w:rFonts w:ascii="Arial" w:hAnsi="Arial" w:cs="Arial"/>
                <w:b/>
                <w:iCs/>
                <w:caps/>
                <w:sz w:val="26"/>
                <w:szCs w:val="26"/>
              </w:rPr>
              <w:t xml:space="preserve">               </w:t>
            </w:r>
          </w:p>
          <w:p w14:paraId="4BEDE3F0" w14:textId="77777777" w:rsidR="00906AF9" w:rsidRDefault="00906AF9">
            <w:pPr>
              <w:pStyle w:val="Encabezado"/>
              <w:tabs>
                <w:tab w:val="clear" w:pos="4252"/>
              </w:tabs>
              <w:spacing w:line="256" w:lineRule="auto"/>
              <w:ind w:right="51"/>
              <w:jc w:val="both"/>
              <w:rPr>
                <w:rFonts w:ascii="Arial" w:hAnsi="Arial" w:cs="Arial"/>
                <w:b/>
                <w:iCs/>
                <w:caps/>
                <w:sz w:val="26"/>
                <w:szCs w:val="26"/>
              </w:rPr>
            </w:pPr>
            <w:r>
              <w:rPr>
                <w:rFonts w:ascii="Arial" w:hAnsi="Arial" w:cs="Arial"/>
                <w:b/>
                <w:iCs/>
                <w:caps/>
                <w:sz w:val="26"/>
                <w:szCs w:val="26"/>
              </w:rPr>
              <w:t xml:space="preserve">               RECURSO DE REVISIÓN: 320/2018</w:t>
            </w:r>
          </w:p>
          <w:p w14:paraId="004E5BD0" w14:textId="77777777" w:rsidR="00906AF9" w:rsidRDefault="00906AF9">
            <w:pPr>
              <w:pStyle w:val="Encabezado"/>
              <w:tabs>
                <w:tab w:val="clear" w:pos="4252"/>
              </w:tabs>
              <w:spacing w:line="256" w:lineRule="auto"/>
              <w:ind w:right="51"/>
              <w:jc w:val="both"/>
              <w:rPr>
                <w:rFonts w:ascii="Arial" w:hAnsi="Arial" w:cs="Arial"/>
                <w:b/>
                <w:iCs/>
                <w:caps/>
                <w:sz w:val="26"/>
                <w:szCs w:val="26"/>
              </w:rPr>
            </w:pPr>
          </w:p>
          <w:p w14:paraId="5924E412" w14:textId="77777777" w:rsidR="00906AF9" w:rsidRDefault="00906AF9">
            <w:pPr>
              <w:pStyle w:val="Encabezado"/>
              <w:tabs>
                <w:tab w:val="clear" w:pos="4252"/>
              </w:tabs>
              <w:spacing w:line="256" w:lineRule="auto"/>
              <w:ind w:left="1119" w:right="51" w:hanging="1119"/>
              <w:jc w:val="both"/>
              <w:rPr>
                <w:rFonts w:ascii="Arial" w:hAnsi="Arial" w:cs="Arial"/>
                <w:b/>
                <w:iCs/>
                <w:caps/>
                <w:sz w:val="26"/>
                <w:szCs w:val="26"/>
              </w:rPr>
            </w:pPr>
            <w:r>
              <w:rPr>
                <w:rFonts w:ascii="Arial" w:hAnsi="Arial" w:cs="Arial"/>
                <w:b/>
                <w:iCs/>
                <w:caps/>
                <w:sz w:val="26"/>
                <w:szCs w:val="26"/>
              </w:rPr>
              <w:t xml:space="preserve">                EXPEDIENTE: 13/2018 DE LA PRIMERA SALA UNITARIA DE PRIMERA INSTANCIA </w:t>
            </w:r>
          </w:p>
          <w:p w14:paraId="774E7881" w14:textId="77777777" w:rsidR="00906AF9" w:rsidRDefault="00906AF9">
            <w:pPr>
              <w:pStyle w:val="Encabezado"/>
              <w:tabs>
                <w:tab w:val="clear" w:pos="4252"/>
              </w:tabs>
              <w:spacing w:line="256" w:lineRule="auto"/>
              <w:ind w:left="1119" w:right="51" w:hanging="1119"/>
              <w:jc w:val="both"/>
              <w:rPr>
                <w:rFonts w:ascii="Arial" w:hAnsi="Arial" w:cs="Arial"/>
                <w:b/>
                <w:iCs/>
                <w:caps/>
                <w:sz w:val="26"/>
                <w:szCs w:val="26"/>
              </w:rPr>
            </w:pPr>
            <w:r>
              <w:rPr>
                <w:rFonts w:ascii="Arial" w:hAnsi="Arial" w:cs="Arial"/>
                <w:b/>
                <w:iCs/>
                <w:caps/>
                <w:sz w:val="26"/>
                <w:szCs w:val="26"/>
              </w:rPr>
              <w:t xml:space="preserve">             </w:t>
            </w:r>
          </w:p>
          <w:p w14:paraId="1871DFA8" w14:textId="76C7634E" w:rsidR="00906AF9" w:rsidRDefault="00906AF9">
            <w:pPr>
              <w:pStyle w:val="Encabezado"/>
              <w:tabs>
                <w:tab w:val="clear" w:pos="4252"/>
              </w:tabs>
              <w:spacing w:line="256" w:lineRule="auto"/>
              <w:ind w:left="1119" w:right="51" w:hanging="1134"/>
              <w:jc w:val="both"/>
              <w:rPr>
                <w:rFonts w:ascii="Arial" w:hAnsi="Arial" w:cs="Arial"/>
                <w:b/>
                <w:iCs/>
                <w:caps/>
                <w:sz w:val="26"/>
                <w:szCs w:val="26"/>
              </w:rPr>
            </w:pPr>
            <w:r>
              <w:rPr>
                <w:rFonts w:ascii="Arial" w:hAnsi="Arial" w:cs="Arial"/>
                <w:b/>
                <w:iCs/>
                <w:caps/>
                <w:sz w:val="26"/>
                <w:szCs w:val="26"/>
              </w:rPr>
              <w:t xml:space="preserve">                ponente: MAGISTRADA MARÍA ELENA VILLA DE JARQUÍN </w:t>
            </w:r>
          </w:p>
        </w:tc>
      </w:tr>
      <w:tr w:rsidR="00906AF9" w14:paraId="0BE21988" w14:textId="77777777" w:rsidTr="00906AF9">
        <w:tc>
          <w:tcPr>
            <w:tcW w:w="2356" w:type="dxa"/>
          </w:tcPr>
          <w:p w14:paraId="3CC031CB" w14:textId="77777777" w:rsidR="00906AF9" w:rsidRDefault="00906AF9">
            <w:pPr>
              <w:rPr>
                <w:rFonts w:ascii="Arial" w:hAnsi="Arial" w:cs="Arial"/>
                <w:b/>
                <w:sz w:val="26"/>
                <w:szCs w:val="26"/>
                <w:lang w:val="es-ES"/>
              </w:rPr>
            </w:pPr>
          </w:p>
        </w:tc>
        <w:tc>
          <w:tcPr>
            <w:tcW w:w="6859" w:type="dxa"/>
            <w:hideMark/>
          </w:tcPr>
          <w:p w14:paraId="344310A3" w14:textId="77777777" w:rsidR="00906AF9" w:rsidRDefault="00906AF9">
            <w:pPr>
              <w:tabs>
                <w:tab w:val="left" w:pos="3103"/>
              </w:tabs>
              <w:ind w:left="2961" w:hanging="2961"/>
              <w:jc w:val="both"/>
              <w:rPr>
                <w:rFonts w:ascii="Arial" w:hAnsi="Arial" w:cs="Arial"/>
                <w:b/>
                <w:iCs/>
                <w:caps/>
                <w:sz w:val="26"/>
                <w:szCs w:val="26"/>
                <w:lang w:val="es-ES"/>
              </w:rPr>
            </w:pPr>
            <w:r>
              <w:rPr>
                <w:rFonts w:ascii="Arial" w:hAnsi="Arial" w:cs="Arial"/>
                <w:b/>
                <w:i/>
                <w:iCs/>
                <w:caps/>
                <w:sz w:val="26"/>
                <w:szCs w:val="26"/>
              </w:rPr>
              <w:t xml:space="preserve">                                   </w:t>
            </w:r>
          </w:p>
        </w:tc>
      </w:tr>
      <w:tr w:rsidR="00906AF9" w14:paraId="48FAF5B7" w14:textId="77777777" w:rsidTr="00906AF9">
        <w:tc>
          <w:tcPr>
            <w:tcW w:w="2356" w:type="dxa"/>
          </w:tcPr>
          <w:p w14:paraId="7BFA217D" w14:textId="77777777" w:rsidR="00906AF9" w:rsidRDefault="00906AF9">
            <w:pPr>
              <w:rPr>
                <w:rFonts w:ascii="Arial" w:hAnsi="Arial" w:cs="Arial"/>
                <w:b/>
                <w:sz w:val="26"/>
                <w:szCs w:val="26"/>
                <w:lang w:val="es-ES"/>
              </w:rPr>
            </w:pPr>
          </w:p>
        </w:tc>
        <w:tc>
          <w:tcPr>
            <w:tcW w:w="6859" w:type="dxa"/>
          </w:tcPr>
          <w:p w14:paraId="45E3A342" w14:textId="77777777" w:rsidR="00906AF9" w:rsidRDefault="00906AF9">
            <w:pPr>
              <w:tabs>
                <w:tab w:val="left" w:pos="3103"/>
              </w:tabs>
              <w:ind w:left="2961" w:hanging="2961"/>
              <w:jc w:val="both"/>
              <w:rPr>
                <w:rFonts w:ascii="Arial" w:hAnsi="Arial" w:cs="Arial"/>
                <w:b/>
                <w:i/>
                <w:iCs/>
                <w:caps/>
                <w:sz w:val="26"/>
                <w:szCs w:val="26"/>
                <w:lang w:val="es-ES"/>
              </w:rPr>
            </w:pPr>
          </w:p>
        </w:tc>
      </w:tr>
    </w:tbl>
    <w:p w14:paraId="5EB1460B" w14:textId="77777777" w:rsidR="00906AF9" w:rsidRDefault="00906AF9" w:rsidP="00906AF9">
      <w:pPr>
        <w:spacing w:line="360" w:lineRule="auto"/>
        <w:jc w:val="both"/>
        <w:rPr>
          <w:rFonts w:ascii="Arial" w:eastAsia="Calibri" w:hAnsi="Arial" w:cs="Arial"/>
          <w:b/>
          <w:sz w:val="26"/>
          <w:szCs w:val="26"/>
          <w:lang w:val="es-ES"/>
        </w:rPr>
      </w:pPr>
      <w:r>
        <w:rPr>
          <w:rFonts w:ascii="Arial" w:eastAsia="Calibri" w:hAnsi="Arial" w:cs="Arial"/>
          <w:b/>
          <w:sz w:val="26"/>
          <w:szCs w:val="26"/>
        </w:rPr>
        <w:t>OAXACA DE JUÁREZ, OAXACA, VEINTIOCHO DE FEBRERO DE DOS MIL DIECINUEVE.</w:t>
      </w:r>
    </w:p>
    <w:p w14:paraId="0E2E0E1E" w14:textId="4FA0C445" w:rsidR="00906AF9" w:rsidRPr="00906AF9" w:rsidRDefault="00906AF9" w:rsidP="00906AF9">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0320/2018</w:t>
      </w:r>
      <w:r>
        <w:rPr>
          <w:rFonts w:ascii="Arial" w:hAnsi="Arial" w:cs="Arial"/>
          <w:sz w:val="26"/>
          <w:szCs w:val="26"/>
        </w:rPr>
        <w:t xml:space="preserve">, que remite la Secretaría General de Acuerdos, con motivo del recurso de revisión interpuesto por </w:t>
      </w:r>
      <w:r w:rsidR="00CD6EBE">
        <w:rPr>
          <w:rFonts w:ascii="Arial" w:hAnsi="Arial" w:cs="Arial"/>
          <w:b/>
          <w:sz w:val="26"/>
          <w:szCs w:val="26"/>
        </w:rPr>
        <w:t>**********</w:t>
      </w:r>
      <w:r>
        <w:rPr>
          <w:rFonts w:ascii="Arial" w:hAnsi="Arial" w:cs="Arial"/>
          <w:sz w:val="26"/>
          <w:szCs w:val="26"/>
        </w:rPr>
        <w:t xml:space="preserve">, en contra del auto de </w:t>
      </w:r>
      <w:r>
        <w:rPr>
          <w:rFonts w:ascii="Arial" w:hAnsi="Arial" w:cs="Arial"/>
          <w:b/>
          <w:sz w:val="26"/>
          <w:szCs w:val="26"/>
        </w:rPr>
        <w:t>ocho de mayo de dos mil diecisiete</w:t>
      </w:r>
      <w:r>
        <w:rPr>
          <w:rFonts w:ascii="Arial" w:hAnsi="Arial" w:cs="Arial"/>
          <w:sz w:val="26"/>
          <w:szCs w:val="26"/>
        </w:rPr>
        <w:t xml:space="preserve"> (sic), dictado en el expediente </w:t>
      </w:r>
      <w:r>
        <w:rPr>
          <w:rFonts w:ascii="Arial" w:hAnsi="Arial" w:cs="Arial"/>
          <w:b/>
          <w:sz w:val="26"/>
          <w:szCs w:val="26"/>
        </w:rPr>
        <w:t xml:space="preserve">013/2018 </w:t>
      </w:r>
      <w:r>
        <w:rPr>
          <w:rFonts w:ascii="Arial" w:hAnsi="Arial" w:cs="Arial"/>
          <w:sz w:val="26"/>
          <w:szCs w:val="26"/>
        </w:rPr>
        <w:t xml:space="preserve">de la Primera Sala Unitaria de Primera Instancia, relativo al juicio de nulidad promovido por  el </w:t>
      </w:r>
      <w:r>
        <w:rPr>
          <w:rFonts w:ascii="Arial" w:hAnsi="Arial" w:cs="Arial"/>
          <w:b/>
          <w:sz w:val="26"/>
          <w:szCs w:val="26"/>
        </w:rPr>
        <w:t>RECURRENTE</w:t>
      </w:r>
      <w:r>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Municipio de Oaxaca de Juárez,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14:paraId="17E05CC2" w14:textId="77777777" w:rsidR="00906AF9" w:rsidRDefault="00906AF9" w:rsidP="00906AF9">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14:paraId="15533960" w14:textId="5522D008" w:rsidR="00906AF9" w:rsidRDefault="00906AF9" w:rsidP="00906AF9">
      <w:pPr>
        <w:spacing w:line="360" w:lineRule="auto"/>
        <w:ind w:firstLine="708"/>
        <w:jc w:val="both"/>
        <w:rPr>
          <w:rFonts w:ascii="Arial" w:hAnsi="Arial" w:cs="Arial"/>
          <w:b/>
          <w:sz w:val="26"/>
          <w:szCs w:val="26"/>
          <w:lang w:val="es-ES"/>
        </w:rPr>
      </w:pPr>
      <w:r>
        <w:rPr>
          <w:rFonts w:ascii="Arial" w:hAnsi="Arial" w:cs="Arial"/>
          <w:b/>
          <w:bCs/>
          <w:sz w:val="26"/>
          <w:szCs w:val="26"/>
        </w:rPr>
        <w:t xml:space="preserve">PRIMERO. </w:t>
      </w:r>
      <w:r>
        <w:rPr>
          <w:rFonts w:ascii="Arial" w:hAnsi="Arial" w:cs="Arial"/>
          <w:sz w:val="26"/>
          <w:szCs w:val="26"/>
        </w:rPr>
        <w:t xml:space="preserve">Inconforme con el auto de ocho de mayo de dos mil diecisiete (sic), dictado por la Primera Sala Unitaria de Primera Instancia, </w:t>
      </w:r>
      <w:r w:rsidR="00CD6EBE">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14:paraId="34CCC283" w14:textId="77777777" w:rsidR="00906AF9" w:rsidRDefault="00906AF9" w:rsidP="00906AF9">
      <w:pPr>
        <w:spacing w:line="360" w:lineRule="auto"/>
        <w:jc w:val="both"/>
        <w:rPr>
          <w:rFonts w:ascii="Arial" w:eastAsia="Calibri" w:hAnsi="Arial" w:cs="Arial"/>
          <w:sz w:val="26"/>
          <w:szCs w:val="26"/>
        </w:rPr>
      </w:pPr>
      <w:r>
        <w:rPr>
          <w:rFonts w:ascii="Arial" w:eastAsia="Calibri" w:hAnsi="Arial" w:cs="Arial"/>
          <w:b/>
          <w:bCs/>
          <w:sz w:val="26"/>
          <w:szCs w:val="26"/>
        </w:rPr>
        <w:tab/>
        <w:t>SEGUNDO.</w:t>
      </w:r>
      <w:r>
        <w:rPr>
          <w:rFonts w:ascii="Arial" w:eastAsia="Calibri" w:hAnsi="Arial" w:cs="Arial"/>
          <w:b/>
          <w:bCs/>
          <w:color w:val="FF0000"/>
          <w:sz w:val="26"/>
          <w:szCs w:val="26"/>
        </w:rPr>
        <w:t xml:space="preserve"> </w:t>
      </w:r>
      <w:r>
        <w:rPr>
          <w:rFonts w:ascii="Arial" w:eastAsia="Calibri" w:hAnsi="Arial" w:cs="Arial"/>
          <w:bCs/>
          <w:sz w:val="26"/>
          <w:szCs w:val="26"/>
        </w:rPr>
        <w:t xml:space="preserve">El auto </w:t>
      </w:r>
      <w:r>
        <w:rPr>
          <w:rFonts w:ascii="Arial" w:hAnsi="Arial" w:cs="Arial"/>
          <w:bCs/>
          <w:sz w:val="26"/>
          <w:szCs w:val="26"/>
        </w:rPr>
        <w:t>sujeto a revisión es lo siguiente:</w:t>
      </w:r>
    </w:p>
    <w:p w14:paraId="2E4EDCA1" w14:textId="77777777" w:rsidR="00906AF9" w:rsidRDefault="00906AF9" w:rsidP="00906AF9">
      <w:pPr>
        <w:widowControl w:val="0"/>
        <w:tabs>
          <w:tab w:val="left" w:pos="2835"/>
          <w:tab w:val="left" w:pos="7938"/>
        </w:tabs>
        <w:spacing w:before="240" w:line="360" w:lineRule="auto"/>
        <w:ind w:left="567" w:right="17"/>
        <w:jc w:val="both"/>
        <w:rPr>
          <w:rFonts w:ascii="Arial" w:eastAsia="Times New Roman" w:hAnsi="Arial" w:cs="Arial"/>
          <w:bCs/>
          <w:lang w:val="es-ES" w:eastAsia="es-ES"/>
        </w:rPr>
      </w:pPr>
      <w:r>
        <w:rPr>
          <w:rFonts w:ascii="Arial" w:eastAsia="Times New Roman" w:hAnsi="Arial" w:cs="Arial"/>
          <w:bCs/>
          <w:lang w:eastAsia="es-ES"/>
        </w:rPr>
        <w:t xml:space="preserve">“Vistas las constancias de autos, se advierte que mediante proveído de seis de marzo de dos mil dieciocho, se requirió a Enrique Moctezuma Ortiz Gutiérrez, para que dentro del plazo de tres días hábiles, manifestara si promueve juicio de nulidad ante esta autoridad, el cual le fue notificado el día doce de abril del presente año, surtiendo efectos dicha notificación el trece del mismo mes y año, así el plazo de tres días concedido transcurrió </w:t>
      </w:r>
      <w:r>
        <w:rPr>
          <w:rFonts w:ascii="Arial" w:eastAsia="Times New Roman" w:hAnsi="Arial" w:cs="Arial"/>
          <w:bCs/>
          <w:u w:val="single"/>
          <w:lang w:eastAsia="es-ES"/>
        </w:rPr>
        <w:t xml:space="preserve">del dieciséis al dieciocho de abril del actual, </w:t>
      </w:r>
      <w:r>
        <w:rPr>
          <w:rFonts w:ascii="Arial" w:eastAsia="Times New Roman" w:hAnsi="Arial" w:cs="Arial"/>
          <w:bCs/>
          <w:lang w:eastAsia="es-ES"/>
        </w:rPr>
        <w:t xml:space="preserve">sin que haya dado cumplimiento al requerimiento formulado, en consecuencia, se le hace efectivo el apercibimiento decretado en el citado auto, por lo que, con fundamento en lo dispuesto por los artículos 179 y 182 fracción II de la Ley de la materia, </w:t>
      </w:r>
      <w:r>
        <w:rPr>
          <w:rFonts w:ascii="Arial" w:eastAsia="Times New Roman" w:hAnsi="Arial" w:cs="Arial"/>
          <w:b/>
          <w:bCs/>
          <w:u w:val="single"/>
          <w:lang w:eastAsia="es-ES"/>
        </w:rPr>
        <w:t>SE DESECHA LA DEMANDA.</w:t>
      </w:r>
      <w:r>
        <w:rPr>
          <w:rFonts w:ascii="Arial" w:eastAsia="Times New Roman" w:hAnsi="Arial" w:cs="Arial"/>
          <w:bCs/>
          <w:lang w:eastAsia="es-ES"/>
        </w:rPr>
        <w:t xml:space="preserve"> En su oportunidad archívese el presente asunto como concluido. </w:t>
      </w:r>
    </w:p>
    <w:p w14:paraId="2B0C8C6F" w14:textId="176638E5" w:rsidR="00906AF9" w:rsidRPr="0056473B" w:rsidRDefault="00906AF9" w:rsidP="0056473B">
      <w:pPr>
        <w:widowControl w:val="0"/>
        <w:tabs>
          <w:tab w:val="left" w:pos="2835"/>
          <w:tab w:val="left" w:pos="7938"/>
        </w:tabs>
        <w:spacing w:before="240" w:line="360" w:lineRule="auto"/>
        <w:ind w:left="567" w:right="17"/>
        <w:jc w:val="both"/>
        <w:rPr>
          <w:rFonts w:ascii="Arial" w:eastAsia="Times New Roman" w:hAnsi="Arial" w:cs="Arial"/>
          <w:b/>
          <w:bCs/>
          <w:lang w:eastAsia="es-ES"/>
        </w:rPr>
      </w:pPr>
      <w:r>
        <w:rPr>
          <w:rFonts w:ascii="Arial" w:eastAsia="Times New Roman" w:hAnsi="Arial" w:cs="Arial"/>
          <w:bCs/>
          <w:lang w:eastAsia="es-ES"/>
        </w:rPr>
        <w:t xml:space="preserve">Conforme a lo dispuesto por los artículos 172 fracción I y 173 fracciones I de </w:t>
      </w:r>
      <w:r>
        <w:rPr>
          <w:rFonts w:ascii="Arial" w:eastAsia="Times New Roman" w:hAnsi="Arial" w:cs="Arial"/>
          <w:bCs/>
          <w:lang w:eastAsia="es-ES"/>
        </w:rPr>
        <w:lastRenderedPageBreak/>
        <w:t xml:space="preserve">la Ley de la materia, </w:t>
      </w:r>
      <w:r>
        <w:rPr>
          <w:rFonts w:ascii="Arial" w:eastAsia="Times New Roman" w:hAnsi="Arial" w:cs="Arial"/>
          <w:b/>
          <w:bCs/>
          <w:lang w:eastAsia="es-ES"/>
        </w:rPr>
        <w:t>NOTIFÍQUESE PERSONALMENTE…”</w:t>
      </w:r>
    </w:p>
    <w:p w14:paraId="1B7443A3" w14:textId="77777777" w:rsidR="00906AF9" w:rsidRDefault="00906AF9" w:rsidP="00906AF9">
      <w:pPr>
        <w:tabs>
          <w:tab w:val="left" w:pos="2460"/>
          <w:tab w:val="center" w:pos="4253"/>
        </w:tabs>
        <w:spacing w:line="360" w:lineRule="auto"/>
        <w:ind w:left="851" w:right="616"/>
        <w:jc w:val="center"/>
        <w:rPr>
          <w:rFonts w:ascii="Arial" w:hAnsi="Arial" w:cs="Arial"/>
          <w:b/>
          <w:bCs/>
          <w:sz w:val="26"/>
          <w:szCs w:val="26"/>
          <w:lang w:val="es-ES"/>
        </w:rPr>
      </w:pPr>
      <w:r>
        <w:rPr>
          <w:rFonts w:ascii="Arial" w:hAnsi="Arial" w:cs="Arial"/>
          <w:b/>
          <w:bCs/>
          <w:sz w:val="26"/>
          <w:szCs w:val="26"/>
        </w:rPr>
        <w:t>C O N S I D E R A N D O:</w:t>
      </w:r>
    </w:p>
    <w:p w14:paraId="5653785D" w14:textId="77777777" w:rsidR="00906AF9" w:rsidRDefault="00906AF9" w:rsidP="00906AF9">
      <w:pPr>
        <w:spacing w:before="240" w:line="360" w:lineRule="auto"/>
        <w:ind w:firstLine="708"/>
        <w:jc w:val="both"/>
        <w:rPr>
          <w:rFonts w:ascii="Arial" w:hAnsi="Arial" w:cs="Arial"/>
          <w:b/>
          <w:bCs/>
          <w:iCs/>
          <w:sz w:val="26"/>
          <w:szCs w:val="26"/>
        </w:rPr>
      </w:pPr>
      <w:r>
        <w:rPr>
          <w:rFonts w:ascii="Arial" w:hAnsi="Arial" w:cs="Arial"/>
          <w:b/>
          <w:bCs/>
          <w:iCs/>
          <w:sz w:val="26"/>
          <w:szCs w:val="26"/>
        </w:rPr>
        <w:t>PRIMERO. E</w:t>
      </w:r>
      <w:r>
        <w:rPr>
          <w:rFonts w:ascii="Arial" w:hAnsi="Arial" w:cs="Arial"/>
          <w:bCs/>
          <w:iCs/>
          <w:sz w:val="26"/>
          <w:szCs w:val="26"/>
        </w:rPr>
        <w:t xml:space="preserv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1, 118, 119, 120, 125, 129 y 130 fracción I de la Ley de Procedimiento y Justicia Administrativa para el Estado de Oaxaca dado que se trata de un proveído de </w:t>
      </w:r>
      <w:r>
        <w:rPr>
          <w:rFonts w:ascii="Arial" w:hAnsi="Arial" w:cs="Arial"/>
          <w:bCs/>
          <w:iCs/>
          <w:sz w:val="26"/>
          <w:szCs w:val="26"/>
        </w:rPr>
        <w:t xml:space="preserve"> ocho de mayo de dos mil diecisiete (sic), dictado por la Primera Sala Unitaria de Primera Instancia, en el expediente </w:t>
      </w:r>
      <w:r>
        <w:rPr>
          <w:rFonts w:ascii="Arial" w:hAnsi="Arial" w:cs="Arial"/>
          <w:b/>
          <w:bCs/>
          <w:iCs/>
          <w:sz w:val="26"/>
          <w:szCs w:val="26"/>
        </w:rPr>
        <w:t>013/2018.</w:t>
      </w:r>
    </w:p>
    <w:p w14:paraId="0B163328" w14:textId="6DB52CF1" w:rsidR="00906AF9" w:rsidRDefault="00906AF9" w:rsidP="00906AF9">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14:paraId="5F43ECDC" w14:textId="77777777" w:rsidR="00906AF9" w:rsidRDefault="00906AF9" w:rsidP="00906AF9">
      <w:pPr>
        <w:spacing w:line="360" w:lineRule="auto"/>
        <w:ind w:firstLine="709"/>
        <w:jc w:val="both"/>
        <w:rPr>
          <w:rFonts w:ascii="Arial" w:hAnsi="Arial" w:cs="Arial"/>
          <w:bCs/>
          <w:sz w:val="26"/>
          <w:szCs w:val="26"/>
        </w:rPr>
      </w:pPr>
      <w:r>
        <w:rPr>
          <w:rFonts w:ascii="Arial" w:hAnsi="Arial" w:cs="Arial"/>
          <w:b/>
          <w:bCs/>
          <w:sz w:val="26"/>
          <w:szCs w:val="26"/>
        </w:rPr>
        <w:t xml:space="preserve">TERCERO. </w:t>
      </w:r>
      <w:r>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4BE2ABE2" w14:textId="77777777" w:rsidR="00906AF9" w:rsidRDefault="00906AF9" w:rsidP="00906AF9">
      <w:pPr>
        <w:pStyle w:val="Sinespaciado"/>
        <w:spacing w:before="240" w:line="360" w:lineRule="auto"/>
        <w:ind w:firstLine="708"/>
        <w:jc w:val="both"/>
        <w:rPr>
          <w:rFonts w:ascii="Arial" w:hAnsi="Arial" w:cs="Arial"/>
          <w:bCs/>
          <w:color w:val="000000"/>
          <w:sz w:val="26"/>
          <w:szCs w:val="26"/>
          <w:lang w:val="es-MX"/>
        </w:rPr>
      </w:pPr>
      <w:r>
        <w:rPr>
          <w:rFonts w:ascii="Arial" w:hAnsi="Arial" w:cs="Arial"/>
          <w:b/>
          <w:bCs/>
          <w:color w:val="000000"/>
          <w:sz w:val="26"/>
          <w:szCs w:val="26"/>
          <w:lang w:val="es-MX"/>
        </w:rPr>
        <w:t xml:space="preserve">CUARTO. </w:t>
      </w:r>
      <w:r>
        <w:rPr>
          <w:rFonts w:ascii="Arial" w:hAnsi="Arial" w:cs="Arial"/>
          <w:bCs/>
          <w:color w:val="000000"/>
          <w:sz w:val="26"/>
          <w:szCs w:val="26"/>
          <w:lang w:val="es-MX"/>
        </w:rPr>
        <w:t xml:space="preserve">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w:t>
      </w:r>
      <w:r>
        <w:rPr>
          <w:rFonts w:ascii="Arial" w:hAnsi="Arial" w:cs="Arial"/>
          <w:bCs/>
          <w:color w:val="000000"/>
          <w:sz w:val="26"/>
          <w:szCs w:val="26"/>
          <w:lang w:val="es-MX"/>
        </w:rPr>
        <w:lastRenderedPageBreak/>
        <w:t>dispuesto por el artículo 236, fracción VIII, de la Ley de Procedimiento y Justicia Administrativa para el Estado.</w:t>
      </w:r>
    </w:p>
    <w:p w14:paraId="51E8CF86" w14:textId="77777777" w:rsidR="00906AF9" w:rsidRDefault="00906AF9" w:rsidP="00906AF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Esto es así, porque del análisis, a las constancias que conforman el sumario del juicio natural, las cuales hacen prueba plena, en términos del artículo 203, fracción I, de la Ley de Procedimiento y Justicia Administrativa para el Estado, por ser actuaciones judiciales, se advierte que la Primera Instancia incurrió en violaciones a las normas fundamentales que regulan el procedimiento, violación que influyó en el sentido del fallo, al dejar sin defensa a la ahora recurrente, esto es así, debido a que mediante diversos proveídos se advierte las actuaciones siguientes:</w:t>
      </w:r>
    </w:p>
    <w:p w14:paraId="6B6E1A06" w14:textId="6C894D0D" w:rsidR="00906AF9" w:rsidRDefault="00906AF9" w:rsidP="00906AF9">
      <w:pPr>
        <w:spacing w:line="360" w:lineRule="auto"/>
        <w:ind w:left="567"/>
        <w:jc w:val="both"/>
        <w:rPr>
          <w:rFonts w:ascii="Arial" w:hAnsi="Arial" w:cs="Arial"/>
          <w:sz w:val="26"/>
          <w:szCs w:val="26"/>
          <w:lang w:val="es-ES"/>
        </w:rPr>
      </w:pPr>
      <w:r>
        <w:rPr>
          <w:rFonts w:ascii="Arial" w:eastAsia="Calibri" w:hAnsi="Arial" w:cs="Arial"/>
          <w:b/>
          <w:bCs/>
          <w:color w:val="000000" w:themeColor="text1"/>
          <w:sz w:val="26"/>
          <w:szCs w:val="26"/>
        </w:rPr>
        <w:t xml:space="preserve">1.- </w:t>
      </w:r>
      <w:r>
        <w:rPr>
          <w:rFonts w:ascii="Arial" w:hAnsi="Arial" w:cs="Arial"/>
          <w:spacing w:val="-3"/>
          <w:sz w:val="26"/>
          <w:szCs w:val="26"/>
          <w:lang w:val="es-ES_tradnl"/>
        </w:rPr>
        <w:t xml:space="preserve">El </w:t>
      </w:r>
      <w:r>
        <w:rPr>
          <w:rFonts w:ascii="Arial" w:hAnsi="Arial" w:cs="Arial"/>
          <w:sz w:val="26"/>
          <w:szCs w:val="26"/>
        </w:rPr>
        <w:t xml:space="preserve">escrito de demanda recibido el uno de marzo de dos mil dieciocho en la Oficialía de Partes Común de este Tribunal, presentado por </w:t>
      </w:r>
      <w:r w:rsidR="00CD6EBE">
        <w:rPr>
          <w:rFonts w:ascii="Arial" w:hAnsi="Arial" w:cs="Arial"/>
          <w:sz w:val="26"/>
          <w:szCs w:val="26"/>
        </w:rPr>
        <w:t>**********</w:t>
      </w:r>
      <w:r>
        <w:rPr>
          <w:rFonts w:ascii="Arial" w:hAnsi="Arial" w:cs="Arial"/>
          <w:sz w:val="26"/>
          <w:szCs w:val="26"/>
        </w:rPr>
        <w:t xml:space="preserve">quedando radicada  en  la Primera Sala de Primera Instancia, bajo el número de expediente 013/2018.  </w:t>
      </w:r>
    </w:p>
    <w:p w14:paraId="79E949EB" w14:textId="77777777" w:rsidR="00906AF9" w:rsidRDefault="00906AF9" w:rsidP="00906AF9">
      <w:pPr>
        <w:spacing w:line="360" w:lineRule="auto"/>
        <w:ind w:left="567"/>
        <w:jc w:val="both"/>
        <w:rPr>
          <w:rFonts w:ascii="Arial" w:hAnsi="Arial" w:cs="Arial"/>
          <w:sz w:val="26"/>
          <w:szCs w:val="26"/>
        </w:rPr>
      </w:pPr>
      <w:r>
        <w:rPr>
          <w:rFonts w:ascii="Arial" w:hAnsi="Arial" w:cs="Arial"/>
          <w:sz w:val="26"/>
          <w:szCs w:val="26"/>
        </w:rPr>
        <w:t xml:space="preserve">2.- Por auto de fecha seis de marzo de dos mil dieciocho, previa a la admisión de demanda, se ordenó requerir al promovente en forma personal actor, para que en el plazo de tres días hábiles contados a partir día siguiente a aquel en que quede legalmente notificado, manifestara si promueve juicio de nulidad ante la sala unitaria y para el caso de que así fuera ajustara su escrito en términos del artículo 177 de la Ley de Justicia Administrativa para el Estado de Oaxaca,  en virtud de que su escrito de demanda no es claro,  con el apercibimiento que de no hacerlo así, se desecharía su demanda en términos del numeral 179 de la ley de la materia. </w:t>
      </w:r>
    </w:p>
    <w:p w14:paraId="05C5B263" w14:textId="77777777" w:rsidR="00906AF9" w:rsidRDefault="00906AF9" w:rsidP="00906AF9">
      <w:pPr>
        <w:spacing w:line="360" w:lineRule="auto"/>
        <w:ind w:left="567"/>
        <w:jc w:val="both"/>
        <w:rPr>
          <w:rFonts w:ascii="Arial" w:hAnsi="Arial" w:cs="Arial"/>
          <w:sz w:val="26"/>
          <w:szCs w:val="26"/>
        </w:rPr>
      </w:pPr>
      <w:r>
        <w:rPr>
          <w:rFonts w:ascii="Arial" w:hAnsi="Arial" w:cs="Arial"/>
          <w:sz w:val="26"/>
          <w:szCs w:val="26"/>
        </w:rPr>
        <w:t>3.- Determinación que fue notificado el doce de abril de dos mil dieciocho al actor, en términos de los artículos 172 fracción I y IV y 173 fracción I, segundo párrafo de la Ley de Justicia Administrativa para el Estado de Oaxaca.</w:t>
      </w:r>
    </w:p>
    <w:p w14:paraId="0C5936BE" w14:textId="77777777" w:rsidR="00906AF9" w:rsidRDefault="00906AF9" w:rsidP="00906AF9">
      <w:pPr>
        <w:spacing w:line="360" w:lineRule="auto"/>
        <w:ind w:left="567"/>
        <w:jc w:val="both"/>
        <w:rPr>
          <w:rFonts w:ascii="Arial" w:hAnsi="Arial" w:cs="Arial"/>
          <w:sz w:val="26"/>
          <w:szCs w:val="26"/>
        </w:rPr>
      </w:pPr>
      <w:r>
        <w:rPr>
          <w:rFonts w:ascii="Arial" w:hAnsi="Arial" w:cs="Arial"/>
          <w:sz w:val="26"/>
          <w:szCs w:val="26"/>
        </w:rPr>
        <w:t xml:space="preserve">4.-  Y  por auto ocho de mayo de dos mi diecisiete (sic),  se determinó  que el actor no había dado cabal cumplimiento al requerimiento efectuado dentro del plazo concedido para ello, haciéndosele efectivo al apercibimiento decretado el seis de marzo del año dos mil dieciocho, desechándose la demanda. </w:t>
      </w:r>
    </w:p>
    <w:p w14:paraId="5595C208" w14:textId="77777777" w:rsidR="00906AF9" w:rsidRDefault="00906AF9" w:rsidP="00906AF9">
      <w:pPr>
        <w:spacing w:before="240" w:line="360" w:lineRule="auto"/>
        <w:jc w:val="both"/>
        <w:rPr>
          <w:rFonts w:ascii="Arial" w:eastAsia="Calibri" w:hAnsi="Arial" w:cs="Arial"/>
          <w:bCs/>
          <w:color w:val="000000" w:themeColor="text1"/>
        </w:rPr>
      </w:pPr>
      <w:r>
        <w:rPr>
          <w:rFonts w:ascii="Arial" w:hAnsi="Arial" w:cs="Arial"/>
          <w:sz w:val="26"/>
          <w:szCs w:val="26"/>
        </w:rPr>
        <w:tab/>
        <w:t xml:space="preserve">Ahora, tomando en consideración que la Sala Unitaria por auto de seis de marzo de dos mil dieciocho determinó requerir al actor para </w:t>
      </w:r>
      <w:r>
        <w:rPr>
          <w:rFonts w:ascii="Arial" w:hAnsi="Arial" w:cs="Arial"/>
          <w:sz w:val="26"/>
          <w:szCs w:val="26"/>
        </w:rPr>
        <w:lastRenderedPageBreak/>
        <w:t>que ajustara su demanda en términos del numeral 177 de la Ley de Justicia Administrativa para el Estado de Oaxaca,</w:t>
      </w:r>
      <w:r>
        <w:rPr>
          <w:rFonts w:ascii="Arial" w:eastAsia="Calibri" w:hAnsi="Arial" w:cs="Arial"/>
          <w:bCs/>
          <w:color w:val="000000" w:themeColor="text1"/>
          <w:sz w:val="26"/>
          <w:szCs w:val="26"/>
        </w:rPr>
        <w:t xml:space="preserve"> de igual manera se le apercibió al actor en caso de no hacerlo así dentro del plazo concedido para ello, se desecharía su demanda en términos del numeral 179 de la ley antes citada. </w:t>
      </w:r>
    </w:p>
    <w:p w14:paraId="6D4190C9" w14:textId="77777777" w:rsidR="00906AF9" w:rsidRDefault="00906AF9" w:rsidP="00906AF9">
      <w:pPr>
        <w:spacing w:line="360" w:lineRule="auto"/>
        <w:jc w:val="both"/>
        <w:rPr>
          <w:rFonts w:ascii="Arial" w:eastAsia="Calibri" w:hAnsi="Arial" w:cs="Arial"/>
          <w:bCs/>
          <w:color w:val="000000" w:themeColor="text1"/>
          <w:sz w:val="26"/>
          <w:szCs w:val="26"/>
        </w:rPr>
      </w:pPr>
      <w:r>
        <w:rPr>
          <w:rFonts w:ascii="Arial" w:eastAsia="Calibri" w:hAnsi="Arial" w:cs="Arial"/>
          <w:bCs/>
          <w:color w:val="000000" w:themeColor="text1"/>
          <w:sz w:val="26"/>
          <w:szCs w:val="26"/>
        </w:rPr>
        <w:tab/>
        <w:t xml:space="preserve">Del contenido del numeral 177 de la Ley de Justicia Administrativa para el Estado de Oaxaca, que señala que </w:t>
      </w:r>
      <w:r>
        <w:rPr>
          <w:rFonts w:ascii="Arial" w:eastAsia="Calibri" w:hAnsi="Arial" w:cs="Arial"/>
          <w:bCs/>
          <w:color w:val="000000" w:themeColor="text1"/>
        </w:rPr>
        <w:t>“Las sentencias que emita el tribunal, deberán de contener: I. La fijación clara y precisa de los puntos controvertidos, la exposición de las razones por las que, en su caso, se haga uso de la facultad para suplir la deficiencia de la queja, así como el examen y valoración de las pruebas que se haya rendido; II. La exposición debidamente fundada y motivada de las consideraciones en que se basa la resolución, y III. Los puntos resolutivos, los que expresarán los actos o resoluciones cuya validez se reconozca o cuya nulidad se declare.”,</w:t>
      </w:r>
      <w:r>
        <w:rPr>
          <w:rFonts w:ascii="Arial" w:eastAsia="Calibri" w:hAnsi="Arial" w:cs="Arial"/>
          <w:bCs/>
          <w:color w:val="000000" w:themeColor="text1"/>
          <w:sz w:val="26"/>
          <w:szCs w:val="26"/>
        </w:rPr>
        <w:t xml:space="preserve"> y “ARTICULO 179.- </w:t>
      </w:r>
      <w:r>
        <w:rPr>
          <w:rFonts w:ascii="Arial" w:eastAsia="Calibri" w:hAnsi="Arial" w:cs="Arial"/>
          <w:bCs/>
          <w:color w:val="000000" w:themeColor="text1"/>
        </w:rPr>
        <w:t>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 se dicta para determinado efecto, está será clara al explicar dicho efecto y sus alcances materiales”</w:t>
      </w:r>
      <w:r>
        <w:rPr>
          <w:rFonts w:ascii="Arial" w:eastAsia="Calibri" w:hAnsi="Arial" w:cs="Arial"/>
          <w:bCs/>
          <w:color w:val="000000" w:themeColor="text1"/>
          <w:sz w:val="26"/>
          <w:szCs w:val="26"/>
        </w:rPr>
        <w:t xml:space="preserve">; de las cuales se advierte que no refiere de los requisitos que debe contener el escrito de demanda, como erróneamente la primera instancia lo señaló. </w:t>
      </w:r>
    </w:p>
    <w:p w14:paraId="075C4DBC" w14:textId="77777777" w:rsidR="00906AF9" w:rsidRDefault="00906AF9" w:rsidP="00906AF9">
      <w:pPr>
        <w:spacing w:before="240" w:line="360" w:lineRule="auto"/>
        <w:jc w:val="both"/>
        <w:rPr>
          <w:rFonts w:ascii="Arial" w:hAnsi="Arial" w:cs="Arial"/>
          <w:sz w:val="26"/>
          <w:szCs w:val="26"/>
          <w:lang w:val="es-ES"/>
        </w:rPr>
      </w:pPr>
      <w:r>
        <w:rPr>
          <w:rFonts w:ascii="Arial" w:eastAsia="Calibri" w:hAnsi="Arial" w:cs="Arial"/>
          <w:bCs/>
          <w:color w:val="000000" w:themeColor="text1"/>
          <w:sz w:val="26"/>
          <w:szCs w:val="26"/>
        </w:rPr>
        <w:tab/>
        <w:t xml:space="preserve">Y en virtud de que la Ley de Procedimiento y Justicia  Administrativa para el Estado de Oaxaca, </w:t>
      </w:r>
      <w:r>
        <w:rPr>
          <w:rFonts w:ascii="Arial" w:hAnsi="Arial" w:cs="Arial"/>
          <w:sz w:val="26"/>
          <w:szCs w:val="26"/>
        </w:rPr>
        <w:t xml:space="preserve">publicada en el periódico oficial Extra del 20 de octubre del 2017, mediante decreto número 702, aprobada por la LXIII Legislatura el 30 de agosto del 2017, entró en vigor al día siguiente de su publicación en el periódico oficial del Gobierno el Estado de Oaxaca,  y en la fecha de presentación del escrito de demanda  uno de marzo de dos mil dieciocho, </w:t>
      </w:r>
      <w:r>
        <w:rPr>
          <w:rFonts w:ascii="Arial" w:eastAsia="Calibri" w:hAnsi="Arial" w:cs="Arial"/>
          <w:bCs/>
          <w:color w:val="000000" w:themeColor="text1"/>
          <w:sz w:val="26"/>
          <w:szCs w:val="26"/>
        </w:rPr>
        <w:t>ya estaba en vigor la actual Ley de Procedimiento y Justicia Administrativa para el Estado de Oaxaca</w:t>
      </w:r>
      <w:r>
        <w:rPr>
          <w:rFonts w:ascii="Arial" w:eastAsia="Calibri" w:hAnsi="Arial" w:cs="Arial"/>
          <w:b/>
          <w:bCs/>
          <w:color w:val="000000" w:themeColor="text1"/>
          <w:sz w:val="26"/>
          <w:szCs w:val="26"/>
        </w:rPr>
        <w:t xml:space="preserve">, </w:t>
      </w:r>
      <w:r>
        <w:rPr>
          <w:rFonts w:ascii="Arial" w:eastAsia="Calibri" w:hAnsi="Arial" w:cs="Arial"/>
          <w:bCs/>
          <w:color w:val="000000" w:themeColor="text1"/>
          <w:sz w:val="26"/>
          <w:szCs w:val="26"/>
        </w:rPr>
        <w:t xml:space="preserve">que en su artículo </w:t>
      </w:r>
      <w:r>
        <w:rPr>
          <w:rFonts w:ascii="Arial" w:eastAsia="Calibri" w:hAnsi="Arial" w:cs="Arial"/>
          <w:b/>
          <w:bCs/>
          <w:color w:val="000000" w:themeColor="text1"/>
          <w:sz w:val="26"/>
          <w:szCs w:val="26"/>
        </w:rPr>
        <w:t>TRANSITORIO TERCERO</w:t>
      </w:r>
      <w:r>
        <w:rPr>
          <w:rFonts w:ascii="Arial" w:eastAsia="Calibri" w:hAnsi="Arial" w:cs="Arial"/>
          <w:bCs/>
          <w:color w:val="000000" w:themeColor="text1"/>
          <w:sz w:val="26"/>
          <w:szCs w:val="26"/>
        </w:rPr>
        <w:t>,  determinó “</w:t>
      </w:r>
      <w:r>
        <w:rPr>
          <w:rFonts w:ascii="Arial" w:eastAsia="Calibri" w:hAnsi="Arial" w:cs="Arial"/>
          <w:b/>
          <w:bCs/>
          <w:color w:val="000000" w:themeColor="text1"/>
          <w:sz w:val="26"/>
          <w:szCs w:val="26"/>
        </w:rPr>
        <w:t>abrogar la Ley de Justicia Administrativa para el Estado de Oaxaca aprobada mediante el DECRETO No 197, de la QUINCUAGESIMA NOVENA LEGISLATURA CONSTITUCIONAL DEL ESTADO LIBRE Y SOBERANO DE OAXACA, publicada en el Periódico Oficial del Gobierno Constitucional del Estado Libre y Soberano de Oaxaca, el treinta y uno de diciembre de dos mil cinco”</w:t>
      </w:r>
      <w:r>
        <w:rPr>
          <w:rFonts w:ascii="Arial" w:eastAsia="Calibri" w:hAnsi="Arial" w:cs="Arial"/>
          <w:bCs/>
          <w:color w:val="000000" w:themeColor="text1"/>
          <w:sz w:val="26"/>
          <w:szCs w:val="26"/>
        </w:rPr>
        <w:t>.</w:t>
      </w:r>
    </w:p>
    <w:p w14:paraId="7B1EC92F" w14:textId="77777777" w:rsidR="00906AF9" w:rsidRDefault="00906AF9" w:rsidP="00906AF9">
      <w:pPr>
        <w:spacing w:before="240" w:line="360" w:lineRule="auto"/>
        <w:jc w:val="both"/>
        <w:rPr>
          <w:rFonts w:ascii="Arial" w:hAnsi="Arial" w:cs="Arial"/>
          <w:sz w:val="26"/>
          <w:szCs w:val="26"/>
        </w:rPr>
      </w:pPr>
      <w:r>
        <w:rPr>
          <w:rFonts w:ascii="Arial" w:hAnsi="Arial" w:cs="Arial"/>
          <w:sz w:val="26"/>
          <w:szCs w:val="26"/>
        </w:rPr>
        <w:lastRenderedPageBreak/>
        <w:tab/>
        <w:t xml:space="preserve">Ahora de conformidad con el artículo 2, párrafo último, de la Constitución Política del Estado Libre y Soberano de Oaxaca, señala: </w:t>
      </w:r>
      <w:r>
        <w:rPr>
          <w:rFonts w:ascii="Arial" w:hAnsi="Arial" w:cs="Arial"/>
          <w:b/>
          <w:sz w:val="26"/>
          <w:szCs w:val="26"/>
        </w:rPr>
        <w:t>“El poder Ejecutivo y sus Representantes solo pueden hacer lo que la ley les autoriza y deben hacer, lo que la ley les ordena. Los particulares pueden hacer lo que la ley no les prohíbe y deben hacer, lo que la ley les ordena”.</w:t>
      </w:r>
    </w:p>
    <w:p w14:paraId="67191080" w14:textId="77777777" w:rsidR="00906AF9" w:rsidRDefault="00906AF9" w:rsidP="00906AF9">
      <w:pPr>
        <w:shd w:val="clear" w:color="auto" w:fill="FFFFFF"/>
        <w:spacing w:after="68"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En relación con el principio de legalidad previsto en el artículo 14 de nuestra Carta Magna, que constituye un límite externo al ejercicio de la potestad punitiva del Estado, con base en el cual la Norma Suprema impide que los Poderes Ejecutivo y Judicial -este último a través de la analogía o la mayoría de razón- configuren libremente delitos y penas, o infracciones y sanciones; es decir, el mencionado principio exige que todo acto de los órganos del Estado debe encontrarse fundado y motivado conforme a las leyes establecidas con anterioridad al hecho que se sanciona.</w:t>
      </w:r>
    </w:p>
    <w:p w14:paraId="479AE53A" w14:textId="77777777" w:rsidR="00906AF9" w:rsidRDefault="00906AF9" w:rsidP="00906AF9">
      <w:pPr>
        <w:shd w:val="clear" w:color="auto" w:fill="FFFFFF"/>
        <w:spacing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Por lo que se refiere en que determinadas materias, o ciertos desarrollos jurídicos, deben estar respaldados por la ley o simplemente que la ley es el único instrumento idóneo para regular su funcionamiento.</w:t>
      </w:r>
    </w:p>
    <w:p w14:paraId="1C58BD09" w14:textId="77777777" w:rsidR="00906AF9" w:rsidRDefault="00906AF9" w:rsidP="00906AF9">
      <w:pPr>
        <w:shd w:val="clear" w:color="auto" w:fill="FFFFFF"/>
        <w:spacing w:after="68"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Por su parte, el principio de tipicidad se manifiesta como una exigencia de predeterminación normativa clara y precisa de las conductas ilícitas y de las sanciones correspondientes. Dicho en otras palabras, el principio de tipicidad se cumple cuando consta en la norma una predeterminación inteligible de la infracción y de la sanción; supone en todo caso la presencia de una ley cierta que permita predecir con suficiente grado de precisión las conductas infractoras y las sanciones.</w:t>
      </w:r>
    </w:p>
    <w:p w14:paraId="1358C961" w14:textId="77777777" w:rsidR="00906AF9" w:rsidRDefault="00906AF9" w:rsidP="00906AF9">
      <w:pPr>
        <w:shd w:val="clear" w:color="auto" w:fill="FFFFFF"/>
        <w:spacing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 xml:space="preserve">Así, para garantizar debidamente la seguridad jurídica de los ciudadanos, no bastaría con una tipificación confusa o indeterminada que condujere a los gobernados a tener que realizar labores de interpretación, para las que no todos están preparados, y de esa manera tratar de conocer lo que les está permitido y lo que les está vedado hacer, así como la sanción a la que se harán acreedores en caso de llevar a cabo una conducta infractora. Es por ello esencial a toda formulación típica que sea lo suficientemente clara y precisa como para permitirles programar su comportamiento sin temor a verse sorprendidos por sanciones que en modo alguno pudieron prever. </w:t>
      </w:r>
    </w:p>
    <w:p w14:paraId="5032502D" w14:textId="77777777" w:rsidR="00906AF9" w:rsidRDefault="00906AF9" w:rsidP="00906AF9">
      <w:pPr>
        <w:shd w:val="clear" w:color="auto" w:fill="FFFFFF"/>
        <w:spacing w:after="40"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lastRenderedPageBreak/>
        <w:t>En este orden de ideas, el Alto Tribunal ha sustentado en la tesis jurisprudencial identificada bajo el rubro: "TIPICIDAD. EL PRINCIPIO RELATIVO, NORMALMENTE REFERIDO A LA MATERIA PENAL, ES APLICABLE A LAS INFRACCIONES Y SANCIONES ADMINISTRATIVAS." que el principio de tipicidad, normalmente referido a la materia penal, debe hacerse extensivo a las infracciones y sanciones administrativas, de modo tal que si cierta disposición administrativa establece que cierta conducta constituye una infracción, el afectado pueda conocer exactamente la sanción a la que se hará acreedor, sin que sea lícito determinar ésta ni por analogía, ni por mayoría de razón.</w:t>
      </w:r>
    </w:p>
    <w:p w14:paraId="353AA232" w14:textId="77777777" w:rsidR="00906AF9" w:rsidRDefault="00906AF9" w:rsidP="00906AF9">
      <w:pPr>
        <w:shd w:val="clear" w:color="auto" w:fill="FFFFFF"/>
        <w:spacing w:after="80"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 xml:space="preserve">Dada esta convergencia de los principios de tipicidad y exacta aplicación de la ley en el principio de legalidad, el Tribunal Pleno de la Suprema Corte de Justicia de la Nación ha inferido de la interpretación del texto constitucional, que la garantía de exacta aplicación de la ley no se circunscribe a los meros actos de aplicación, sino que abarca también a la propia ley que se aplica, la que debe quedar redactada de tal forma que los términos mediante los cuales especifique los elementos respectivos sean claros, precisos y exactos; esto es,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gobernado. </w:t>
      </w:r>
    </w:p>
    <w:p w14:paraId="256D1575" w14:textId="77777777" w:rsidR="00906AF9" w:rsidRDefault="00906AF9" w:rsidP="00906AF9">
      <w:pPr>
        <w:shd w:val="clear" w:color="auto" w:fill="FFFFFF"/>
        <w:spacing w:after="80" w:line="360" w:lineRule="auto"/>
        <w:ind w:firstLine="288"/>
        <w:jc w:val="both"/>
        <w:rPr>
          <w:rFonts w:ascii="Arial" w:eastAsia="Times New Roman" w:hAnsi="Arial" w:cs="Arial"/>
          <w:sz w:val="26"/>
          <w:szCs w:val="26"/>
          <w:lang w:eastAsia="es-MX"/>
        </w:rPr>
      </w:pPr>
      <w:r>
        <w:rPr>
          <w:rFonts w:ascii="Arial" w:eastAsia="Times New Roman" w:hAnsi="Arial" w:cs="Arial"/>
          <w:sz w:val="26"/>
          <w:szCs w:val="26"/>
          <w:lang w:eastAsia="es-MX"/>
        </w:rPr>
        <w:tab/>
        <w:t xml:space="preserve">Por tanto, la ley que carezca de tales requisitos de certeza resulta violatoria de la garantía indicada prevista en el tercer párrafo del artículo 14 de la Constitución General de la República. </w:t>
      </w:r>
    </w:p>
    <w:p w14:paraId="64DCF34E" w14:textId="77777777" w:rsidR="00906AF9" w:rsidRDefault="00906AF9" w:rsidP="00906AF9">
      <w:pPr>
        <w:spacing w:before="240" w:line="360" w:lineRule="auto"/>
        <w:jc w:val="both"/>
        <w:rPr>
          <w:rFonts w:ascii="Arial" w:hAnsi="Arial" w:cs="Arial"/>
          <w:sz w:val="26"/>
          <w:szCs w:val="26"/>
          <w:lang w:val="es-ES"/>
        </w:rPr>
      </w:pPr>
      <w:r>
        <w:rPr>
          <w:rFonts w:ascii="Arial" w:hAnsi="Arial" w:cs="Arial"/>
          <w:sz w:val="26"/>
          <w:szCs w:val="26"/>
        </w:rPr>
        <w:tab/>
        <w:t xml:space="preserve">De igual manera el principio de Seguridad Jurídica previsto por el artículo 16 constitucional, se distinguen los siguientes derechos fundamentales: </w:t>
      </w:r>
    </w:p>
    <w:p w14:paraId="0B6EF452" w14:textId="77777777" w:rsidR="00906AF9" w:rsidRPr="0056473B" w:rsidRDefault="00906AF9" w:rsidP="0056473B">
      <w:pPr>
        <w:spacing w:line="360" w:lineRule="auto"/>
        <w:ind w:left="567"/>
        <w:jc w:val="both"/>
        <w:rPr>
          <w:rFonts w:ascii="Arial" w:hAnsi="Arial" w:cs="Arial"/>
          <w:sz w:val="24"/>
          <w:szCs w:val="24"/>
        </w:rPr>
      </w:pPr>
      <w:r w:rsidRPr="0056473B">
        <w:rPr>
          <w:rFonts w:ascii="Arial" w:hAnsi="Arial" w:cs="Arial"/>
          <w:sz w:val="24"/>
          <w:szCs w:val="24"/>
        </w:rPr>
        <w:t>a) El órgano estatal del que provenga un acto que se traduzca en una molestia debe encontrarse investido con facultades expresamente consignadas en una norma legal (en sentido material) para emitirlo;</w:t>
      </w:r>
    </w:p>
    <w:p w14:paraId="3A9FA05E" w14:textId="77777777" w:rsidR="00906AF9" w:rsidRPr="0056473B" w:rsidRDefault="00906AF9" w:rsidP="0056473B">
      <w:pPr>
        <w:spacing w:line="360" w:lineRule="auto"/>
        <w:ind w:left="567"/>
        <w:jc w:val="both"/>
        <w:rPr>
          <w:rFonts w:ascii="Arial" w:hAnsi="Arial" w:cs="Arial"/>
          <w:sz w:val="24"/>
          <w:szCs w:val="24"/>
        </w:rPr>
      </w:pPr>
      <w:r w:rsidRPr="0056473B">
        <w:rPr>
          <w:rFonts w:ascii="Arial" w:hAnsi="Arial" w:cs="Arial"/>
          <w:sz w:val="24"/>
          <w:szCs w:val="24"/>
        </w:rPr>
        <w:t xml:space="preserve"> b) El acto o procedimiento por el cual se infiere una molestia, debe estar previsto, en cuanto a su sentido o alcance, por una norma legal; </w:t>
      </w:r>
      <w:r w:rsidRPr="0056473B">
        <w:rPr>
          <w:rFonts w:ascii="Arial" w:hAnsi="Arial" w:cs="Arial"/>
          <w:sz w:val="24"/>
          <w:szCs w:val="24"/>
        </w:rPr>
        <w:lastRenderedPageBreak/>
        <w:t xml:space="preserve">de aquí deriva el principio de que “los órganos o autoridades estatales sólo pueden hacer aquello que expresamente les permita la ley”; </w:t>
      </w:r>
    </w:p>
    <w:p w14:paraId="18D800EE" w14:textId="77777777" w:rsidR="00906AF9" w:rsidRPr="0056473B" w:rsidRDefault="00906AF9" w:rsidP="0056473B">
      <w:pPr>
        <w:spacing w:line="360" w:lineRule="auto"/>
        <w:ind w:left="567"/>
        <w:jc w:val="both"/>
        <w:rPr>
          <w:rFonts w:ascii="Arial" w:hAnsi="Arial" w:cs="Arial"/>
          <w:sz w:val="24"/>
          <w:szCs w:val="24"/>
        </w:rPr>
      </w:pPr>
      <w:r w:rsidRPr="0056473B">
        <w:rPr>
          <w:rFonts w:ascii="Arial" w:hAnsi="Arial" w:cs="Arial"/>
          <w:sz w:val="24"/>
          <w:szCs w:val="24"/>
        </w:rPr>
        <w:t xml:space="preserve">c) El acto que infiere la molestia debe derivar o estar ordenado en un mandamiento escrito, y </w:t>
      </w:r>
    </w:p>
    <w:p w14:paraId="31A86894" w14:textId="77777777" w:rsidR="00906AF9" w:rsidRPr="0056473B" w:rsidRDefault="00906AF9" w:rsidP="0056473B">
      <w:pPr>
        <w:spacing w:line="360" w:lineRule="auto"/>
        <w:ind w:left="567"/>
        <w:jc w:val="both"/>
        <w:rPr>
          <w:rFonts w:ascii="Arial" w:hAnsi="Arial" w:cs="Arial"/>
          <w:sz w:val="24"/>
          <w:szCs w:val="24"/>
        </w:rPr>
      </w:pPr>
      <w:r w:rsidRPr="0056473B">
        <w:rPr>
          <w:rFonts w:ascii="Arial" w:hAnsi="Arial" w:cs="Arial"/>
          <w:sz w:val="24"/>
          <w:szCs w:val="24"/>
        </w:rPr>
        <w:t xml:space="preserve">d) El mandamiento escrito en que se ordena que se infiera una molestia debe expresar los preceptos legales en que se fundamente y las causas legales que la motivan. </w:t>
      </w:r>
    </w:p>
    <w:p w14:paraId="24C0BF7F" w14:textId="4127BA9A" w:rsidR="00906AF9" w:rsidRDefault="00906AF9" w:rsidP="00906AF9">
      <w:pPr>
        <w:spacing w:before="240" w:line="360" w:lineRule="auto"/>
        <w:jc w:val="both"/>
        <w:rPr>
          <w:rFonts w:ascii="Arial" w:hAnsi="Arial" w:cs="Arial"/>
          <w:b/>
          <w:bCs/>
          <w:sz w:val="26"/>
          <w:szCs w:val="26"/>
        </w:rPr>
      </w:pPr>
      <w:r>
        <w:rPr>
          <w:rFonts w:ascii="Arial" w:hAnsi="Arial" w:cs="Arial"/>
          <w:b/>
          <w:bCs/>
          <w:sz w:val="26"/>
          <w:szCs w:val="26"/>
        </w:rPr>
        <w:tab/>
        <w:t xml:space="preserve">Con lo anterior, </w:t>
      </w:r>
      <w:r>
        <w:rPr>
          <w:rFonts w:ascii="Arial" w:hAnsi="Arial" w:cs="Arial"/>
          <w:bCs/>
          <w:sz w:val="26"/>
          <w:szCs w:val="26"/>
        </w:rPr>
        <w:t xml:space="preserve">tomando en consideración que la Ley de Procedimiento y Justicia Administrativa para el Estado de Oaxaca, ya estaba en vigor al momento de la presentación de demanda del actor </w:t>
      </w:r>
      <w:r w:rsidR="00CD6EBE">
        <w:rPr>
          <w:rFonts w:ascii="Arial" w:hAnsi="Arial" w:cs="Arial"/>
          <w:bCs/>
          <w:sz w:val="26"/>
          <w:szCs w:val="26"/>
        </w:rPr>
        <w:t>**********</w:t>
      </w:r>
      <w:r>
        <w:rPr>
          <w:rFonts w:ascii="Arial" w:hAnsi="Arial" w:cs="Arial"/>
          <w:bCs/>
          <w:sz w:val="26"/>
          <w:szCs w:val="26"/>
        </w:rPr>
        <w:t>; en</w:t>
      </w:r>
      <w:r>
        <w:rPr>
          <w:rFonts w:ascii="Arial" w:hAnsi="Arial" w:cs="Arial"/>
          <w:b/>
          <w:bCs/>
          <w:sz w:val="26"/>
          <w:szCs w:val="26"/>
        </w:rPr>
        <w:t xml:space="preserve"> </w:t>
      </w:r>
      <w:r>
        <w:rPr>
          <w:rFonts w:ascii="Arial" w:hAnsi="Arial" w:cs="Arial"/>
          <w:bCs/>
          <w:sz w:val="26"/>
          <w:szCs w:val="26"/>
        </w:rPr>
        <w:t>tales condiciones</w:t>
      </w:r>
      <w:r>
        <w:rPr>
          <w:rFonts w:ascii="Arial" w:hAnsi="Arial" w:cs="Arial"/>
          <w:b/>
          <w:bCs/>
          <w:sz w:val="26"/>
          <w:szCs w:val="26"/>
        </w:rPr>
        <w:t xml:space="preserve">, </w:t>
      </w:r>
      <w:r>
        <w:rPr>
          <w:rFonts w:ascii="Arial" w:hAnsi="Arial" w:cs="Arial"/>
          <w:sz w:val="26"/>
          <w:szCs w:val="26"/>
        </w:rPr>
        <w:t xml:space="preserve">el juicio debió tramitarse con la Ley vigente, y no con la Ley de Justicia Administrativa para el Estado de Oaxaca, en virtud de que ya estaba abrogada, </w:t>
      </w:r>
      <w:r>
        <w:rPr>
          <w:rFonts w:ascii="Arial" w:hAnsi="Arial" w:cs="Arial"/>
          <w:bCs/>
          <w:sz w:val="26"/>
          <w:szCs w:val="26"/>
        </w:rPr>
        <w:t xml:space="preserve">de donde, a fin de reparar la violación cometida, se procede </w:t>
      </w:r>
      <w:r>
        <w:rPr>
          <w:rFonts w:ascii="Arial" w:hAnsi="Arial" w:cs="Arial"/>
          <w:b/>
          <w:bCs/>
          <w:sz w:val="26"/>
          <w:szCs w:val="26"/>
        </w:rPr>
        <w:t xml:space="preserve">revocar el auto </w:t>
      </w:r>
      <w:r>
        <w:rPr>
          <w:rFonts w:ascii="Arial" w:hAnsi="Arial" w:cs="Arial"/>
          <w:sz w:val="26"/>
          <w:szCs w:val="26"/>
        </w:rPr>
        <w:t xml:space="preserve">de </w:t>
      </w:r>
      <w:r>
        <w:rPr>
          <w:rFonts w:ascii="Arial" w:hAnsi="Arial" w:cs="Arial"/>
          <w:b/>
          <w:sz w:val="26"/>
          <w:szCs w:val="26"/>
        </w:rPr>
        <w:t>ocho de mayo de dos mil diecisiete</w:t>
      </w:r>
      <w:r>
        <w:rPr>
          <w:rFonts w:ascii="Arial" w:hAnsi="Arial" w:cs="Arial"/>
          <w:sz w:val="26"/>
          <w:szCs w:val="26"/>
        </w:rPr>
        <w:t xml:space="preserve"> (sic),</w:t>
      </w:r>
      <w:r>
        <w:rPr>
          <w:rFonts w:ascii="Arial" w:hAnsi="Arial" w:cs="Arial"/>
          <w:b/>
          <w:bCs/>
          <w:sz w:val="26"/>
          <w:szCs w:val="26"/>
        </w:rPr>
        <w:t xml:space="preserve"> </w:t>
      </w:r>
      <w:r>
        <w:rPr>
          <w:rFonts w:ascii="Arial" w:hAnsi="Arial" w:cs="Arial"/>
          <w:bCs/>
          <w:sz w:val="26"/>
          <w:szCs w:val="26"/>
        </w:rPr>
        <w:t xml:space="preserve">y dejar </w:t>
      </w:r>
      <w:r>
        <w:rPr>
          <w:rFonts w:ascii="Arial" w:hAnsi="Arial" w:cs="Arial"/>
          <w:b/>
          <w:bCs/>
          <w:sz w:val="26"/>
          <w:szCs w:val="26"/>
        </w:rPr>
        <w:t>insubsistentes las actuaciones desde el auto  inicial de requerimiento de seis de marzo de dos mil dieciocho</w:t>
      </w:r>
      <w:r>
        <w:rPr>
          <w:rFonts w:ascii="Arial" w:hAnsi="Arial" w:cs="Arial"/>
          <w:bCs/>
          <w:sz w:val="26"/>
          <w:szCs w:val="26"/>
        </w:rPr>
        <w:t xml:space="preserve">, a fin de reponer el procedimiento; debiendo la sala unitaria </w:t>
      </w:r>
      <w:r>
        <w:rPr>
          <w:rFonts w:ascii="Arial" w:eastAsia="Times New Roman" w:hAnsi="Arial" w:cs="Arial"/>
          <w:sz w:val="26"/>
          <w:szCs w:val="26"/>
          <w:lang w:eastAsia="es-MX"/>
        </w:rPr>
        <w:t>sujetarse a la</w:t>
      </w:r>
      <w:r>
        <w:rPr>
          <w:rFonts w:ascii="Arial" w:eastAsia="Times New Roman" w:hAnsi="Arial" w:cs="Arial"/>
          <w:b/>
          <w:sz w:val="26"/>
          <w:szCs w:val="26"/>
          <w:lang w:eastAsia="es-MX"/>
        </w:rPr>
        <w:t xml:space="preserve"> legislación vigente</w:t>
      </w:r>
      <w:r>
        <w:rPr>
          <w:rFonts w:ascii="Arial" w:eastAsia="Times New Roman" w:hAnsi="Arial" w:cs="Arial"/>
          <w:sz w:val="26"/>
          <w:szCs w:val="26"/>
          <w:lang w:eastAsia="es-MX"/>
        </w:rPr>
        <w:t xml:space="preserve"> y</w:t>
      </w:r>
      <w:r>
        <w:rPr>
          <w:rFonts w:ascii="Arial" w:hAnsi="Arial" w:cs="Arial"/>
          <w:bCs/>
          <w:sz w:val="26"/>
          <w:szCs w:val="26"/>
        </w:rPr>
        <w:t>, posteriormente, seguir los trámites procesales hasta el dictado de la sentencia respectiva.</w:t>
      </w:r>
    </w:p>
    <w:p w14:paraId="117F3ACA" w14:textId="77777777" w:rsidR="00906AF9" w:rsidRDefault="00906AF9" w:rsidP="00906AF9">
      <w:pPr>
        <w:spacing w:line="360" w:lineRule="auto"/>
        <w:jc w:val="both"/>
        <w:rPr>
          <w:rFonts w:ascii="Arial" w:eastAsia="Calibri" w:hAnsi="Arial" w:cs="Arial"/>
          <w:sz w:val="26"/>
          <w:szCs w:val="26"/>
        </w:rPr>
      </w:pPr>
      <w:r>
        <w:rPr>
          <w:rFonts w:ascii="Arial" w:eastAsia="Calibri" w:hAnsi="Arial" w:cs="Arial"/>
          <w:sz w:val="26"/>
          <w:szCs w:val="26"/>
        </w:rPr>
        <w:tab/>
        <w:t xml:space="preserve">En consecuencia, se </w:t>
      </w:r>
      <w:r>
        <w:rPr>
          <w:rFonts w:ascii="Arial" w:eastAsia="Calibri" w:hAnsi="Arial" w:cs="Arial"/>
          <w:b/>
          <w:sz w:val="26"/>
          <w:szCs w:val="26"/>
        </w:rPr>
        <w:t xml:space="preserve">REVOCA el auto de fecha ocho de mayo de dos mil diecisiete (sic) </w:t>
      </w:r>
      <w:r>
        <w:rPr>
          <w:rFonts w:ascii="Arial" w:eastAsia="Calibri" w:hAnsi="Arial" w:cs="Arial"/>
          <w:sz w:val="26"/>
          <w:szCs w:val="26"/>
        </w:rPr>
        <w:t xml:space="preserve">sujeto a revisión y con fundamento </w:t>
      </w:r>
      <w:r>
        <w:rPr>
          <w:rFonts w:ascii="Arial" w:hAnsi="Arial" w:cs="Arial"/>
          <w:sz w:val="26"/>
          <w:szCs w:val="26"/>
        </w:rPr>
        <w:t>en los artículos 237 y 238 de la Ley de Procedimiento y Justicia Administrativa para el Estado, se</w:t>
      </w:r>
      <w:r>
        <w:rPr>
          <w:rFonts w:ascii="Arial" w:eastAsia="Calibri" w:hAnsi="Arial" w:cs="Arial"/>
          <w:sz w:val="26"/>
          <w:szCs w:val="26"/>
        </w:rPr>
        <w:t>:</w:t>
      </w:r>
    </w:p>
    <w:p w14:paraId="58FF0E14" w14:textId="77777777" w:rsidR="00906AF9" w:rsidRDefault="00906AF9" w:rsidP="00906AF9">
      <w:pPr>
        <w:tabs>
          <w:tab w:val="left" w:pos="1134"/>
        </w:tabs>
        <w:spacing w:before="240" w:line="360" w:lineRule="auto"/>
        <w:jc w:val="center"/>
        <w:rPr>
          <w:rFonts w:ascii="Arial" w:eastAsia="Calibri" w:hAnsi="Arial" w:cs="Arial"/>
          <w:b/>
          <w:sz w:val="26"/>
          <w:szCs w:val="26"/>
        </w:rPr>
      </w:pPr>
      <w:r>
        <w:rPr>
          <w:rFonts w:ascii="Arial" w:eastAsia="Calibri" w:hAnsi="Arial" w:cs="Arial"/>
          <w:b/>
          <w:sz w:val="26"/>
          <w:szCs w:val="26"/>
        </w:rPr>
        <w:t>R E S U E L V E:</w:t>
      </w:r>
    </w:p>
    <w:p w14:paraId="4BCC0608" w14:textId="77777777" w:rsidR="00906AF9" w:rsidRDefault="00906AF9" w:rsidP="00906AF9">
      <w:pPr>
        <w:spacing w:before="24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Pr>
          <w:rFonts w:ascii="Arial" w:eastAsia="Calibri" w:hAnsi="Arial" w:cs="Arial"/>
          <w:b/>
          <w:sz w:val="26"/>
          <w:szCs w:val="26"/>
        </w:rPr>
        <w:t xml:space="preserve">REVOCA el auto de ocho de mayo de dos mil diecisiete (sic) </w:t>
      </w:r>
      <w:r>
        <w:rPr>
          <w:rFonts w:ascii="Arial" w:eastAsia="Calibri" w:hAnsi="Arial" w:cs="Arial"/>
          <w:sz w:val="26"/>
          <w:szCs w:val="26"/>
        </w:rPr>
        <w:t xml:space="preserve">sujeto a revisión, como se apuntó en el </w:t>
      </w:r>
      <w:r>
        <w:rPr>
          <w:rFonts w:ascii="Arial" w:eastAsia="Calibri" w:hAnsi="Arial" w:cs="Arial"/>
          <w:sz w:val="26"/>
          <w:szCs w:val="26"/>
          <w:lang w:eastAsia="es-ES"/>
        </w:rPr>
        <w:t>considerando que antecede</w:t>
      </w:r>
      <w:r>
        <w:rPr>
          <w:rFonts w:ascii="Arial" w:eastAsia="Calibri" w:hAnsi="Arial" w:cs="Arial"/>
          <w:sz w:val="26"/>
          <w:szCs w:val="26"/>
        </w:rPr>
        <w:t xml:space="preserve">. </w:t>
      </w:r>
    </w:p>
    <w:p w14:paraId="6D1048E7" w14:textId="77777777" w:rsidR="00906AF9" w:rsidRDefault="00906AF9" w:rsidP="00906AF9">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Se ordena la reposición de procedimiento a partir del auto de requerimiento de seis de marzo de dos mil dieciocho, por las razones ya citadas en el considerando que antecede.</w:t>
      </w:r>
    </w:p>
    <w:p w14:paraId="6487312B" w14:textId="47A17877" w:rsidR="0056473B" w:rsidRPr="0056473B" w:rsidRDefault="00906AF9" w:rsidP="0056473B">
      <w:pPr>
        <w:pStyle w:val="Textoindependiente21"/>
        <w:tabs>
          <w:tab w:val="left" w:pos="-1985"/>
          <w:tab w:val="left" w:pos="7938"/>
        </w:tabs>
        <w:spacing w:before="240" w:line="360" w:lineRule="auto"/>
        <w:ind w:right="17" w:firstLine="709"/>
        <w:rPr>
          <w:rFonts w:ascii="Arial" w:eastAsia="Calibri" w:hAnsi="Arial" w:cs="Arial"/>
          <w:sz w:val="26"/>
          <w:szCs w:val="26"/>
        </w:rPr>
      </w:pPr>
      <w:r>
        <w:rPr>
          <w:rFonts w:ascii="Arial" w:hAnsi="Arial" w:cs="Arial"/>
          <w:b/>
          <w:sz w:val="26"/>
          <w:szCs w:val="26"/>
        </w:rPr>
        <w:t>TERCERO</w:t>
      </w:r>
      <w:r>
        <w:rPr>
          <w:rFonts w:ascii="Arial" w:hAnsi="Arial" w:cs="Arial"/>
          <w:sz w:val="26"/>
          <w:szCs w:val="26"/>
        </w:rPr>
        <w:t xml:space="preserve">. </w:t>
      </w:r>
      <w:r>
        <w:rPr>
          <w:rFonts w:ascii="Arial" w:hAnsi="Arial" w:cs="Arial"/>
          <w:b/>
          <w:sz w:val="26"/>
          <w:szCs w:val="26"/>
        </w:rPr>
        <w:t>NOTIFÍQUESE Y CÚMPLASE,</w:t>
      </w:r>
      <w:r>
        <w:rPr>
          <w:rFonts w:ascii="Arial" w:hAnsi="Arial" w:cs="Arial"/>
          <w:sz w:val="26"/>
          <w:szCs w:val="26"/>
        </w:rPr>
        <w:t xml:space="preserve"> con copia certificada de la presente resolución, vuelvan las constancias remitidas a la Primera Sala Unitaria de Primera Instancia, </w:t>
      </w:r>
      <w:r>
        <w:rPr>
          <w:rFonts w:ascii="Arial" w:eastAsia="Calibri" w:hAnsi="Arial" w:cs="Arial"/>
          <w:sz w:val="26"/>
          <w:szCs w:val="26"/>
        </w:rPr>
        <w:t>y en su oportunidad archívese el cuaderno de revisión como concluido.</w:t>
      </w:r>
    </w:p>
    <w:p w14:paraId="6C6EDD3F" w14:textId="77777777" w:rsidR="00906AF9" w:rsidRDefault="00906AF9" w:rsidP="00906AF9">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14:paraId="742AAF85" w14:textId="77777777" w:rsidR="00906AF9" w:rsidRDefault="00906AF9" w:rsidP="00906AF9">
      <w:pPr>
        <w:spacing w:line="360" w:lineRule="auto"/>
        <w:jc w:val="both"/>
        <w:rPr>
          <w:rFonts w:ascii="Arial" w:eastAsiaTheme="minorEastAsia" w:hAnsi="Arial" w:cs="Arial"/>
          <w:sz w:val="26"/>
          <w:szCs w:val="26"/>
          <w:lang w:eastAsia="es-MX"/>
        </w:rPr>
      </w:pPr>
    </w:p>
    <w:p w14:paraId="249C886A" w14:textId="77777777" w:rsidR="00906AF9" w:rsidRDefault="00906AF9" w:rsidP="00906AF9">
      <w:pPr>
        <w:spacing w:line="360" w:lineRule="auto"/>
        <w:jc w:val="both"/>
        <w:rPr>
          <w:rFonts w:ascii="Arial" w:eastAsiaTheme="minorEastAsia" w:hAnsi="Arial" w:cs="Arial"/>
          <w:sz w:val="26"/>
          <w:szCs w:val="26"/>
          <w:lang w:eastAsia="es-MX"/>
        </w:rPr>
      </w:pPr>
    </w:p>
    <w:p w14:paraId="3176354F" w14:textId="77777777" w:rsidR="0056473B" w:rsidRDefault="0056473B" w:rsidP="00906AF9">
      <w:pPr>
        <w:spacing w:line="360" w:lineRule="auto"/>
        <w:jc w:val="both"/>
        <w:rPr>
          <w:rFonts w:ascii="Arial" w:eastAsiaTheme="minorEastAsia" w:hAnsi="Arial" w:cs="Arial"/>
          <w:sz w:val="26"/>
          <w:szCs w:val="26"/>
          <w:lang w:eastAsia="es-MX"/>
        </w:rPr>
      </w:pPr>
    </w:p>
    <w:p w14:paraId="379E83F9" w14:textId="77777777" w:rsidR="0056473B" w:rsidRDefault="0056473B" w:rsidP="00906AF9">
      <w:pPr>
        <w:spacing w:line="360" w:lineRule="auto"/>
        <w:jc w:val="both"/>
        <w:rPr>
          <w:rFonts w:ascii="Arial" w:eastAsiaTheme="minorEastAsia" w:hAnsi="Arial" w:cs="Arial"/>
          <w:sz w:val="26"/>
          <w:szCs w:val="26"/>
          <w:lang w:eastAsia="es-MX"/>
        </w:rPr>
      </w:pPr>
    </w:p>
    <w:p w14:paraId="242A112B" w14:textId="77777777" w:rsidR="00906AF9" w:rsidRDefault="00906AF9" w:rsidP="00906AF9">
      <w:pPr>
        <w:pStyle w:val="Sinespaciado"/>
        <w:jc w:val="center"/>
        <w:rPr>
          <w:rFonts w:ascii="Arial" w:hAnsi="Arial" w:cs="Arial"/>
          <w:sz w:val="26"/>
          <w:szCs w:val="26"/>
          <w:lang w:val="es-MX"/>
        </w:rPr>
      </w:pPr>
      <w:r>
        <w:rPr>
          <w:rFonts w:ascii="Arial" w:hAnsi="Arial" w:cs="Arial"/>
          <w:sz w:val="26"/>
          <w:szCs w:val="26"/>
        </w:rPr>
        <w:t>MAGISTRADO ADRIÁN QUIROGA AVENDAÑO.</w:t>
      </w:r>
    </w:p>
    <w:p w14:paraId="7CE15D1C" w14:textId="77777777" w:rsidR="00906AF9" w:rsidRDefault="00906AF9" w:rsidP="00906AF9">
      <w:pPr>
        <w:pStyle w:val="Sinespaciado"/>
        <w:jc w:val="center"/>
        <w:rPr>
          <w:rFonts w:ascii="Arial" w:hAnsi="Arial" w:cs="Arial"/>
          <w:sz w:val="26"/>
          <w:szCs w:val="26"/>
        </w:rPr>
      </w:pPr>
      <w:r>
        <w:rPr>
          <w:rFonts w:ascii="Arial" w:hAnsi="Arial" w:cs="Arial"/>
          <w:sz w:val="26"/>
          <w:szCs w:val="26"/>
        </w:rPr>
        <w:t>PRESIDENTE</w:t>
      </w:r>
    </w:p>
    <w:p w14:paraId="6CBDE7BE" w14:textId="77777777" w:rsidR="00906AF9" w:rsidRDefault="00906AF9" w:rsidP="00906AF9">
      <w:pPr>
        <w:rPr>
          <w:rFonts w:ascii="Arial" w:eastAsia="Calibri" w:hAnsi="Arial" w:cs="Arial"/>
          <w:sz w:val="26"/>
          <w:szCs w:val="26"/>
        </w:rPr>
      </w:pPr>
    </w:p>
    <w:p w14:paraId="4C704581" w14:textId="77777777" w:rsidR="00906AF9" w:rsidRDefault="00906AF9" w:rsidP="00906AF9">
      <w:pPr>
        <w:spacing w:line="360" w:lineRule="auto"/>
        <w:rPr>
          <w:rFonts w:ascii="Arial" w:eastAsia="Calibri" w:hAnsi="Arial" w:cs="Arial"/>
          <w:b/>
          <w:sz w:val="16"/>
          <w:szCs w:val="26"/>
        </w:rPr>
      </w:pPr>
    </w:p>
    <w:p w14:paraId="1EE7E6C0" w14:textId="77777777" w:rsidR="0056473B" w:rsidRDefault="0056473B" w:rsidP="00906AF9">
      <w:pPr>
        <w:spacing w:line="360" w:lineRule="auto"/>
        <w:rPr>
          <w:rFonts w:ascii="Arial" w:eastAsia="Calibri" w:hAnsi="Arial" w:cs="Arial"/>
          <w:b/>
          <w:sz w:val="16"/>
          <w:szCs w:val="26"/>
        </w:rPr>
      </w:pPr>
    </w:p>
    <w:p w14:paraId="0A274BD8" w14:textId="77777777" w:rsidR="00906AF9" w:rsidRDefault="00906AF9" w:rsidP="00906AF9">
      <w:pPr>
        <w:spacing w:line="360" w:lineRule="auto"/>
        <w:rPr>
          <w:rFonts w:ascii="Arial" w:eastAsia="Calibri" w:hAnsi="Arial" w:cs="Arial"/>
          <w:sz w:val="26"/>
          <w:szCs w:val="26"/>
        </w:rPr>
      </w:pPr>
    </w:p>
    <w:p w14:paraId="59A5E13A" w14:textId="77777777" w:rsidR="0056473B" w:rsidRDefault="0056473B" w:rsidP="00906AF9">
      <w:pPr>
        <w:spacing w:line="360" w:lineRule="auto"/>
        <w:rPr>
          <w:rFonts w:ascii="Arial" w:eastAsia="Calibri" w:hAnsi="Arial" w:cs="Arial"/>
          <w:sz w:val="26"/>
          <w:szCs w:val="26"/>
        </w:rPr>
      </w:pPr>
    </w:p>
    <w:p w14:paraId="2095591D" w14:textId="77777777" w:rsidR="00906AF9" w:rsidRDefault="00906AF9" w:rsidP="00906AF9">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1C88777E" w14:textId="77777777" w:rsidR="00906AF9" w:rsidRDefault="00906AF9" w:rsidP="00906AF9">
      <w:pPr>
        <w:spacing w:line="360" w:lineRule="auto"/>
        <w:rPr>
          <w:rFonts w:ascii="Arial" w:eastAsia="Calibri" w:hAnsi="Arial" w:cs="Arial"/>
          <w:sz w:val="26"/>
          <w:szCs w:val="26"/>
        </w:rPr>
      </w:pPr>
    </w:p>
    <w:p w14:paraId="3A5CDAF7" w14:textId="77777777" w:rsidR="00906AF9" w:rsidRDefault="00906AF9" w:rsidP="00906AF9">
      <w:pPr>
        <w:spacing w:line="360" w:lineRule="auto"/>
        <w:rPr>
          <w:rFonts w:ascii="Arial" w:eastAsia="Calibri" w:hAnsi="Arial" w:cs="Arial"/>
          <w:sz w:val="26"/>
          <w:szCs w:val="26"/>
        </w:rPr>
      </w:pPr>
    </w:p>
    <w:p w14:paraId="5DBFA87B" w14:textId="77777777" w:rsidR="0056473B" w:rsidRDefault="0056473B" w:rsidP="00906AF9">
      <w:pPr>
        <w:spacing w:line="360" w:lineRule="auto"/>
        <w:rPr>
          <w:rFonts w:ascii="Arial" w:eastAsia="Calibri" w:hAnsi="Arial" w:cs="Arial"/>
          <w:sz w:val="26"/>
          <w:szCs w:val="26"/>
        </w:rPr>
      </w:pPr>
    </w:p>
    <w:p w14:paraId="418C1F6E" w14:textId="77777777" w:rsidR="0056473B" w:rsidRDefault="0056473B" w:rsidP="00906AF9">
      <w:pPr>
        <w:spacing w:line="360" w:lineRule="auto"/>
        <w:rPr>
          <w:rFonts w:ascii="Arial" w:eastAsia="Calibri" w:hAnsi="Arial" w:cs="Arial"/>
          <w:sz w:val="26"/>
          <w:szCs w:val="26"/>
        </w:rPr>
      </w:pPr>
    </w:p>
    <w:p w14:paraId="6788757D" w14:textId="77777777" w:rsidR="00906AF9" w:rsidRDefault="00906AF9" w:rsidP="00906AF9">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791019D8" w14:textId="77777777" w:rsidR="00906AF9" w:rsidRDefault="00906AF9" w:rsidP="00906AF9">
      <w:pPr>
        <w:spacing w:line="360" w:lineRule="auto"/>
        <w:rPr>
          <w:rFonts w:ascii="Arial" w:eastAsia="Calibri" w:hAnsi="Arial" w:cs="Arial"/>
          <w:sz w:val="26"/>
          <w:szCs w:val="26"/>
        </w:rPr>
      </w:pPr>
    </w:p>
    <w:p w14:paraId="4DD516DB" w14:textId="77777777" w:rsidR="0056473B" w:rsidRDefault="0056473B" w:rsidP="00906AF9">
      <w:pPr>
        <w:spacing w:line="360" w:lineRule="auto"/>
        <w:rPr>
          <w:rFonts w:ascii="Arial" w:eastAsia="Calibri" w:hAnsi="Arial" w:cs="Arial"/>
          <w:sz w:val="26"/>
          <w:szCs w:val="26"/>
        </w:rPr>
      </w:pPr>
    </w:p>
    <w:p w14:paraId="1394309A" w14:textId="77777777" w:rsidR="0056473B" w:rsidRDefault="0056473B" w:rsidP="00906AF9">
      <w:pPr>
        <w:spacing w:line="360" w:lineRule="auto"/>
        <w:rPr>
          <w:rFonts w:ascii="Arial" w:eastAsia="Calibri" w:hAnsi="Arial" w:cs="Arial"/>
          <w:sz w:val="26"/>
          <w:szCs w:val="26"/>
        </w:rPr>
      </w:pPr>
    </w:p>
    <w:p w14:paraId="4AD72006" w14:textId="77777777" w:rsidR="00906AF9" w:rsidRDefault="00906AF9" w:rsidP="00906AF9">
      <w:pPr>
        <w:spacing w:line="360" w:lineRule="auto"/>
        <w:rPr>
          <w:rFonts w:ascii="Arial" w:eastAsia="Calibri" w:hAnsi="Arial" w:cs="Arial"/>
          <w:sz w:val="26"/>
          <w:szCs w:val="26"/>
        </w:rPr>
      </w:pPr>
    </w:p>
    <w:p w14:paraId="39F47466" w14:textId="77777777" w:rsidR="00906AF9" w:rsidRDefault="00906AF9" w:rsidP="00906AF9">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29232410" w14:textId="77777777" w:rsidR="00906AF9" w:rsidRDefault="00906AF9" w:rsidP="00906AF9">
      <w:pPr>
        <w:spacing w:line="360" w:lineRule="auto"/>
        <w:jc w:val="center"/>
        <w:rPr>
          <w:rFonts w:ascii="Arial" w:eastAsia="Calibri" w:hAnsi="Arial" w:cs="Arial"/>
          <w:sz w:val="26"/>
          <w:szCs w:val="26"/>
        </w:rPr>
      </w:pPr>
    </w:p>
    <w:p w14:paraId="18974DD1" w14:textId="77777777" w:rsidR="0056473B" w:rsidRDefault="0056473B" w:rsidP="00906AF9">
      <w:pPr>
        <w:spacing w:line="360" w:lineRule="auto"/>
        <w:jc w:val="center"/>
        <w:rPr>
          <w:rFonts w:ascii="Arial" w:eastAsia="Calibri" w:hAnsi="Arial" w:cs="Arial"/>
          <w:sz w:val="26"/>
          <w:szCs w:val="26"/>
        </w:rPr>
      </w:pPr>
    </w:p>
    <w:p w14:paraId="7F910391" w14:textId="77777777" w:rsidR="0056473B" w:rsidRDefault="0056473B" w:rsidP="00906AF9">
      <w:pPr>
        <w:spacing w:line="360" w:lineRule="auto"/>
        <w:jc w:val="center"/>
        <w:rPr>
          <w:rFonts w:ascii="Arial" w:eastAsia="Calibri" w:hAnsi="Arial" w:cs="Arial"/>
          <w:sz w:val="26"/>
          <w:szCs w:val="26"/>
        </w:rPr>
      </w:pPr>
    </w:p>
    <w:p w14:paraId="442B3AED" w14:textId="77777777" w:rsidR="00906AF9" w:rsidRDefault="00906AF9" w:rsidP="00906AF9">
      <w:pPr>
        <w:spacing w:line="360" w:lineRule="auto"/>
        <w:jc w:val="center"/>
        <w:rPr>
          <w:rFonts w:ascii="Arial" w:eastAsia="Calibri" w:hAnsi="Arial" w:cs="Arial"/>
          <w:sz w:val="26"/>
          <w:szCs w:val="26"/>
        </w:rPr>
      </w:pPr>
    </w:p>
    <w:p w14:paraId="49806A04" w14:textId="77777777" w:rsidR="00906AF9" w:rsidRDefault="00906AF9" w:rsidP="00906AF9">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E700613" w14:textId="77777777" w:rsidR="00906AF9" w:rsidRDefault="00906AF9" w:rsidP="00906AF9">
      <w:pPr>
        <w:rPr>
          <w:rFonts w:ascii="Arial" w:eastAsia="Calibri" w:hAnsi="Arial" w:cs="Arial"/>
          <w:sz w:val="26"/>
          <w:szCs w:val="26"/>
        </w:rPr>
      </w:pPr>
    </w:p>
    <w:p w14:paraId="0AA5F2F4" w14:textId="77777777" w:rsidR="00906AF9" w:rsidRDefault="00906AF9" w:rsidP="00906AF9">
      <w:pPr>
        <w:rPr>
          <w:rFonts w:ascii="Arial" w:eastAsia="Calibri" w:hAnsi="Arial" w:cs="Arial"/>
          <w:sz w:val="26"/>
          <w:szCs w:val="26"/>
        </w:rPr>
      </w:pPr>
    </w:p>
    <w:p w14:paraId="1551E147" w14:textId="77777777" w:rsidR="0056473B" w:rsidRDefault="0056473B" w:rsidP="00906AF9">
      <w:pPr>
        <w:rPr>
          <w:rFonts w:ascii="Arial" w:eastAsia="Calibri" w:hAnsi="Arial" w:cs="Arial"/>
          <w:sz w:val="26"/>
          <w:szCs w:val="26"/>
        </w:rPr>
      </w:pPr>
    </w:p>
    <w:p w14:paraId="013C298D" w14:textId="77777777" w:rsidR="0056473B" w:rsidRDefault="0056473B" w:rsidP="00906AF9">
      <w:pPr>
        <w:rPr>
          <w:rFonts w:ascii="Arial" w:eastAsia="Calibri" w:hAnsi="Arial" w:cs="Arial"/>
          <w:sz w:val="26"/>
          <w:szCs w:val="26"/>
        </w:rPr>
      </w:pPr>
    </w:p>
    <w:p w14:paraId="7C12C802" w14:textId="77777777" w:rsidR="0056473B" w:rsidRDefault="0056473B" w:rsidP="00906AF9">
      <w:pPr>
        <w:rPr>
          <w:rFonts w:ascii="Arial" w:eastAsia="Calibri" w:hAnsi="Arial" w:cs="Arial"/>
          <w:sz w:val="26"/>
          <w:szCs w:val="26"/>
        </w:rPr>
      </w:pPr>
    </w:p>
    <w:p w14:paraId="778FE0FF" w14:textId="77777777" w:rsidR="0056473B" w:rsidRDefault="0056473B" w:rsidP="00906AF9">
      <w:pPr>
        <w:rPr>
          <w:rFonts w:ascii="Arial" w:eastAsia="Calibri" w:hAnsi="Arial" w:cs="Arial"/>
          <w:sz w:val="26"/>
          <w:szCs w:val="26"/>
        </w:rPr>
      </w:pPr>
    </w:p>
    <w:p w14:paraId="1B662B46" w14:textId="77777777" w:rsidR="00906AF9" w:rsidRDefault="00906AF9" w:rsidP="00906AF9">
      <w:pPr>
        <w:rPr>
          <w:rFonts w:ascii="Arial" w:eastAsia="Calibri" w:hAnsi="Arial" w:cs="Arial"/>
          <w:sz w:val="26"/>
          <w:szCs w:val="26"/>
        </w:rPr>
      </w:pPr>
    </w:p>
    <w:p w14:paraId="3996CB7C" w14:textId="77777777" w:rsidR="00906AF9" w:rsidRDefault="00906AF9" w:rsidP="00906AF9">
      <w:pPr>
        <w:pStyle w:val="Sinespaciado"/>
        <w:jc w:val="center"/>
        <w:rPr>
          <w:rFonts w:ascii="Arial" w:hAnsi="Arial" w:cs="Arial"/>
          <w:sz w:val="26"/>
          <w:szCs w:val="26"/>
        </w:rPr>
      </w:pPr>
      <w:r>
        <w:rPr>
          <w:rFonts w:ascii="Arial" w:hAnsi="Arial" w:cs="Arial"/>
          <w:sz w:val="26"/>
          <w:szCs w:val="26"/>
        </w:rPr>
        <w:t>LICENCIADA LETICIA GARCÍA SOTO.</w:t>
      </w:r>
    </w:p>
    <w:p w14:paraId="3F177ED5" w14:textId="65B78E25" w:rsidR="00691BFA" w:rsidRPr="0056473B" w:rsidRDefault="00906AF9" w:rsidP="0056473B">
      <w:pPr>
        <w:pStyle w:val="Sinespaciado"/>
        <w:jc w:val="center"/>
        <w:rPr>
          <w:rFonts w:ascii="Arial" w:hAnsi="Arial" w:cs="Arial"/>
          <w:sz w:val="26"/>
          <w:szCs w:val="26"/>
        </w:rPr>
      </w:pPr>
      <w:r>
        <w:rPr>
          <w:rFonts w:ascii="Arial" w:hAnsi="Arial" w:cs="Arial"/>
          <w:sz w:val="26"/>
          <w:szCs w:val="26"/>
        </w:rPr>
        <w:t>SECRETARIA GENERAL DE ACUERDOS.</w:t>
      </w:r>
    </w:p>
    <w:sectPr w:rsidR="00691BFA" w:rsidRPr="0056473B"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6FF4" w14:textId="77777777" w:rsidR="00736A7C" w:rsidRDefault="00736A7C">
      <w:r>
        <w:separator/>
      </w:r>
    </w:p>
  </w:endnote>
  <w:endnote w:type="continuationSeparator" w:id="0">
    <w:p w14:paraId="4514A801" w14:textId="77777777" w:rsidR="00736A7C" w:rsidRDefault="007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1710" w14:textId="179DCF4C" w:rsidR="00BF522C" w:rsidRDefault="00BF52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7123" w14:textId="784E1B39" w:rsidR="00BF522C" w:rsidRDefault="00BF522C">
    <w:pPr>
      <w:pStyle w:val="Piedepgina"/>
    </w:pPr>
    <w:r>
      <w:rPr>
        <w:noProof/>
        <w:lang w:eastAsia="es-MX"/>
      </w:rPr>
      <w:drawing>
        <wp:anchor distT="0" distB="0" distL="114300" distR="114300" simplePos="0" relativeHeight="251668480" behindDoc="0" locked="0" layoutInCell="1" allowOverlap="1" wp14:anchorId="1CCE76B1" wp14:editId="2A222580">
          <wp:simplePos x="0" y="0"/>
          <wp:positionH relativeFrom="column">
            <wp:posOffset>-1349248</wp:posOffset>
          </wp:positionH>
          <wp:positionV relativeFrom="paragraph">
            <wp:posOffset>-5024120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67FA" w14:textId="77777777" w:rsidR="00BF522C" w:rsidRDefault="00BF5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9831" w14:textId="77777777" w:rsidR="00736A7C" w:rsidRDefault="00736A7C">
      <w:r>
        <w:separator/>
      </w:r>
    </w:p>
  </w:footnote>
  <w:footnote w:type="continuationSeparator" w:id="0">
    <w:p w14:paraId="36CE7495" w14:textId="77777777" w:rsidR="00736A7C" w:rsidRDefault="0073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4E02CA99" w:rsidR="00E42971" w:rsidRDefault="00E42971">
        <w:pPr>
          <w:pStyle w:val="Encabezado"/>
          <w:jc w:val="center"/>
        </w:pPr>
        <w:r>
          <w:fldChar w:fldCharType="begin"/>
        </w:r>
        <w:r>
          <w:instrText>PAGE   \* MERGEFORMAT</w:instrText>
        </w:r>
        <w:r>
          <w:fldChar w:fldCharType="separate"/>
        </w:r>
        <w:r w:rsidR="00D43DFE">
          <w:rPr>
            <w:noProof/>
          </w:rPr>
          <w:t>8</w:t>
        </w:r>
        <w:r>
          <w:fldChar w:fldCharType="end"/>
        </w:r>
      </w:p>
    </w:sdtContent>
  </w:sdt>
  <w:p w14:paraId="61FAD150" w14:textId="1C266117" w:rsidR="00E42971" w:rsidRDefault="00D43DFE">
    <w:pPr>
      <w:pStyle w:val="Encabezado"/>
    </w:pPr>
    <w:bookmarkStart w:id="0" w:name="_GoBack"/>
    <w:r>
      <w:rPr>
        <w:noProof/>
        <w:lang w:eastAsia="es-MX"/>
      </w:rPr>
      <w:drawing>
        <wp:anchor distT="0" distB="0" distL="114300" distR="114300" simplePos="0" relativeHeight="251681792" behindDoc="0" locked="0" layoutInCell="1" allowOverlap="1" wp14:anchorId="6E49364E" wp14:editId="7A4E4CBE">
          <wp:simplePos x="0" y="0"/>
          <wp:positionH relativeFrom="column">
            <wp:posOffset>5643880</wp:posOffset>
          </wp:positionH>
          <wp:positionV relativeFrom="paragraph">
            <wp:posOffset>5531231</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6914C1A1" w:rsidR="00E42971" w:rsidRDefault="00E42971" w:rsidP="00D2291D">
        <w:pPr>
          <w:pStyle w:val="Encabezado"/>
          <w:jc w:val="center"/>
          <w:rPr>
            <w:noProof/>
          </w:rPr>
        </w:pPr>
        <w:r>
          <w:fldChar w:fldCharType="begin"/>
        </w:r>
        <w:r>
          <w:instrText xml:space="preserve"> PAGE   \* MERGEFORMAT </w:instrText>
        </w:r>
        <w:r>
          <w:fldChar w:fldCharType="separate"/>
        </w:r>
        <w:r w:rsidR="00D43DFE">
          <w:rPr>
            <w:noProof/>
          </w:rPr>
          <w:t>1</w:t>
        </w:r>
        <w:r>
          <w:rPr>
            <w:noProof/>
          </w:rPr>
          <w:fldChar w:fldCharType="end"/>
        </w:r>
      </w:p>
      <w:p w14:paraId="015197EB" w14:textId="1608EC6F" w:rsidR="00E42971" w:rsidRDefault="00D43DFE" w:rsidP="00D2291D">
        <w:pPr>
          <w:pStyle w:val="Encabezado"/>
          <w:jc w:val="center"/>
        </w:pPr>
      </w:p>
    </w:sdtContent>
  </w:sdt>
  <w:p w14:paraId="323DD476" w14:textId="75B74147"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1312" behindDoc="0" locked="0" layoutInCell="1" allowOverlap="1" wp14:anchorId="6C75BE9E" wp14:editId="5AA3EB81">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46976"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7BDA" w14:textId="77777777" w:rsidR="00BF522C" w:rsidRDefault="00BF52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DD318E"/>
    <w:multiLevelType w:val="hybridMultilevel"/>
    <w:tmpl w:val="702CC836"/>
    <w:lvl w:ilvl="0" w:tplc="EAE2854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4">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6"/>
  </w:num>
  <w:num w:numId="4">
    <w:abstractNumId w:val="12"/>
  </w:num>
  <w:num w:numId="5">
    <w:abstractNumId w:val="3"/>
  </w:num>
  <w:num w:numId="6">
    <w:abstractNumId w:val="18"/>
  </w:num>
  <w:num w:numId="7">
    <w:abstractNumId w:val="0"/>
  </w:num>
  <w:num w:numId="8">
    <w:abstractNumId w:val="14"/>
  </w:num>
  <w:num w:numId="9">
    <w:abstractNumId w:val="9"/>
  </w:num>
  <w:num w:numId="10">
    <w:abstractNumId w:val="6"/>
  </w:num>
  <w:num w:numId="11">
    <w:abstractNumId w:val="7"/>
  </w:num>
  <w:num w:numId="12">
    <w:abstractNumId w:val="10"/>
  </w:num>
  <w:num w:numId="13">
    <w:abstractNumId w:val="4"/>
  </w:num>
  <w:num w:numId="14">
    <w:abstractNumId w:val="15"/>
  </w:num>
  <w:num w:numId="15">
    <w:abstractNumId w:val="11"/>
  </w:num>
  <w:num w:numId="16">
    <w:abstractNumId w:val="2"/>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4FCF"/>
    <w:rsid w:val="00021E6D"/>
    <w:rsid w:val="00037EC5"/>
    <w:rsid w:val="00040557"/>
    <w:rsid w:val="00040812"/>
    <w:rsid w:val="00040C9F"/>
    <w:rsid w:val="00042043"/>
    <w:rsid w:val="00050BDC"/>
    <w:rsid w:val="0005133C"/>
    <w:rsid w:val="000515DF"/>
    <w:rsid w:val="000533D8"/>
    <w:rsid w:val="00055136"/>
    <w:rsid w:val="00055982"/>
    <w:rsid w:val="00063AEE"/>
    <w:rsid w:val="0006676C"/>
    <w:rsid w:val="0007032E"/>
    <w:rsid w:val="0007468A"/>
    <w:rsid w:val="00081B4F"/>
    <w:rsid w:val="00092B64"/>
    <w:rsid w:val="00097E70"/>
    <w:rsid w:val="000A0212"/>
    <w:rsid w:val="000A3C35"/>
    <w:rsid w:val="000B0E36"/>
    <w:rsid w:val="000B3E39"/>
    <w:rsid w:val="000B5EDF"/>
    <w:rsid w:val="000B647C"/>
    <w:rsid w:val="000C16C8"/>
    <w:rsid w:val="000D3A15"/>
    <w:rsid w:val="000D613D"/>
    <w:rsid w:val="000E3723"/>
    <w:rsid w:val="000E4F90"/>
    <w:rsid w:val="000F3866"/>
    <w:rsid w:val="0010116F"/>
    <w:rsid w:val="00114CC5"/>
    <w:rsid w:val="0012652F"/>
    <w:rsid w:val="00132D70"/>
    <w:rsid w:val="00134084"/>
    <w:rsid w:val="001346F2"/>
    <w:rsid w:val="00147F10"/>
    <w:rsid w:val="001548AE"/>
    <w:rsid w:val="00163736"/>
    <w:rsid w:val="00164900"/>
    <w:rsid w:val="00166448"/>
    <w:rsid w:val="001720D6"/>
    <w:rsid w:val="00172528"/>
    <w:rsid w:val="001830A2"/>
    <w:rsid w:val="00185992"/>
    <w:rsid w:val="00186E02"/>
    <w:rsid w:val="00194DAA"/>
    <w:rsid w:val="00195BEA"/>
    <w:rsid w:val="001B49BA"/>
    <w:rsid w:val="001B4BF9"/>
    <w:rsid w:val="001C362A"/>
    <w:rsid w:val="001C49AF"/>
    <w:rsid w:val="001C7781"/>
    <w:rsid w:val="001D09E2"/>
    <w:rsid w:val="001D1CC8"/>
    <w:rsid w:val="001E1D05"/>
    <w:rsid w:val="001E5ED9"/>
    <w:rsid w:val="001F2610"/>
    <w:rsid w:val="001F5246"/>
    <w:rsid w:val="00201B85"/>
    <w:rsid w:val="0021190F"/>
    <w:rsid w:val="002226C7"/>
    <w:rsid w:val="00240FFF"/>
    <w:rsid w:val="00243890"/>
    <w:rsid w:val="002451B0"/>
    <w:rsid w:val="002452C9"/>
    <w:rsid w:val="00247748"/>
    <w:rsid w:val="00261F8C"/>
    <w:rsid w:val="00263F98"/>
    <w:rsid w:val="0026442C"/>
    <w:rsid w:val="00270FA6"/>
    <w:rsid w:val="00272D8A"/>
    <w:rsid w:val="00276C24"/>
    <w:rsid w:val="00276E2E"/>
    <w:rsid w:val="002813BE"/>
    <w:rsid w:val="002A0206"/>
    <w:rsid w:val="002A0B0E"/>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26E17"/>
    <w:rsid w:val="00335242"/>
    <w:rsid w:val="00341DB1"/>
    <w:rsid w:val="00353473"/>
    <w:rsid w:val="00360086"/>
    <w:rsid w:val="00376A08"/>
    <w:rsid w:val="00393983"/>
    <w:rsid w:val="003C3698"/>
    <w:rsid w:val="003C4C76"/>
    <w:rsid w:val="003D0FD1"/>
    <w:rsid w:val="003D7D73"/>
    <w:rsid w:val="003E2A35"/>
    <w:rsid w:val="003E3369"/>
    <w:rsid w:val="003E6B2B"/>
    <w:rsid w:val="003E709B"/>
    <w:rsid w:val="003F21BE"/>
    <w:rsid w:val="003F4DA0"/>
    <w:rsid w:val="00404275"/>
    <w:rsid w:val="00404654"/>
    <w:rsid w:val="00405AF3"/>
    <w:rsid w:val="00405E65"/>
    <w:rsid w:val="00421F5B"/>
    <w:rsid w:val="004309A3"/>
    <w:rsid w:val="00433A5A"/>
    <w:rsid w:val="00434B8B"/>
    <w:rsid w:val="00436D1D"/>
    <w:rsid w:val="00436E56"/>
    <w:rsid w:val="00437131"/>
    <w:rsid w:val="00442F80"/>
    <w:rsid w:val="004447C8"/>
    <w:rsid w:val="004505CE"/>
    <w:rsid w:val="00452E9D"/>
    <w:rsid w:val="00453503"/>
    <w:rsid w:val="0046514D"/>
    <w:rsid w:val="00471568"/>
    <w:rsid w:val="004717D1"/>
    <w:rsid w:val="00471F7C"/>
    <w:rsid w:val="004816C1"/>
    <w:rsid w:val="00492852"/>
    <w:rsid w:val="0049627F"/>
    <w:rsid w:val="004A0D4D"/>
    <w:rsid w:val="004A5D49"/>
    <w:rsid w:val="004A650B"/>
    <w:rsid w:val="004C4BEF"/>
    <w:rsid w:val="004D05D6"/>
    <w:rsid w:val="004D2667"/>
    <w:rsid w:val="004D5DF9"/>
    <w:rsid w:val="004E2127"/>
    <w:rsid w:val="004F7FD5"/>
    <w:rsid w:val="00500A28"/>
    <w:rsid w:val="00502A34"/>
    <w:rsid w:val="00503C04"/>
    <w:rsid w:val="005046F5"/>
    <w:rsid w:val="005141BA"/>
    <w:rsid w:val="0051535E"/>
    <w:rsid w:val="00517757"/>
    <w:rsid w:val="00517C71"/>
    <w:rsid w:val="00534CB6"/>
    <w:rsid w:val="0054737A"/>
    <w:rsid w:val="00551C17"/>
    <w:rsid w:val="005619F2"/>
    <w:rsid w:val="005623BA"/>
    <w:rsid w:val="0056473B"/>
    <w:rsid w:val="005650C9"/>
    <w:rsid w:val="00567A36"/>
    <w:rsid w:val="0057641D"/>
    <w:rsid w:val="00581B90"/>
    <w:rsid w:val="00583516"/>
    <w:rsid w:val="0058355E"/>
    <w:rsid w:val="00583F0F"/>
    <w:rsid w:val="005A019C"/>
    <w:rsid w:val="005C1E3F"/>
    <w:rsid w:val="005C3333"/>
    <w:rsid w:val="005D1C12"/>
    <w:rsid w:val="005D2834"/>
    <w:rsid w:val="005D33DB"/>
    <w:rsid w:val="005D3F5E"/>
    <w:rsid w:val="005D6A93"/>
    <w:rsid w:val="005F434C"/>
    <w:rsid w:val="005F5963"/>
    <w:rsid w:val="005F5B5A"/>
    <w:rsid w:val="0060140C"/>
    <w:rsid w:val="00603935"/>
    <w:rsid w:val="00614FAE"/>
    <w:rsid w:val="00620F0A"/>
    <w:rsid w:val="00622DDE"/>
    <w:rsid w:val="00625196"/>
    <w:rsid w:val="00634147"/>
    <w:rsid w:val="00634435"/>
    <w:rsid w:val="00636D8D"/>
    <w:rsid w:val="006373FB"/>
    <w:rsid w:val="0064024F"/>
    <w:rsid w:val="00640FB7"/>
    <w:rsid w:val="00655CCC"/>
    <w:rsid w:val="00656F1D"/>
    <w:rsid w:val="00657201"/>
    <w:rsid w:val="0066256D"/>
    <w:rsid w:val="00662969"/>
    <w:rsid w:val="00683AC4"/>
    <w:rsid w:val="00684E14"/>
    <w:rsid w:val="006850D2"/>
    <w:rsid w:val="00685403"/>
    <w:rsid w:val="00685972"/>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512C"/>
    <w:rsid w:val="0072648B"/>
    <w:rsid w:val="007317E2"/>
    <w:rsid w:val="00736A7C"/>
    <w:rsid w:val="00741273"/>
    <w:rsid w:val="00746018"/>
    <w:rsid w:val="007557B3"/>
    <w:rsid w:val="00760D05"/>
    <w:rsid w:val="007702E9"/>
    <w:rsid w:val="007747E8"/>
    <w:rsid w:val="00775F1D"/>
    <w:rsid w:val="00776EDB"/>
    <w:rsid w:val="00782842"/>
    <w:rsid w:val="007836DE"/>
    <w:rsid w:val="00797735"/>
    <w:rsid w:val="00797F51"/>
    <w:rsid w:val="007A48EF"/>
    <w:rsid w:val="007B1F9C"/>
    <w:rsid w:val="007C2E95"/>
    <w:rsid w:val="007C4404"/>
    <w:rsid w:val="007C56D8"/>
    <w:rsid w:val="007C5DEF"/>
    <w:rsid w:val="007D295E"/>
    <w:rsid w:val="007D296F"/>
    <w:rsid w:val="007D7E00"/>
    <w:rsid w:val="007E10CB"/>
    <w:rsid w:val="007E33B1"/>
    <w:rsid w:val="007E675E"/>
    <w:rsid w:val="007F2469"/>
    <w:rsid w:val="007F2603"/>
    <w:rsid w:val="007F2E08"/>
    <w:rsid w:val="007F3346"/>
    <w:rsid w:val="007F7264"/>
    <w:rsid w:val="00800765"/>
    <w:rsid w:val="008020DD"/>
    <w:rsid w:val="00806D7E"/>
    <w:rsid w:val="0080735F"/>
    <w:rsid w:val="008132C5"/>
    <w:rsid w:val="008152EF"/>
    <w:rsid w:val="008215C6"/>
    <w:rsid w:val="008248DE"/>
    <w:rsid w:val="0082574A"/>
    <w:rsid w:val="00825AD0"/>
    <w:rsid w:val="00840483"/>
    <w:rsid w:val="008445B8"/>
    <w:rsid w:val="0084506D"/>
    <w:rsid w:val="00845EFA"/>
    <w:rsid w:val="00851821"/>
    <w:rsid w:val="00852024"/>
    <w:rsid w:val="00865C90"/>
    <w:rsid w:val="0087542B"/>
    <w:rsid w:val="008854E2"/>
    <w:rsid w:val="008861ED"/>
    <w:rsid w:val="008874EC"/>
    <w:rsid w:val="00894A24"/>
    <w:rsid w:val="008B057F"/>
    <w:rsid w:val="008B14E8"/>
    <w:rsid w:val="008B5197"/>
    <w:rsid w:val="008C0DD3"/>
    <w:rsid w:val="008C4258"/>
    <w:rsid w:val="008C6F16"/>
    <w:rsid w:val="008D6D00"/>
    <w:rsid w:val="008E1400"/>
    <w:rsid w:val="008E7491"/>
    <w:rsid w:val="008F4C05"/>
    <w:rsid w:val="008F6DE1"/>
    <w:rsid w:val="0090160E"/>
    <w:rsid w:val="00903E9B"/>
    <w:rsid w:val="00906AF9"/>
    <w:rsid w:val="00906D2A"/>
    <w:rsid w:val="00920723"/>
    <w:rsid w:val="009261DC"/>
    <w:rsid w:val="00930102"/>
    <w:rsid w:val="00935483"/>
    <w:rsid w:val="00937DF3"/>
    <w:rsid w:val="0094076A"/>
    <w:rsid w:val="00944DC3"/>
    <w:rsid w:val="009474F4"/>
    <w:rsid w:val="00950C0F"/>
    <w:rsid w:val="00950C2C"/>
    <w:rsid w:val="009512E4"/>
    <w:rsid w:val="009578DB"/>
    <w:rsid w:val="00960AEA"/>
    <w:rsid w:val="009626AC"/>
    <w:rsid w:val="00962BE0"/>
    <w:rsid w:val="00970EDB"/>
    <w:rsid w:val="009715C0"/>
    <w:rsid w:val="00973936"/>
    <w:rsid w:val="00974996"/>
    <w:rsid w:val="00976446"/>
    <w:rsid w:val="00987E4B"/>
    <w:rsid w:val="00991F13"/>
    <w:rsid w:val="00997F9D"/>
    <w:rsid w:val="009A4275"/>
    <w:rsid w:val="009B1B6B"/>
    <w:rsid w:val="009C47A0"/>
    <w:rsid w:val="009D310D"/>
    <w:rsid w:val="009D5065"/>
    <w:rsid w:val="009E0382"/>
    <w:rsid w:val="009E22A6"/>
    <w:rsid w:val="009E43BE"/>
    <w:rsid w:val="009E4460"/>
    <w:rsid w:val="009E4AA5"/>
    <w:rsid w:val="009F4C00"/>
    <w:rsid w:val="00A012FC"/>
    <w:rsid w:val="00A0247D"/>
    <w:rsid w:val="00A06591"/>
    <w:rsid w:val="00A0712D"/>
    <w:rsid w:val="00A118D3"/>
    <w:rsid w:val="00A149DB"/>
    <w:rsid w:val="00A351BA"/>
    <w:rsid w:val="00A508BD"/>
    <w:rsid w:val="00A52EA5"/>
    <w:rsid w:val="00A53BF4"/>
    <w:rsid w:val="00A554F5"/>
    <w:rsid w:val="00A57406"/>
    <w:rsid w:val="00A61271"/>
    <w:rsid w:val="00A62DCB"/>
    <w:rsid w:val="00A66965"/>
    <w:rsid w:val="00A67B19"/>
    <w:rsid w:val="00A761EF"/>
    <w:rsid w:val="00A801C2"/>
    <w:rsid w:val="00A878EC"/>
    <w:rsid w:val="00A95AF0"/>
    <w:rsid w:val="00AA54BB"/>
    <w:rsid w:val="00AA7FEC"/>
    <w:rsid w:val="00AB5612"/>
    <w:rsid w:val="00AB5776"/>
    <w:rsid w:val="00AD136D"/>
    <w:rsid w:val="00AD13B8"/>
    <w:rsid w:val="00AD1C65"/>
    <w:rsid w:val="00AD4F1A"/>
    <w:rsid w:val="00AE3A0D"/>
    <w:rsid w:val="00AE6266"/>
    <w:rsid w:val="00AE6D5F"/>
    <w:rsid w:val="00AF2C6A"/>
    <w:rsid w:val="00AF3388"/>
    <w:rsid w:val="00AF4C18"/>
    <w:rsid w:val="00B03795"/>
    <w:rsid w:val="00B06703"/>
    <w:rsid w:val="00B24E66"/>
    <w:rsid w:val="00B27EA9"/>
    <w:rsid w:val="00B37EE5"/>
    <w:rsid w:val="00B43356"/>
    <w:rsid w:val="00B45896"/>
    <w:rsid w:val="00B459B6"/>
    <w:rsid w:val="00B504F0"/>
    <w:rsid w:val="00B52EF2"/>
    <w:rsid w:val="00B5683B"/>
    <w:rsid w:val="00B7107F"/>
    <w:rsid w:val="00B739C1"/>
    <w:rsid w:val="00B7510A"/>
    <w:rsid w:val="00B9012C"/>
    <w:rsid w:val="00B902CA"/>
    <w:rsid w:val="00BA3247"/>
    <w:rsid w:val="00BA48B4"/>
    <w:rsid w:val="00BA554F"/>
    <w:rsid w:val="00BC3683"/>
    <w:rsid w:val="00BD029B"/>
    <w:rsid w:val="00BD5633"/>
    <w:rsid w:val="00BE62EB"/>
    <w:rsid w:val="00BF1B8B"/>
    <w:rsid w:val="00BF522C"/>
    <w:rsid w:val="00BF5234"/>
    <w:rsid w:val="00C007E6"/>
    <w:rsid w:val="00C04E1E"/>
    <w:rsid w:val="00C12005"/>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B0B"/>
    <w:rsid w:val="00CC1E99"/>
    <w:rsid w:val="00CC4FE0"/>
    <w:rsid w:val="00CD6EBE"/>
    <w:rsid w:val="00CE438C"/>
    <w:rsid w:val="00CE5DE0"/>
    <w:rsid w:val="00CF55A7"/>
    <w:rsid w:val="00D05C72"/>
    <w:rsid w:val="00D10593"/>
    <w:rsid w:val="00D149B5"/>
    <w:rsid w:val="00D2291D"/>
    <w:rsid w:val="00D43DFE"/>
    <w:rsid w:val="00D621AC"/>
    <w:rsid w:val="00D73FCC"/>
    <w:rsid w:val="00D755DB"/>
    <w:rsid w:val="00D80903"/>
    <w:rsid w:val="00D81032"/>
    <w:rsid w:val="00D874EF"/>
    <w:rsid w:val="00D91FC1"/>
    <w:rsid w:val="00D93191"/>
    <w:rsid w:val="00DA0278"/>
    <w:rsid w:val="00DA028D"/>
    <w:rsid w:val="00DA1814"/>
    <w:rsid w:val="00DA2871"/>
    <w:rsid w:val="00DA4508"/>
    <w:rsid w:val="00DB31F8"/>
    <w:rsid w:val="00DB6617"/>
    <w:rsid w:val="00DB6921"/>
    <w:rsid w:val="00DC30B7"/>
    <w:rsid w:val="00DD3DBF"/>
    <w:rsid w:val="00DD63D4"/>
    <w:rsid w:val="00DD6D8E"/>
    <w:rsid w:val="00DD7EA5"/>
    <w:rsid w:val="00DE2E63"/>
    <w:rsid w:val="00DE4F9D"/>
    <w:rsid w:val="00DF0F1C"/>
    <w:rsid w:val="00DF186E"/>
    <w:rsid w:val="00DF6206"/>
    <w:rsid w:val="00DF79D7"/>
    <w:rsid w:val="00E00E02"/>
    <w:rsid w:val="00E12EAB"/>
    <w:rsid w:val="00E15DC9"/>
    <w:rsid w:val="00E30131"/>
    <w:rsid w:val="00E411D2"/>
    <w:rsid w:val="00E42971"/>
    <w:rsid w:val="00E506C6"/>
    <w:rsid w:val="00E623DB"/>
    <w:rsid w:val="00E65999"/>
    <w:rsid w:val="00E7248F"/>
    <w:rsid w:val="00E7288B"/>
    <w:rsid w:val="00E76E8A"/>
    <w:rsid w:val="00E803DF"/>
    <w:rsid w:val="00E81A1F"/>
    <w:rsid w:val="00E82872"/>
    <w:rsid w:val="00E8373D"/>
    <w:rsid w:val="00EA0164"/>
    <w:rsid w:val="00EA2161"/>
    <w:rsid w:val="00EA6CCD"/>
    <w:rsid w:val="00EA6F11"/>
    <w:rsid w:val="00EA7228"/>
    <w:rsid w:val="00EB1060"/>
    <w:rsid w:val="00EC3544"/>
    <w:rsid w:val="00EC71E5"/>
    <w:rsid w:val="00ED2897"/>
    <w:rsid w:val="00ED4E6C"/>
    <w:rsid w:val="00ED5CE2"/>
    <w:rsid w:val="00ED7273"/>
    <w:rsid w:val="00EF13FF"/>
    <w:rsid w:val="00F034AB"/>
    <w:rsid w:val="00F17083"/>
    <w:rsid w:val="00F213FF"/>
    <w:rsid w:val="00F23FAE"/>
    <w:rsid w:val="00F24A0E"/>
    <w:rsid w:val="00F32F4F"/>
    <w:rsid w:val="00F411C3"/>
    <w:rsid w:val="00F43172"/>
    <w:rsid w:val="00F4362A"/>
    <w:rsid w:val="00F4657C"/>
    <w:rsid w:val="00F50AC5"/>
    <w:rsid w:val="00F514DA"/>
    <w:rsid w:val="00F53ACF"/>
    <w:rsid w:val="00F56FED"/>
    <w:rsid w:val="00F6050F"/>
    <w:rsid w:val="00F64995"/>
    <w:rsid w:val="00F732BD"/>
    <w:rsid w:val="00F81383"/>
    <w:rsid w:val="00F84393"/>
    <w:rsid w:val="00F85095"/>
    <w:rsid w:val="00F96657"/>
    <w:rsid w:val="00FA2D3D"/>
    <w:rsid w:val="00FA6D20"/>
    <w:rsid w:val="00FB5411"/>
    <w:rsid w:val="00FB57DE"/>
    <w:rsid w:val="00FB72FB"/>
    <w:rsid w:val="00FC3747"/>
    <w:rsid w:val="00FC764A"/>
    <w:rsid w:val="00FD22B3"/>
    <w:rsid w:val="00FD2DA3"/>
    <w:rsid w:val="00FD6022"/>
    <w:rsid w:val="00FE5212"/>
    <w:rsid w:val="00FE7933"/>
    <w:rsid w:val="00FF4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E01B288D-FFA6-46BF-8D49-CA4F6EB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680">
      <w:bodyDiv w:val="1"/>
      <w:marLeft w:val="0"/>
      <w:marRight w:val="0"/>
      <w:marTop w:val="0"/>
      <w:marBottom w:val="0"/>
      <w:divBdr>
        <w:top w:val="none" w:sz="0" w:space="0" w:color="auto"/>
        <w:left w:val="none" w:sz="0" w:space="0" w:color="auto"/>
        <w:bottom w:val="none" w:sz="0" w:space="0" w:color="auto"/>
        <w:right w:val="none" w:sz="0" w:space="0" w:color="auto"/>
      </w:divBdr>
    </w:div>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13823183">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9F3242A-B230-4267-ABBD-B49F5046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16</cp:revision>
  <cp:lastPrinted>2018-06-28T18:37:00Z</cp:lastPrinted>
  <dcterms:created xsi:type="dcterms:W3CDTF">2019-02-01T16:16:00Z</dcterms:created>
  <dcterms:modified xsi:type="dcterms:W3CDTF">2019-04-08T20:24:00Z</dcterms:modified>
</cp:coreProperties>
</file>