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6D514F">
        <w:rPr>
          <w:rFonts w:ascii="Arial" w:hAnsi="Arial" w:cs="Arial"/>
          <w:b/>
          <w:sz w:val="26"/>
          <w:szCs w:val="26"/>
        </w:rPr>
        <w:t>311</w:t>
      </w:r>
      <w:r w:rsidRPr="00CB6405">
        <w:rPr>
          <w:rFonts w:ascii="Arial" w:hAnsi="Arial" w:cs="Arial"/>
          <w:b/>
          <w:sz w:val="26"/>
          <w:szCs w:val="26"/>
        </w:rPr>
        <w:t>/201</w:t>
      </w:r>
      <w:r w:rsidR="003C3CE8">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6D514F">
        <w:rPr>
          <w:rFonts w:ascii="Arial" w:hAnsi="Arial" w:cs="Arial"/>
          <w:b/>
          <w:sz w:val="26"/>
          <w:szCs w:val="26"/>
        </w:rPr>
        <w:t>425</w:t>
      </w:r>
      <w:r w:rsidR="006F66FB">
        <w:rPr>
          <w:rFonts w:ascii="Arial" w:hAnsi="Arial" w:cs="Arial"/>
          <w:b/>
          <w:sz w:val="26"/>
          <w:szCs w:val="26"/>
        </w:rPr>
        <w:t>/</w:t>
      </w:r>
      <w:r w:rsidRPr="00CB6405">
        <w:rPr>
          <w:rFonts w:ascii="Arial" w:hAnsi="Arial" w:cs="Arial"/>
          <w:b/>
          <w:sz w:val="26"/>
          <w:szCs w:val="26"/>
        </w:rPr>
        <w:t>201</w:t>
      </w:r>
      <w:r w:rsidR="007D6376">
        <w:rPr>
          <w:rFonts w:ascii="Arial" w:hAnsi="Arial" w:cs="Arial"/>
          <w:b/>
          <w:sz w:val="26"/>
          <w:szCs w:val="26"/>
        </w:rPr>
        <w:t>6</w:t>
      </w:r>
      <w:r w:rsidRPr="00CB6405">
        <w:rPr>
          <w:rFonts w:ascii="Arial" w:hAnsi="Arial" w:cs="Arial"/>
          <w:b/>
          <w:sz w:val="26"/>
          <w:szCs w:val="26"/>
        </w:rPr>
        <w:t xml:space="preserve"> </w:t>
      </w:r>
      <w:r w:rsidR="006D514F">
        <w:rPr>
          <w:rFonts w:ascii="Arial" w:hAnsi="Arial" w:cs="Arial"/>
          <w:b/>
          <w:sz w:val="26"/>
          <w:szCs w:val="26"/>
        </w:rPr>
        <w:t>PRIMERA</w:t>
      </w:r>
      <w:r w:rsidR="007D6376">
        <w:rPr>
          <w:rFonts w:ascii="Arial" w:hAnsi="Arial" w:cs="Arial"/>
          <w:b/>
          <w:sz w:val="26"/>
          <w:szCs w:val="26"/>
        </w:rPr>
        <w:t xml:space="preserve"> </w:t>
      </w:r>
      <w:r w:rsidRPr="00CB6405">
        <w:rPr>
          <w:rFonts w:ascii="Arial" w:hAnsi="Arial" w:cs="Arial"/>
          <w:b/>
          <w:sz w:val="26"/>
          <w:szCs w:val="26"/>
        </w:rPr>
        <w:t>SALA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F02180" w:rsidRDefault="001D2E37" w:rsidP="00F02180">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58460C">
        <w:rPr>
          <w:rFonts w:ascii="Arial" w:hAnsi="Arial" w:cs="Arial"/>
          <w:b/>
          <w:sz w:val="26"/>
          <w:szCs w:val="26"/>
        </w:rPr>
        <w:t>SIETE</w:t>
      </w:r>
      <w:r w:rsidR="007D6376">
        <w:rPr>
          <w:rFonts w:ascii="Arial" w:hAnsi="Arial" w:cs="Arial"/>
          <w:b/>
          <w:sz w:val="26"/>
          <w:szCs w:val="26"/>
        </w:rPr>
        <w:t xml:space="preserve"> </w:t>
      </w:r>
      <w:r w:rsidR="00F02180">
        <w:rPr>
          <w:rFonts w:ascii="Arial" w:hAnsi="Arial" w:cs="Arial"/>
          <w:b/>
          <w:sz w:val="26"/>
          <w:szCs w:val="26"/>
        </w:rPr>
        <w:t xml:space="preserve">DE </w:t>
      </w:r>
      <w:r w:rsidR="0058460C">
        <w:rPr>
          <w:rFonts w:ascii="Arial" w:hAnsi="Arial" w:cs="Arial"/>
          <w:b/>
          <w:sz w:val="26"/>
          <w:szCs w:val="26"/>
        </w:rPr>
        <w:t xml:space="preserve">FEBRERO </w:t>
      </w:r>
      <w:r w:rsidR="00F02180">
        <w:rPr>
          <w:rFonts w:ascii="Arial" w:hAnsi="Arial" w:cs="Arial"/>
          <w:b/>
          <w:sz w:val="26"/>
          <w:szCs w:val="26"/>
        </w:rPr>
        <w:t>DE DOS MIL DIECI</w:t>
      </w:r>
      <w:r w:rsidR="002630BC">
        <w:rPr>
          <w:rFonts w:ascii="Arial" w:hAnsi="Arial" w:cs="Arial"/>
          <w:b/>
          <w:sz w:val="26"/>
          <w:szCs w:val="26"/>
        </w:rPr>
        <w:t>NUEVE.</w:t>
      </w:r>
    </w:p>
    <w:p w:rsidR="007D6376" w:rsidRPr="00CB6405" w:rsidRDefault="00C06661" w:rsidP="007D6376">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6D514F">
        <w:rPr>
          <w:rFonts w:ascii="Arial" w:hAnsi="Arial" w:cs="Arial"/>
          <w:b/>
          <w:sz w:val="26"/>
          <w:szCs w:val="26"/>
        </w:rPr>
        <w:t>311</w:t>
      </w:r>
      <w:r w:rsidR="003C3CE8">
        <w:rPr>
          <w:rFonts w:ascii="Arial" w:hAnsi="Arial" w:cs="Arial"/>
          <w:b/>
          <w:sz w:val="26"/>
          <w:szCs w:val="26"/>
        </w:rPr>
        <w:t>/2018</w:t>
      </w:r>
      <w:r w:rsidRPr="00CB6405">
        <w:rPr>
          <w:rFonts w:ascii="Arial" w:hAnsi="Arial" w:cs="Arial"/>
          <w:sz w:val="26"/>
          <w:szCs w:val="26"/>
        </w:rPr>
        <w:t xml:space="preserve"> que remite la Secretaría General de Acuerdos, con motivo del recurso de revisión interpuesto por </w:t>
      </w:r>
      <w:r w:rsidR="00FF4B51">
        <w:rPr>
          <w:rFonts w:ascii="Arial" w:hAnsi="Arial" w:cs="Arial"/>
          <w:b/>
          <w:sz w:val="26"/>
          <w:szCs w:val="26"/>
        </w:rPr>
        <w:t>**********</w:t>
      </w:r>
      <w:r w:rsidRPr="00CB6405">
        <w:rPr>
          <w:rFonts w:ascii="Arial" w:hAnsi="Arial" w:cs="Arial"/>
          <w:sz w:val="26"/>
          <w:szCs w:val="26"/>
        </w:rPr>
        <w:t>, en contra de</w:t>
      </w:r>
      <w:r w:rsidR="00270ACE">
        <w:rPr>
          <w:rFonts w:ascii="Arial" w:hAnsi="Arial" w:cs="Arial"/>
          <w:sz w:val="26"/>
          <w:szCs w:val="26"/>
        </w:rPr>
        <w:t xml:space="preserve"> </w:t>
      </w:r>
      <w:r w:rsidR="0026762A">
        <w:rPr>
          <w:rFonts w:ascii="Arial" w:hAnsi="Arial" w:cs="Arial"/>
          <w:sz w:val="26"/>
          <w:szCs w:val="26"/>
        </w:rPr>
        <w:t>l</w:t>
      </w:r>
      <w:r w:rsidR="00270ACE">
        <w:rPr>
          <w:rFonts w:ascii="Arial" w:hAnsi="Arial" w:cs="Arial"/>
          <w:sz w:val="26"/>
          <w:szCs w:val="26"/>
        </w:rPr>
        <w:t xml:space="preserve">a </w:t>
      </w:r>
      <w:r w:rsidR="006D514F">
        <w:rPr>
          <w:rFonts w:ascii="Arial" w:hAnsi="Arial" w:cs="Arial"/>
          <w:sz w:val="26"/>
          <w:szCs w:val="26"/>
        </w:rPr>
        <w:t xml:space="preserve">sentencia </w:t>
      </w:r>
      <w:r w:rsidR="007D6376">
        <w:rPr>
          <w:rFonts w:ascii="Arial" w:hAnsi="Arial" w:cs="Arial"/>
          <w:sz w:val="26"/>
          <w:szCs w:val="26"/>
        </w:rPr>
        <w:t>de veinti</w:t>
      </w:r>
      <w:r w:rsidR="006D514F">
        <w:rPr>
          <w:rFonts w:ascii="Arial" w:hAnsi="Arial" w:cs="Arial"/>
          <w:sz w:val="26"/>
          <w:szCs w:val="26"/>
        </w:rPr>
        <w:t>nueve</w:t>
      </w:r>
      <w:r w:rsidR="007D6376">
        <w:rPr>
          <w:rFonts w:ascii="Arial" w:hAnsi="Arial" w:cs="Arial"/>
          <w:sz w:val="26"/>
          <w:szCs w:val="26"/>
        </w:rPr>
        <w:t xml:space="preserve"> de junio </w:t>
      </w:r>
      <w:r w:rsidR="00C346BF">
        <w:rPr>
          <w:rFonts w:ascii="Arial" w:hAnsi="Arial" w:cs="Arial"/>
          <w:sz w:val="26"/>
          <w:szCs w:val="26"/>
        </w:rPr>
        <w:t>de dos mil dieci</w:t>
      </w:r>
      <w:r w:rsidR="00A10656">
        <w:rPr>
          <w:rFonts w:ascii="Arial" w:hAnsi="Arial" w:cs="Arial"/>
          <w:sz w:val="26"/>
          <w:szCs w:val="26"/>
        </w:rPr>
        <w:t>ocho</w:t>
      </w:r>
      <w:r>
        <w:rPr>
          <w:rFonts w:ascii="Arial" w:hAnsi="Arial" w:cs="Arial"/>
          <w:sz w:val="26"/>
          <w:szCs w:val="26"/>
        </w:rPr>
        <w:t>, dictad</w:t>
      </w:r>
      <w:r w:rsidR="00270ACE">
        <w:rPr>
          <w:rFonts w:ascii="Arial" w:hAnsi="Arial" w:cs="Arial"/>
          <w:sz w:val="26"/>
          <w:szCs w:val="26"/>
        </w:rPr>
        <w:t xml:space="preserve">a </w:t>
      </w:r>
      <w:r w:rsidRPr="00CB6405">
        <w:rPr>
          <w:rFonts w:ascii="Arial" w:hAnsi="Arial" w:cs="Arial"/>
          <w:sz w:val="26"/>
          <w:szCs w:val="26"/>
        </w:rPr>
        <w:t xml:space="preserve">en el expediente </w:t>
      </w:r>
      <w:r w:rsidR="006D514F">
        <w:rPr>
          <w:rFonts w:ascii="Arial" w:hAnsi="Arial" w:cs="Arial"/>
          <w:b/>
          <w:sz w:val="26"/>
          <w:szCs w:val="26"/>
        </w:rPr>
        <w:t>0425</w:t>
      </w:r>
      <w:r w:rsidRPr="00CB6405">
        <w:rPr>
          <w:rFonts w:ascii="Arial" w:hAnsi="Arial" w:cs="Arial"/>
          <w:b/>
          <w:sz w:val="26"/>
          <w:szCs w:val="26"/>
        </w:rPr>
        <w:t>/201</w:t>
      </w:r>
      <w:r w:rsidR="007D6376">
        <w:rPr>
          <w:rFonts w:ascii="Arial" w:hAnsi="Arial" w:cs="Arial"/>
          <w:b/>
          <w:sz w:val="26"/>
          <w:szCs w:val="26"/>
        </w:rPr>
        <w:t>6</w:t>
      </w:r>
      <w:r w:rsidRPr="00CB6405">
        <w:rPr>
          <w:rFonts w:ascii="Arial" w:hAnsi="Arial" w:cs="Arial"/>
          <w:sz w:val="26"/>
          <w:szCs w:val="26"/>
        </w:rPr>
        <w:t xml:space="preserve"> de la </w:t>
      </w:r>
      <w:r w:rsidR="006D514F">
        <w:rPr>
          <w:rFonts w:ascii="Arial" w:hAnsi="Arial" w:cs="Arial"/>
          <w:sz w:val="26"/>
          <w:szCs w:val="26"/>
        </w:rPr>
        <w:t xml:space="preserve">Primera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7D6376">
        <w:rPr>
          <w:rFonts w:ascii="Arial" w:hAnsi="Arial" w:cs="Arial"/>
          <w:sz w:val="26"/>
          <w:szCs w:val="26"/>
        </w:rPr>
        <w:t xml:space="preserve">el </w:t>
      </w:r>
      <w:r w:rsidR="007D6376" w:rsidRPr="007D6376">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en contra de</w:t>
      </w:r>
      <w:r w:rsidR="00270ACE">
        <w:rPr>
          <w:rFonts w:ascii="Arial" w:hAnsi="Arial" w:cs="Arial"/>
          <w:sz w:val="26"/>
          <w:szCs w:val="26"/>
        </w:rPr>
        <w:t>l</w:t>
      </w:r>
      <w:r w:rsidR="007D6376">
        <w:rPr>
          <w:rFonts w:ascii="Arial" w:hAnsi="Arial" w:cs="Arial"/>
          <w:sz w:val="26"/>
          <w:szCs w:val="26"/>
        </w:rPr>
        <w:t xml:space="preserve"> </w:t>
      </w:r>
      <w:r w:rsidR="006D514F">
        <w:rPr>
          <w:rFonts w:ascii="Arial" w:hAnsi="Arial" w:cs="Arial"/>
          <w:b/>
          <w:sz w:val="26"/>
          <w:szCs w:val="26"/>
        </w:rPr>
        <w:t>SECRETARIO DE VIALIDAD Y TRANSPORTE D</w:t>
      </w:r>
      <w:r w:rsidR="001D2E37">
        <w:rPr>
          <w:rFonts w:ascii="Arial" w:hAnsi="Arial" w:cs="Arial"/>
          <w:b/>
          <w:sz w:val="26"/>
          <w:szCs w:val="26"/>
        </w:rPr>
        <w:t>E</w:t>
      </w:r>
      <w:r w:rsidR="006D514F">
        <w:rPr>
          <w:rFonts w:ascii="Arial" w:hAnsi="Arial" w:cs="Arial"/>
          <w:b/>
          <w:sz w:val="26"/>
          <w:szCs w:val="26"/>
        </w:rPr>
        <w:t>L ESTADO DE OAXACA</w:t>
      </w:r>
      <w:r w:rsidRPr="006B3BEA">
        <w:rPr>
          <w:rFonts w:ascii="Arial" w:hAnsi="Arial" w:cs="Arial"/>
          <w:sz w:val="26"/>
          <w:szCs w:val="26"/>
        </w:rPr>
        <w:t>;</w:t>
      </w:r>
      <w:r w:rsidRPr="00CB6405">
        <w:rPr>
          <w:rFonts w:ascii="Arial" w:hAnsi="Arial" w:cs="Arial"/>
          <w:b/>
          <w:sz w:val="26"/>
          <w:szCs w:val="26"/>
        </w:rPr>
        <w:t xml:space="preserve"> </w:t>
      </w:r>
      <w:r w:rsidR="007D6376" w:rsidRPr="00CB6405">
        <w:rPr>
          <w:rFonts w:ascii="Arial" w:hAnsi="Arial" w:cs="Arial"/>
          <w:sz w:val="26"/>
          <w:szCs w:val="26"/>
        </w:rPr>
        <w:t xml:space="preserve">por lo que con fundamento en los artículos 207 y 208 de la Ley de Justicia Administrativa para el Estado de Oaxaca, </w:t>
      </w:r>
      <w:r w:rsidR="007D6376">
        <w:rPr>
          <w:rFonts w:ascii="Arial" w:hAnsi="Arial" w:cs="Arial"/>
          <w:bCs/>
          <w:iCs/>
          <w:sz w:val="26"/>
          <w:szCs w:val="26"/>
        </w:rPr>
        <w:t>vigente al inicio del juicio natural</w:t>
      </w:r>
      <w:r w:rsidR="007D6376">
        <w:rPr>
          <w:rFonts w:ascii="Arial" w:hAnsi="Arial" w:cs="Arial"/>
          <w:sz w:val="26"/>
          <w:szCs w:val="26"/>
        </w:rPr>
        <w:t xml:space="preserve">, </w:t>
      </w:r>
      <w:r w:rsidR="007D6376"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w:t>
      </w:r>
      <w:r w:rsidR="00F87E4D">
        <w:rPr>
          <w:rFonts w:ascii="Arial" w:hAnsi="Arial" w:cs="Arial"/>
          <w:sz w:val="26"/>
          <w:szCs w:val="26"/>
        </w:rPr>
        <w:t xml:space="preserve">con </w:t>
      </w:r>
      <w:r w:rsidR="00270ACE">
        <w:rPr>
          <w:rFonts w:ascii="Arial" w:hAnsi="Arial" w:cs="Arial"/>
          <w:sz w:val="26"/>
          <w:szCs w:val="26"/>
        </w:rPr>
        <w:t xml:space="preserve">la </w:t>
      </w:r>
      <w:r w:rsidR="007D6376">
        <w:rPr>
          <w:rFonts w:ascii="Arial" w:hAnsi="Arial" w:cs="Arial"/>
          <w:sz w:val="26"/>
          <w:szCs w:val="26"/>
        </w:rPr>
        <w:t>resolución de veinti</w:t>
      </w:r>
      <w:r w:rsidR="006D514F">
        <w:rPr>
          <w:rFonts w:ascii="Arial" w:hAnsi="Arial" w:cs="Arial"/>
          <w:sz w:val="26"/>
          <w:szCs w:val="26"/>
        </w:rPr>
        <w:t>nueve</w:t>
      </w:r>
      <w:r w:rsidR="007D6376">
        <w:rPr>
          <w:rFonts w:ascii="Arial" w:hAnsi="Arial" w:cs="Arial"/>
          <w:sz w:val="26"/>
          <w:szCs w:val="26"/>
        </w:rPr>
        <w:t xml:space="preserve"> </w:t>
      </w:r>
      <w:r w:rsidR="00A10656">
        <w:rPr>
          <w:rFonts w:ascii="Arial" w:hAnsi="Arial" w:cs="Arial"/>
          <w:sz w:val="26"/>
          <w:szCs w:val="26"/>
        </w:rPr>
        <w:t xml:space="preserve">de </w:t>
      </w:r>
      <w:r w:rsidR="007D6376">
        <w:rPr>
          <w:rFonts w:ascii="Arial" w:hAnsi="Arial" w:cs="Arial"/>
          <w:sz w:val="26"/>
          <w:szCs w:val="26"/>
        </w:rPr>
        <w:t xml:space="preserve">junio </w:t>
      </w:r>
      <w:r w:rsidR="00A10656">
        <w:rPr>
          <w:rFonts w:ascii="Arial" w:hAnsi="Arial" w:cs="Arial"/>
          <w:sz w:val="26"/>
          <w:szCs w:val="26"/>
        </w:rPr>
        <w:t>de dos mil dieciocho</w:t>
      </w:r>
      <w:r w:rsidRPr="00CB6405">
        <w:rPr>
          <w:rFonts w:ascii="Arial" w:hAnsi="Arial" w:cs="Arial"/>
          <w:sz w:val="26"/>
          <w:szCs w:val="26"/>
        </w:rPr>
        <w:t>, dictad</w:t>
      </w:r>
      <w:r w:rsidR="007D6376">
        <w:rPr>
          <w:rFonts w:ascii="Arial" w:hAnsi="Arial" w:cs="Arial"/>
          <w:sz w:val="26"/>
          <w:szCs w:val="26"/>
        </w:rPr>
        <w:t>a</w:t>
      </w:r>
      <w:r>
        <w:rPr>
          <w:rFonts w:ascii="Arial" w:hAnsi="Arial" w:cs="Arial"/>
          <w:sz w:val="26"/>
          <w:szCs w:val="26"/>
        </w:rPr>
        <w:t xml:space="preserve"> </w:t>
      </w:r>
      <w:r w:rsidRPr="00CB6405">
        <w:rPr>
          <w:rFonts w:ascii="Arial" w:hAnsi="Arial" w:cs="Arial"/>
          <w:sz w:val="26"/>
          <w:szCs w:val="26"/>
        </w:rPr>
        <w:t xml:space="preserve">por la </w:t>
      </w:r>
      <w:r w:rsidR="006D514F">
        <w:rPr>
          <w:rFonts w:ascii="Arial" w:hAnsi="Arial" w:cs="Arial"/>
          <w:sz w:val="26"/>
          <w:szCs w:val="26"/>
        </w:rPr>
        <w:t>Primera</w:t>
      </w:r>
      <w:r w:rsidR="00A10656">
        <w:rPr>
          <w:rFonts w:ascii="Arial" w:hAnsi="Arial" w:cs="Arial"/>
          <w:sz w:val="26"/>
          <w:szCs w:val="26"/>
        </w:rPr>
        <w:t xml:space="preserve"> </w:t>
      </w:r>
      <w:r w:rsidRPr="00CB6405">
        <w:rPr>
          <w:rFonts w:ascii="Arial" w:hAnsi="Arial" w:cs="Arial"/>
          <w:sz w:val="26"/>
          <w:szCs w:val="26"/>
        </w:rPr>
        <w:t xml:space="preserve">Sala Unitaria de Primera Instancia </w:t>
      </w:r>
      <w:r w:rsidR="00FF4B51">
        <w:rPr>
          <w:rFonts w:ascii="Arial" w:hAnsi="Arial" w:cs="Arial"/>
          <w:b/>
          <w:sz w:val="26"/>
          <w:szCs w:val="26"/>
        </w:rPr>
        <w:t>**********</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270ACE">
        <w:rPr>
          <w:rFonts w:ascii="Arial" w:hAnsi="Arial" w:cs="Arial"/>
          <w:bCs/>
          <w:sz w:val="26"/>
          <w:szCs w:val="26"/>
        </w:rPr>
        <w:t xml:space="preserve">Los puntos resolutivos de la </w:t>
      </w:r>
      <w:r w:rsidR="006D514F">
        <w:rPr>
          <w:rFonts w:ascii="Arial" w:hAnsi="Arial" w:cs="Arial"/>
          <w:bCs/>
          <w:sz w:val="26"/>
          <w:szCs w:val="26"/>
        </w:rPr>
        <w:t xml:space="preserve">sentencia </w:t>
      </w:r>
      <w:r w:rsidR="00270ACE">
        <w:rPr>
          <w:rFonts w:ascii="Arial" w:hAnsi="Arial" w:cs="Arial"/>
          <w:bCs/>
          <w:sz w:val="26"/>
          <w:szCs w:val="26"/>
        </w:rPr>
        <w:t>recurrida son los siguientes</w:t>
      </w:r>
      <w:r w:rsidR="00C06661">
        <w:rPr>
          <w:rFonts w:ascii="Arial" w:hAnsi="Arial" w:cs="Arial"/>
          <w:bCs/>
          <w:sz w:val="26"/>
          <w:szCs w:val="26"/>
        </w:rPr>
        <w:t>:</w:t>
      </w:r>
    </w:p>
    <w:p w:rsidR="006B52CD" w:rsidRPr="00C06661" w:rsidRDefault="00C37A09" w:rsidP="00ED05F5">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270ACE">
        <w:rPr>
          <w:rFonts w:ascii="Arial" w:eastAsia="Times New Roman" w:hAnsi="Arial" w:cs="Arial"/>
          <w:bCs/>
          <w:i/>
          <w:iCs/>
          <w:sz w:val="24"/>
          <w:szCs w:val="24"/>
          <w:lang w:eastAsia="es-ES"/>
        </w:rPr>
        <w:t>“</w:t>
      </w:r>
      <w:r w:rsidR="00270ACE">
        <w:rPr>
          <w:rFonts w:ascii="Arial" w:eastAsia="Times New Roman" w:hAnsi="Arial" w:cs="Arial"/>
          <w:b/>
          <w:bCs/>
          <w:i/>
          <w:iCs/>
          <w:sz w:val="24"/>
          <w:szCs w:val="24"/>
          <w:lang w:eastAsia="es-ES"/>
        </w:rPr>
        <w:t xml:space="preserve">PRIMERO.- </w:t>
      </w:r>
      <w:r w:rsidR="00270ACE" w:rsidRPr="00270ACE">
        <w:rPr>
          <w:rFonts w:ascii="Arial" w:eastAsia="Times New Roman" w:hAnsi="Arial" w:cs="Arial"/>
          <w:bCs/>
          <w:i/>
          <w:iCs/>
          <w:sz w:val="24"/>
          <w:szCs w:val="24"/>
          <w:lang w:eastAsia="es-ES"/>
        </w:rPr>
        <w:t xml:space="preserve">Esta </w:t>
      </w:r>
      <w:r w:rsidR="006D514F">
        <w:rPr>
          <w:rFonts w:ascii="Arial" w:eastAsia="Times New Roman" w:hAnsi="Arial" w:cs="Arial"/>
          <w:bCs/>
          <w:i/>
          <w:iCs/>
          <w:sz w:val="24"/>
          <w:szCs w:val="24"/>
          <w:lang w:eastAsia="es-ES"/>
        </w:rPr>
        <w:t xml:space="preserve">Primera </w:t>
      </w:r>
      <w:r w:rsidR="00270ACE" w:rsidRPr="00270ACE">
        <w:rPr>
          <w:rFonts w:ascii="Arial" w:eastAsia="Times New Roman" w:hAnsi="Arial" w:cs="Arial"/>
          <w:bCs/>
          <w:i/>
          <w:iCs/>
          <w:sz w:val="24"/>
          <w:szCs w:val="24"/>
          <w:lang w:eastAsia="es-ES"/>
        </w:rPr>
        <w:t xml:space="preserve">Sala de Primera Instancia </w:t>
      </w:r>
      <w:r w:rsidR="006D514F">
        <w:rPr>
          <w:rFonts w:ascii="Arial" w:eastAsia="Times New Roman" w:hAnsi="Arial" w:cs="Arial"/>
          <w:bCs/>
          <w:i/>
          <w:iCs/>
          <w:sz w:val="24"/>
          <w:szCs w:val="24"/>
          <w:lang w:eastAsia="es-ES"/>
        </w:rPr>
        <w:t xml:space="preserve">es </w:t>
      </w:r>
      <w:r w:rsidR="00270ACE" w:rsidRPr="00270ACE">
        <w:rPr>
          <w:rFonts w:ascii="Arial" w:eastAsia="Times New Roman" w:hAnsi="Arial" w:cs="Arial"/>
          <w:bCs/>
          <w:i/>
          <w:iCs/>
          <w:sz w:val="24"/>
          <w:szCs w:val="24"/>
          <w:lang w:eastAsia="es-ES"/>
        </w:rPr>
        <w:t xml:space="preserve">competente para conocer y resolver </w:t>
      </w:r>
      <w:r w:rsidR="006D514F">
        <w:rPr>
          <w:rFonts w:ascii="Arial" w:eastAsia="Times New Roman" w:hAnsi="Arial" w:cs="Arial"/>
          <w:bCs/>
          <w:i/>
          <w:iCs/>
          <w:sz w:val="24"/>
          <w:szCs w:val="24"/>
          <w:lang w:eastAsia="es-ES"/>
        </w:rPr>
        <w:t>d</w:t>
      </w:r>
      <w:r w:rsidR="00270ACE" w:rsidRPr="00270ACE">
        <w:rPr>
          <w:rFonts w:ascii="Arial" w:eastAsia="Times New Roman" w:hAnsi="Arial" w:cs="Arial"/>
          <w:bCs/>
          <w:i/>
          <w:iCs/>
          <w:sz w:val="24"/>
          <w:szCs w:val="24"/>
          <w:lang w:eastAsia="es-ES"/>
        </w:rPr>
        <w:t>el presente asunto</w:t>
      </w:r>
      <w:r w:rsidR="00270ACE">
        <w:rPr>
          <w:rFonts w:ascii="Arial" w:eastAsia="Times New Roman" w:hAnsi="Arial" w:cs="Arial"/>
          <w:b/>
          <w:bCs/>
          <w:i/>
          <w:iCs/>
          <w:sz w:val="24"/>
          <w:szCs w:val="24"/>
          <w:lang w:eastAsia="es-ES"/>
        </w:rPr>
        <w:t>.</w:t>
      </w:r>
      <w:r w:rsidR="00270ACE" w:rsidRPr="00270ACE">
        <w:rPr>
          <w:rFonts w:ascii="Arial" w:eastAsia="Times New Roman" w:hAnsi="Arial" w:cs="Arial"/>
          <w:bCs/>
          <w:i/>
          <w:iCs/>
          <w:sz w:val="24"/>
          <w:szCs w:val="24"/>
          <w:lang w:eastAsia="es-ES"/>
        </w:rPr>
        <w:t>-</w:t>
      </w:r>
      <w:r w:rsidR="00270ACE">
        <w:rPr>
          <w:rFonts w:ascii="Arial" w:eastAsia="Times New Roman" w:hAnsi="Arial" w:cs="Arial"/>
          <w:b/>
          <w:bCs/>
          <w:i/>
          <w:iCs/>
          <w:sz w:val="24"/>
          <w:szCs w:val="24"/>
          <w:lang w:eastAsia="es-ES"/>
        </w:rPr>
        <w:t xml:space="preserve">SEGUNDO.- </w:t>
      </w:r>
      <w:r w:rsidR="006D514F">
        <w:rPr>
          <w:rFonts w:ascii="Arial" w:eastAsia="Times New Roman" w:hAnsi="Arial" w:cs="Arial"/>
          <w:bCs/>
          <w:i/>
          <w:iCs/>
          <w:sz w:val="24"/>
          <w:szCs w:val="24"/>
          <w:lang w:eastAsia="es-ES"/>
        </w:rPr>
        <w:t>La personalidad de la parte actora quedó establecida en el considerando segundo de esta resolución, mientras que la personalidad de la autoridad demandada no fue acreditada en virtud que no exhibió copia certificada de su nombramiento así como el de su protesta de ley respectiva en términos del artículo 120 de la Ley de Justicia administrativa</w:t>
      </w:r>
      <w:r w:rsidR="00270ACE">
        <w:rPr>
          <w:rFonts w:ascii="Arial" w:eastAsia="Times New Roman" w:hAnsi="Arial" w:cs="Arial"/>
          <w:bCs/>
          <w:i/>
          <w:iCs/>
          <w:sz w:val="24"/>
          <w:szCs w:val="24"/>
          <w:lang w:eastAsia="es-ES"/>
        </w:rPr>
        <w:t xml:space="preserve">.- </w:t>
      </w:r>
      <w:r w:rsidR="001D2E37">
        <w:rPr>
          <w:rFonts w:ascii="Arial" w:eastAsia="Times New Roman" w:hAnsi="Arial" w:cs="Arial"/>
          <w:bCs/>
          <w:i/>
          <w:iCs/>
          <w:sz w:val="24"/>
          <w:szCs w:val="24"/>
          <w:lang w:eastAsia="es-ES"/>
        </w:rPr>
        <w:t>- - - - - - - - - - - - - - - - - - - - - - - - - - - -</w:t>
      </w:r>
      <w:r w:rsidR="00270ACE">
        <w:rPr>
          <w:rFonts w:ascii="Arial" w:eastAsia="Times New Roman" w:hAnsi="Arial" w:cs="Arial"/>
          <w:b/>
          <w:bCs/>
          <w:i/>
          <w:iCs/>
          <w:sz w:val="24"/>
          <w:szCs w:val="24"/>
          <w:lang w:eastAsia="es-ES"/>
        </w:rPr>
        <w:t xml:space="preserve">TERCERO.- </w:t>
      </w:r>
      <w:r w:rsidR="006D514F">
        <w:rPr>
          <w:rFonts w:ascii="Arial" w:eastAsia="Times New Roman" w:hAnsi="Arial" w:cs="Arial"/>
          <w:bCs/>
          <w:i/>
          <w:iCs/>
          <w:sz w:val="24"/>
          <w:szCs w:val="24"/>
          <w:lang w:eastAsia="es-ES"/>
        </w:rPr>
        <w:t xml:space="preserve">No se actualizó ninguna de las causales </w:t>
      </w:r>
      <w:r w:rsidR="006D514F">
        <w:rPr>
          <w:rFonts w:ascii="Arial" w:eastAsia="Times New Roman" w:hAnsi="Arial" w:cs="Arial"/>
          <w:bCs/>
          <w:i/>
          <w:iCs/>
          <w:sz w:val="24"/>
          <w:szCs w:val="24"/>
          <w:lang w:eastAsia="es-ES"/>
        </w:rPr>
        <w:lastRenderedPageBreak/>
        <w:t xml:space="preserve">contenida en los artículos 131 y 132 de la Ley de Justicia Administrativa para el Estado de Oaxaca, por lo que </w:t>
      </w:r>
      <w:r w:rsidR="006D514F" w:rsidRPr="006D514F">
        <w:rPr>
          <w:rFonts w:ascii="Arial" w:eastAsia="Times New Roman" w:hAnsi="Arial" w:cs="Arial"/>
          <w:bCs/>
          <w:i/>
          <w:iCs/>
          <w:sz w:val="24"/>
          <w:szCs w:val="24"/>
          <w:u w:val="single"/>
          <w:lang w:eastAsia="es-ES"/>
        </w:rPr>
        <w:t>no</w:t>
      </w:r>
      <w:r w:rsidR="006D514F">
        <w:rPr>
          <w:rFonts w:ascii="Arial" w:eastAsia="Times New Roman" w:hAnsi="Arial" w:cs="Arial"/>
          <w:bCs/>
          <w:i/>
          <w:iCs/>
          <w:sz w:val="24"/>
          <w:szCs w:val="24"/>
          <w:u w:val="single"/>
          <w:lang w:eastAsia="es-ES"/>
        </w:rPr>
        <w:t xml:space="preserve"> </w:t>
      </w:r>
      <w:r w:rsidR="006D514F" w:rsidRPr="006D514F">
        <w:rPr>
          <w:rFonts w:ascii="Arial" w:eastAsia="Times New Roman" w:hAnsi="Arial" w:cs="Arial"/>
          <w:bCs/>
          <w:i/>
          <w:iCs/>
          <w:sz w:val="24"/>
          <w:szCs w:val="24"/>
          <w:u w:val="single"/>
          <w:lang w:eastAsia="es-ES"/>
        </w:rPr>
        <w:t>se sobresee el presente juicio.</w:t>
      </w:r>
      <w:r w:rsidR="006D514F" w:rsidRPr="006D514F">
        <w:rPr>
          <w:rFonts w:ascii="Arial" w:eastAsia="Times New Roman" w:hAnsi="Arial" w:cs="Arial"/>
          <w:bCs/>
          <w:i/>
          <w:iCs/>
          <w:sz w:val="24"/>
          <w:szCs w:val="24"/>
          <w:lang w:eastAsia="es-ES"/>
        </w:rPr>
        <w:t>- - - - -</w:t>
      </w:r>
      <w:r w:rsidR="006D514F">
        <w:rPr>
          <w:rFonts w:ascii="Arial" w:eastAsia="Times New Roman" w:hAnsi="Arial" w:cs="Arial"/>
          <w:bCs/>
          <w:i/>
          <w:iCs/>
          <w:sz w:val="24"/>
          <w:szCs w:val="24"/>
          <w:lang w:eastAsia="es-ES"/>
        </w:rPr>
        <w:t xml:space="preserve"> - - - - - - - - - - - - - - - - - - - - </w:t>
      </w:r>
      <w:r w:rsidR="006D514F" w:rsidRPr="006D514F">
        <w:rPr>
          <w:rFonts w:ascii="Arial" w:eastAsia="Times New Roman" w:hAnsi="Arial" w:cs="Arial"/>
          <w:b/>
          <w:bCs/>
          <w:i/>
          <w:iCs/>
          <w:sz w:val="24"/>
          <w:szCs w:val="24"/>
          <w:lang w:eastAsia="es-ES"/>
        </w:rPr>
        <w:t>CUARTO</w:t>
      </w:r>
      <w:r w:rsidR="006D514F">
        <w:rPr>
          <w:rFonts w:ascii="Arial" w:eastAsia="Times New Roman" w:hAnsi="Arial" w:cs="Arial"/>
          <w:bCs/>
          <w:i/>
          <w:iCs/>
          <w:sz w:val="24"/>
          <w:szCs w:val="24"/>
          <w:lang w:eastAsia="es-ES"/>
        </w:rPr>
        <w:t xml:space="preserve">.- Por las razones expuestas en el considerando CUARTO de esta sentencia se </w:t>
      </w:r>
      <w:r w:rsidR="006D514F">
        <w:rPr>
          <w:rFonts w:ascii="Arial" w:eastAsia="Times New Roman" w:hAnsi="Arial" w:cs="Arial"/>
          <w:b/>
          <w:bCs/>
          <w:i/>
          <w:iCs/>
          <w:sz w:val="24"/>
          <w:szCs w:val="24"/>
          <w:lang w:eastAsia="es-ES"/>
        </w:rPr>
        <w:t xml:space="preserve">DECLARA LA VALIDEZ </w:t>
      </w:r>
      <w:r w:rsidR="006D514F">
        <w:rPr>
          <w:rFonts w:ascii="Arial" w:eastAsia="Times New Roman" w:hAnsi="Arial" w:cs="Arial"/>
          <w:bCs/>
          <w:i/>
          <w:iCs/>
          <w:sz w:val="24"/>
          <w:szCs w:val="24"/>
          <w:lang w:eastAsia="es-ES"/>
        </w:rPr>
        <w:t xml:space="preserve">del acto consistente en la resolución de fecha dos de junio de dos mil diez, expedida por el ingeniero GONZALO RUIZ CERÓN, entonces Coordinador General del Transporte del Estado de Oaxaca (figura que ahora sería el Secretario de Vialidad y Transporte del Estado de Oaxaca), mediante la cual se realiza el cambio de concesionario del acuerdo de concesión número 2306 de fecha seis de mayo de mil novecientos noventa y dos, en virtud del contrato privado de concesión de derechos de fecha veintidós de noviembre de dos mil tres, siendo como cedente el C. </w:t>
      </w:r>
      <w:r w:rsidR="00FF4B51">
        <w:rPr>
          <w:rFonts w:ascii="Arial" w:eastAsia="Times New Roman" w:hAnsi="Arial" w:cs="Arial"/>
          <w:bCs/>
          <w:i/>
          <w:iCs/>
          <w:sz w:val="24"/>
          <w:szCs w:val="24"/>
          <w:lang w:eastAsia="es-ES"/>
        </w:rPr>
        <w:t>**********</w:t>
      </w:r>
      <w:r w:rsidR="006D514F">
        <w:rPr>
          <w:rFonts w:ascii="Arial" w:eastAsia="Times New Roman" w:hAnsi="Arial" w:cs="Arial"/>
          <w:bCs/>
          <w:i/>
          <w:iCs/>
          <w:sz w:val="24"/>
          <w:szCs w:val="24"/>
          <w:lang w:eastAsia="es-ES"/>
        </w:rPr>
        <w:t xml:space="preserve"> a favor de la concesionaria C. </w:t>
      </w:r>
      <w:r w:rsidR="000674E8">
        <w:rPr>
          <w:rFonts w:ascii="Arial" w:eastAsia="Times New Roman" w:hAnsi="Arial" w:cs="Arial"/>
          <w:bCs/>
          <w:i/>
          <w:iCs/>
          <w:sz w:val="24"/>
          <w:szCs w:val="24"/>
          <w:lang w:eastAsia="es-ES"/>
        </w:rPr>
        <w:t>**********</w:t>
      </w:r>
      <w:r w:rsidR="006D514F">
        <w:rPr>
          <w:rFonts w:ascii="Arial" w:eastAsia="Times New Roman" w:hAnsi="Arial" w:cs="Arial"/>
          <w:bCs/>
          <w:i/>
          <w:iCs/>
          <w:sz w:val="24"/>
          <w:szCs w:val="24"/>
          <w:lang w:eastAsia="es-ES"/>
        </w:rPr>
        <w:t>.- -</w:t>
      </w:r>
      <w:r w:rsidR="001D2E37">
        <w:rPr>
          <w:rFonts w:ascii="Arial" w:eastAsia="Times New Roman" w:hAnsi="Arial" w:cs="Arial"/>
          <w:bCs/>
          <w:i/>
          <w:iCs/>
          <w:sz w:val="24"/>
          <w:szCs w:val="24"/>
          <w:lang w:eastAsia="es-ES"/>
        </w:rPr>
        <w:t xml:space="preserve"> - - - - - - - - - - - - -</w:t>
      </w:r>
      <w:r w:rsidR="006D514F">
        <w:rPr>
          <w:rFonts w:ascii="Arial" w:eastAsia="Times New Roman" w:hAnsi="Arial" w:cs="Arial"/>
          <w:bCs/>
          <w:i/>
          <w:iCs/>
          <w:sz w:val="24"/>
          <w:szCs w:val="24"/>
          <w:lang w:eastAsia="es-ES"/>
        </w:rPr>
        <w:t xml:space="preserve"> </w:t>
      </w:r>
      <w:r w:rsidR="006D514F">
        <w:rPr>
          <w:rFonts w:ascii="Arial" w:eastAsia="Times New Roman" w:hAnsi="Arial" w:cs="Arial"/>
          <w:b/>
          <w:bCs/>
          <w:i/>
          <w:iCs/>
          <w:sz w:val="24"/>
          <w:szCs w:val="24"/>
          <w:lang w:eastAsia="es-ES"/>
        </w:rPr>
        <w:t xml:space="preserve">QUINTO.- NOTIFÍQUESE </w:t>
      </w:r>
      <w:r w:rsidR="006D514F" w:rsidRPr="006D514F">
        <w:rPr>
          <w:rFonts w:ascii="Arial" w:eastAsia="Times New Roman" w:hAnsi="Arial" w:cs="Arial"/>
          <w:bCs/>
          <w:i/>
          <w:iCs/>
          <w:sz w:val="24"/>
          <w:szCs w:val="24"/>
          <w:lang w:eastAsia="es-ES"/>
        </w:rPr>
        <w:t>personalmente a</w:t>
      </w:r>
      <w:r w:rsidR="006D514F">
        <w:rPr>
          <w:rFonts w:ascii="Arial" w:eastAsia="Times New Roman" w:hAnsi="Arial" w:cs="Arial"/>
          <w:bCs/>
          <w:i/>
          <w:iCs/>
          <w:sz w:val="24"/>
          <w:szCs w:val="24"/>
          <w:lang w:eastAsia="es-ES"/>
        </w:rPr>
        <w:t xml:space="preserve"> </w:t>
      </w:r>
      <w:r w:rsidR="006D514F" w:rsidRPr="006D514F">
        <w:rPr>
          <w:rFonts w:ascii="Arial" w:eastAsia="Times New Roman" w:hAnsi="Arial" w:cs="Arial"/>
          <w:bCs/>
          <w:i/>
          <w:iCs/>
          <w:sz w:val="24"/>
          <w:szCs w:val="24"/>
          <w:lang w:eastAsia="es-ES"/>
        </w:rPr>
        <w:t>l</w:t>
      </w:r>
      <w:r w:rsidR="006D514F">
        <w:rPr>
          <w:rFonts w:ascii="Arial" w:eastAsia="Times New Roman" w:hAnsi="Arial" w:cs="Arial"/>
          <w:bCs/>
          <w:i/>
          <w:iCs/>
          <w:sz w:val="24"/>
          <w:szCs w:val="24"/>
          <w:lang w:eastAsia="es-ES"/>
        </w:rPr>
        <w:t>a</w:t>
      </w:r>
      <w:r w:rsidR="006D514F" w:rsidRPr="006D514F">
        <w:rPr>
          <w:rFonts w:ascii="Arial" w:eastAsia="Times New Roman" w:hAnsi="Arial" w:cs="Arial"/>
          <w:bCs/>
          <w:i/>
          <w:iCs/>
          <w:sz w:val="24"/>
          <w:szCs w:val="24"/>
          <w:lang w:eastAsia="es-ES"/>
        </w:rPr>
        <w:t xml:space="preserve"> </w:t>
      </w:r>
      <w:r w:rsidR="006D514F">
        <w:rPr>
          <w:rFonts w:ascii="Arial" w:eastAsia="Times New Roman" w:hAnsi="Arial" w:cs="Arial"/>
          <w:bCs/>
          <w:i/>
          <w:iCs/>
          <w:sz w:val="24"/>
          <w:szCs w:val="24"/>
          <w:lang w:eastAsia="es-ES"/>
        </w:rPr>
        <w:t xml:space="preserve">parte </w:t>
      </w:r>
      <w:r w:rsidR="006D514F" w:rsidRPr="006D514F">
        <w:rPr>
          <w:rFonts w:ascii="Arial" w:eastAsia="Times New Roman" w:hAnsi="Arial" w:cs="Arial"/>
          <w:bCs/>
          <w:i/>
          <w:iCs/>
          <w:sz w:val="24"/>
          <w:szCs w:val="24"/>
          <w:lang w:eastAsia="es-ES"/>
        </w:rPr>
        <w:t>actor</w:t>
      </w:r>
      <w:r w:rsidR="006D514F">
        <w:rPr>
          <w:rFonts w:ascii="Arial" w:eastAsia="Times New Roman" w:hAnsi="Arial" w:cs="Arial"/>
          <w:bCs/>
          <w:i/>
          <w:iCs/>
          <w:sz w:val="24"/>
          <w:szCs w:val="24"/>
          <w:lang w:eastAsia="es-ES"/>
        </w:rPr>
        <w:t xml:space="preserve">a y </w:t>
      </w:r>
      <w:r w:rsidR="00A56024">
        <w:rPr>
          <w:rFonts w:ascii="Arial" w:eastAsia="Times New Roman" w:hAnsi="Arial" w:cs="Arial"/>
          <w:b/>
          <w:bCs/>
          <w:i/>
          <w:iCs/>
          <w:sz w:val="24"/>
          <w:szCs w:val="24"/>
          <w:lang w:eastAsia="es-ES"/>
        </w:rPr>
        <w:t>CÚMPLASE</w:t>
      </w:r>
      <w:r w:rsidR="00A56024">
        <w:rPr>
          <w:rFonts w:ascii="Arial" w:eastAsia="Times New Roman" w:hAnsi="Arial" w:cs="Arial"/>
          <w:bCs/>
          <w:i/>
          <w:iCs/>
          <w:sz w:val="24"/>
          <w:szCs w:val="24"/>
          <w:lang w:eastAsia="es-ES"/>
        </w:rPr>
        <w:t xml:space="preserve">.- - - </w:t>
      </w:r>
      <w:r w:rsidR="007D6376">
        <w:rPr>
          <w:rFonts w:ascii="Arial" w:eastAsia="Times New Roman" w:hAnsi="Arial" w:cs="Arial"/>
          <w:bCs/>
          <w:i/>
          <w:iCs/>
          <w:sz w:val="24"/>
          <w:szCs w:val="24"/>
          <w:lang w:eastAsia="es-ES"/>
        </w:rPr>
        <w:t xml:space="preserve">- - - - - - - - - - - - - - - - - - - - - - - - - - - - - - - </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7D6376" w:rsidRPr="00CB6405" w:rsidRDefault="007D6376" w:rsidP="007D6376">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sidR="001D2E37" w:rsidRPr="00F66D81">
        <w:rPr>
          <w:rFonts w:ascii="Arial" w:hAnsi="Arial" w:cs="Arial"/>
          <w:bCs/>
          <w:iCs/>
          <w:sz w:val="26"/>
          <w:szCs w:val="26"/>
        </w:rPr>
        <w:t xml:space="preserve">Esta Sala Superior es competente para conocer del presente asunto, de </w:t>
      </w:r>
      <w:r w:rsidR="001D2E37" w:rsidRPr="00F66D81">
        <w:rPr>
          <w:rFonts w:ascii="Arial" w:hAnsi="Arial" w:cs="Arial"/>
          <w:bCs/>
          <w:iCs/>
          <w:sz w:val="26"/>
          <w:szCs w:val="26"/>
          <w:lang w:eastAsia="es-ES"/>
        </w:rPr>
        <w:t xml:space="preserve">conformidad con lo dispuesto por los artículos 114 Quáter, </w:t>
      </w:r>
      <w:r w:rsidR="001D2E37">
        <w:rPr>
          <w:rFonts w:ascii="Arial" w:hAnsi="Arial" w:cs="Arial"/>
          <w:bCs/>
          <w:iCs/>
          <w:sz w:val="26"/>
          <w:szCs w:val="26"/>
          <w:lang w:eastAsia="es-ES"/>
        </w:rPr>
        <w:t>P</w:t>
      </w:r>
      <w:r w:rsidR="001D2E37" w:rsidRPr="005A12C4">
        <w:rPr>
          <w:rFonts w:ascii="Arial" w:hAnsi="Arial" w:cs="Arial"/>
          <w:bCs/>
          <w:iCs/>
          <w:sz w:val="26"/>
          <w:szCs w:val="26"/>
          <w:lang w:eastAsia="es-ES"/>
        </w:rPr>
        <w:t>árrafo Tercero de la Constitución Política del Estado Libre y Soberano de Oaxaca</w:t>
      </w:r>
      <w:r w:rsidR="001D2E37">
        <w:rPr>
          <w:rFonts w:ascii="Arial" w:hAnsi="Arial" w:cs="Arial"/>
          <w:bCs/>
          <w:iCs/>
          <w:sz w:val="26"/>
          <w:szCs w:val="26"/>
          <w:lang w:eastAsia="es-ES"/>
        </w:rPr>
        <w:t>; Cuarto y</w:t>
      </w:r>
      <w:r w:rsidR="001D2E37" w:rsidRPr="00F66D81">
        <w:rPr>
          <w:rFonts w:ascii="Arial" w:hAnsi="Arial" w:cs="Arial"/>
          <w:bCs/>
          <w:iCs/>
          <w:sz w:val="26"/>
          <w:szCs w:val="26"/>
          <w:lang w:eastAsia="es-ES"/>
        </w:rPr>
        <w:t xml:space="preserve"> Décimo Transitorios del Decreto número 786 de la Sexagésima Tercera Legislatura Constitucional del Estado Libre y Soberano de Oaxaca, publicado en el Extra del Periódico Oficial del Gobierno del Estado el 16 dieciséis de enero de 2018 dos mil dieciocho, </w:t>
      </w:r>
      <w:r w:rsidR="001D2E37" w:rsidRPr="00F66D81">
        <w:rPr>
          <w:rFonts w:ascii="Arial" w:hAnsi="Arial" w:cs="Arial"/>
          <w:bCs/>
          <w:iCs/>
          <w:sz w:val="26"/>
          <w:szCs w:val="26"/>
        </w:rPr>
        <w:t xml:space="preserve">86, 88, 92, 93, fracción I, 94, 201, 206 y 208, de la Ley de Justicia Administrativa para el Estado de Oaxaca, vigente hasta el </w:t>
      </w:r>
      <w:r w:rsidR="001D2E37">
        <w:rPr>
          <w:rFonts w:ascii="Arial" w:hAnsi="Arial" w:cs="Arial"/>
          <w:bCs/>
          <w:iCs/>
          <w:sz w:val="26"/>
          <w:szCs w:val="26"/>
        </w:rPr>
        <w:t xml:space="preserve">20 veinte </w:t>
      </w:r>
      <w:r w:rsidR="001D2E37" w:rsidRPr="00F66D81">
        <w:rPr>
          <w:rFonts w:ascii="Arial" w:hAnsi="Arial" w:cs="Arial"/>
          <w:bCs/>
          <w:iCs/>
          <w:sz w:val="26"/>
          <w:szCs w:val="26"/>
        </w:rPr>
        <w:t xml:space="preserve">de octubre de </w:t>
      </w:r>
      <w:r w:rsidR="001D2E37">
        <w:rPr>
          <w:rFonts w:ascii="Arial" w:hAnsi="Arial" w:cs="Arial"/>
          <w:bCs/>
          <w:iCs/>
          <w:sz w:val="26"/>
          <w:szCs w:val="26"/>
        </w:rPr>
        <w:t>2017</w:t>
      </w:r>
      <w:r w:rsidR="001D2E37" w:rsidRPr="00F66D81">
        <w:rPr>
          <w:rFonts w:ascii="Arial" w:hAnsi="Arial" w:cs="Arial"/>
          <w:bCs/>
          <w:iCs/>
          <w:sz w:val="26"/>
          <w:szCs w:val="26"/>
        </w:rPr>
        <w:t xml:space="preserve"> dos mil diecisiete</w:t>
      </w:r>
      <w:r>
        <w:rPr>
          <w:rFonts w:ascii="Arial" w:hAnsi="Arial" w:cs="Arial"/>
          <w:bCs/>
          <w:iCs/>
          <w:sz w:val="26"/>
          <w:szCs w:val="26"/>
        </w:rPr>
        <w:t xml:space="preserve">, </w:t>
      </w:r>
      <w:r w:rsidRPr="00CB6405">
        <w:rPr>
          <w:rFonts w:ascii="Arial" w:hAnsi="Arial" w:cs="Arial"/>
          <w:bCs/>
          <w:iCs/>
          <w:sz w:val="26"/>
          <w:szCs w:val="26"/>
        </w:rPr>
        <w:t>dado que se trata de un Recurso de Revisión interpuesto en contra de</w:t>
      </w:r>
      <w:r>
        <w:rPr>
          <w:rFonts w:ascii="Arial" w:hAnsi="Arial" w:cs="Arial"/>
          <w:bCs/>
          <w:iCs/>
          <w:sz w:val="26"/>
          <w:szCs w:val="26"/>
        </w:rPr>
        <w:t xml:space="preserve"> la </w:t>
      </w:r>
      <w:r w:rsidR="006D514F">
        <w:rPr>
          <w:rFonts w:ascii="Arial" w:hAnsi="Arial" w:cs="Arial"/>
          <w:bCs/>
          <w:iCs/>
          <w:sz w:val="26"/>
          <w:szCs w:val="26"/>
        </w:rPr>
        <w:t xml:space="preserve">sentencia </w:t>
      </w:r>
      <w:r>
        <w:rPr>
          <w:rFonts w:ascii="Arial" w:hAnsi="Arial" w:cs="Arial"/>
          <w:bCs/>
          <w:iCs/>
          <w:sz w:val="26"/>
          <w:szCs w:val="26"/>
        </w:rPr>
        <w:t>de veinti</w:t>
      </w:r>
      <w:r w:rsidR="006D514F">
        <w:rPr>
          <w:rFonts w:ascii="Arial" w:hAnsi="Arial" w:cs="Arial"/>
          <w:bCs/>
          <w:iCs/>
          <w:sz w:val="26"/>
          <w:szCs w:val="26"/>
        </w:rPr>
        <w:t xml:space="preserve">nueve </w:t>
      </w:r>
      <w:r>
        <w:rPr>
          <w:rFonts w:ascii="Arial" w:hAnsi="Arial" w:cs="Arial"/>
          <w:bCs/>
          <w:iCs/>
          <w:sz w:val="26"/>
          <w:szCs w:val="26"/>
        </w:rPr>
        <w:t xml:space="preserve">de junio de dos mil dieciocho, dictada </w:t>
      </w:r>
      <w:r w:rsidRPr="00CB6405">
        <w:rPr>
          <w:rFonts w:ascii="Arial" w:hAnsi="Arial" w:cs="Arial"/>
          <w:bCs/>
          <w:iCs/>
          <w:sz w:val="26"/>
          <w:szCs w:val="26"/>
        </w:rPr>
        <w:t xml:space="preserve">por la </w:t>
      </w:r>
      <w:r w:rsidR="006D514F">
        <w:rPr>
          <w:rFonts w:ascii="Arial" w:hAnsi="Arial" w:cs="Arial"/>
          <w:bCs/>
          <w:iCs/>
          <w:sz w:val="26"/>
          <w:szCs w:val="26"/>
        </w:rPr>
        <w:t xml:space="preserve">Primera </w:t>
      </w:r>
      <w:r w:rsidRPr="00CB6405">
        <w:rPr>
          <w:rFonts w:ascii="Arial" w:hAnsi="Arial" w:cs="Arial"/>
          <w:bCs/>
          <w:iCs/>
          <w:sz w:val="26"/>
          <w:szCs w:val="26"/>
        </w:rPr>
        <w:t xml:space="preserve">Sala Unitaria de Primera Instancia de este Tribunal, en el expediente </w:t>
      </w:r>
      <w:r w:rsidR="006D514F">
        <w:rPr>
          <w:rFonts w:ascii="Arial" w:hAnsi="Arial" w:cs="Arial"/>
          <w:b/>
          <w:bCs/>
          <w:iCs/>
          <w:sz w:val="26"/>
          <w:szCs w:val="26"/>
        </w:rPr>
        <w:t>425</w:t>
      </w:r>
      <w:r>
        <w:rPr>
          <w:rFonts w:ascii="Arial" w:hAnsi="Arial" w:cs="Arial"/>
          <w:b/>
          <w:bCs/>
          <w:iCs/>
          <w:sz w:val="26"/>
          <w:szCs w:val="26"/>
        </w:rPr>
        <w:t>/2016</w:t>
      </w:r>
      <w:r w:rsidRPr="00CB6405">
        <w:rPr>
          <w:rFonts w:ascii="Arial" w:hAnsi="Arial" w:cs="Arial"/>
          <w:sz w:val="26"/>
          <w:szCs w:val="26"/>
        </w:rPr>
        <w:t>.</w:t>
      </w:r>
      <w:r w:rsidR="001D2E37">
        <w:rPr>
          <w:rFonts w:ascii="Arial" w:hAnsi="Arial" w:cs="Arial"/>
          <w:sz w:val="26"/>
          <w:szCs w:val="26"/>
        </w:rPr>
        <w:t xml:space="preserve"> </w:t>
      </w:r>
    </w:p>
    <w:p w:rsidR="00E91FCC" w:rsidRPr="00CB6405" w:rsidRDefault="00E91FCC" w:rsidP="00E91FC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F87FE1" w:rsidRDefault="00E91FCC" w:rsidP="00E91FCC">
      <w:pPr>
        <w:spacing w:before="240" w:line="360" w:lineRule="auto"/>
        <w:ind w:firstLine="708"/>
        <w:jc w:val="both"/>
        <w:rPr>
          <w:rFonts w:ascii="Arial" w:hAnsi="Arial" w:cs="Arial"/>
          <w:color w:val="000000"/>
          <w:sz w:val="26"/>
          <w:szCs w:val="26"/>
        </w:rPr>
      </w:pPr>
      <w:r w:rsidRPr="00372D3D">
        <w:rPr>
          <w:rFonts w:ascii="Arial" w:eastAsia="Calibri" w:hAnsi="Arial" w:cs="Arial"/>
          <w:b/>
          <w:bCs/>
          <w:sz w:val="26"/>
          <w:szCs w:val="26"/>
        </w:rPr>
        <w:t>TERCERO</w:t>
      </w:r>
      <w:r>
        <w:rPr>
          <w:rFonts w:ascii="Arial" w:eastAsia="Calibri" w:hAnsi="Arial" w:cs="Arial"/>
          <w:b/>
          <w:bCs/>
          <w:sz w:val="26"/>
          <w:szCs w:val="26"/>
        </w:rPr>
        <w:t xml:space="preserve">. </w:t>
      </w:r>
      <w:r w:rsidR="006A0645" w:rsidRPr="006A0645">
        <w:rPr>
          <w:rFonts w:ascii="Arial" w:eastAsia="Calibri" w:hAnsi="Arial" w:cs="Arial"/>
          <w:bCs/>
          <w:sz w:val="26"/>
          <w:szCs w:val="26"/>
        </w:rPr>
        <w:t>Son</w:t>
      </w:r>
      <w:r w:rsidR="006A0645">
        <w:rPr>
          <w:rFonts w:ascii="Arial" w:eastAsia="Calibri" w:hAnsi="Arial" w:cs="Arial"/>
          <w:b/>
          <w:bCs/>
          <w:sz w:val="26"/>
          <w:szCs w:val="26"/>
        </w:rPr>
        <w:t xml:space="preserve"> sustancialmente fundados </w:t>
      </w:r>
      <w:r w:rsidR="006A0645">
        <w:rPr>
          <w:rFonts w:ascii="Arial" w:eastAsia="Calibri" w:hAnsi="Arial" w:cs="Arial"/>
          <w:bCs/>
          <w:sz w:val="26"/>
          <w:szCs w:val="26"/>
        </w:rPr>
        <w:t xml:space="preserve">aquellos </w:t>
      </w:r>
      <w:r w:rsidR="009A033F">
        <w:rPr>
          <w:rFonts w:ascii="Arial" w:hAnsi="Arial" w:cs="Arial"/>
          <w:color w:val="000000"/>
          <w:sz w:val="26"/>
          <w:szCs w:val="26"/>
        </w:rPr>
        <w:t>a</w:t>
      </w:r>
      <w:r w:rsidR="008F3033">
        <w:rPr>
          <w:rFonts w:ascii="Arial" w:hAnsi="Arial" w:cs="Arial"/>
          <w:color w:val="000000"/>
          <w:sz w:val="26"/>
          <w:szCs w:val="26"/>
        </w:rPr>
        <w:t>le</w:t>
      </w:r>
      <w:r w:rsidR="009A033F">
        <w:rPr>
          <w:rFonts w:ascii="Arial" w:hAnsi="Arial" w:cs="Arial"/>
          <w:color w:val="000000"/>
          <w:sz w:val="26"/>
          <w:szCs w:val="26"/>
        </w:rPr>
        <w:t>ga</w:t>
      </w:r>
      <w:r w:rsidR="006A0645">
        <w:rPr>
          <w:rFonts w:ascii="Arial" w:hAnsi="Arial" w:cs="Arial"/>
          <w:color w:val="000000"/>
          <w:sz w:val="26"/>
          <w:szCs w:val="26"/>
        </w:rPr>
        <w:t>tos del recurrente en los que arguye</w:t>
      </w:r>
      <w:r w:rsidR="008F3033">
        <w:rPr>
          <w:rFonts w:ascii="Arial" w:hAnsi="Arial" w:cs="Arial"/>
          <w:color w:val="000000"/>
          <w:sz w:val="26"/>
          <w:szCs w:val="26"/>
        </w:rPr>
        <w:t xml:space="preserve"> </w:t>
      </w:r>
      <w:r w:rsidR="00622BB5">
        <w:rPr>
          <w:rFonts w:ascii="Arial" w:hAnsi="Arial" w:cs="Arial"/>
          <w:color w:val="000000"/>
          <w:sz w:val="26"/>
          <w:szCs w:val="26"/>
        </w:rPr>
        <w:t>que le causa agravio la resolución</w:t>
      </w:r>
      <w:r w:rsidR="00F87FE1">
        <w:rPr>
          <w:rFonts w:ascii="Arial" w:hAnsi="Arial" w:cs="Arial"/>
          <w:color w:val="000000"/>
          <w:sz w:val="26"/>
          <w:szCs w:val="26"/>
        </w:rPr>
        <w:t xml:space="preserve"> que se combate, pues considera </w:t>
      </w:r>
      <w:r w:rsidR="00622BB5">
        <w:rPr>
          <w:rFonts w:ascii="Arial" w:hAnsi="Arial" w:cs="Arial"/>
          <w:color w:val="000000"/>
          <w:sz w:val="26"/>
          <w:szCs w:val="26"/>
        </w:rPr>
        <w:t xml:space="preserve">que se le debió suplir la deficiencia de la queja, </w:t>
      </w:r>
      <w:r w:rsidR="009A033F">
        <w:rPr>
          <w:rFonts w:ascii="Arial" w:hAnsi="Arial" w:cs="Arial"/>
          <w:color w:val="000000"/>
          <w:sz w:val="26"/>
          <w:szCs w:val="26"/>
        </w:rPr>
        <w:t>ya que</w:t>
      </w:r>
      <w:r w:rsidR="00622BB5">
        <w:rPr>
          <w:rFonts w:ascii="Arial" w:hAnsi="Arial" w:cs="Arial"/>
          <w:color w:val="000000"/>
          <w:sz w:val="26"/>
          <w:szCs w:val="26"/>
        </w:rPr>
        <w:t xml:space="preserve"> conforme el</w:t>
      </w:r>
      <w:r w:rsidR="003B61A1">
        <w:rPr>
          <w:rFonts w:ascii="Arial" w:hAnsi="Arial" w:cs="Arial"/>
          <w:color w:val="000000"/>
          <w:sz w:val="26"/>
          <w:szCs w:val="26"/>
        </w:rPr>
        <w:t xml:space="preserve"> </w:t>
      </w:r>
      <w:r w:rsidR="00622BB5">
        <w:rPr>
          <w:rFonts w:ascii="Arial" w:hAnsi="Arial" w:cs="Arial"/>
          <w:color w:val="000000"/>
          <w:sz w:val="26"/>
          <w:szCs w:val="26"/>
        </w:rPr>
        <w:t>artículo 178 último párrafo de la Ley</w:t>
      </w:r>
      <w:r w:rsidR="003B61A1">
        <w:rPr>
          <w:rFonts w:ascii="Arial" w:hAnsi="Arial" w:cs="Arial"/>
          <w:color w:val="000000"/>
          <w:sz w:val="26"/>
          <w:szCs w:val="26"/>
        </w:rPr>
        <w:t xml:space="preserve"> </w:t>
      </w:r>
      <w:r w:rsidR="00424260">
        <w:rPr>
          <w:rFonts w:ascii="Arial" w:hAnsi="Arial" w:cs="Arial"/>
          <w:color w:val="000000"/>
          <w:sz w:val="26"/>
          <w:szCs w:val="26"/>
        </w:rPr>
        <w:t>d</w:t>
      </w:r>
      <w:r w:rsidR="003B61A1">
        <w:rPr>
          <w:rFonts w:ascii="Arial" w:hAnsi="Arial" w:cs="Arial"/>
          <w:color w:val="000000"/>
          <w:sz w:val="26"/>
          <w:szCs w:val="26"/>
        </w:rPr>
        <w:t>e Justicia Administrativa para el Estado de Oaxaca</w:t>
      </w:r>
      <w:r w:rsidR="00622BB5">
        <w:rPr>
          <w:rFonts w:ascii="Arial" w:hAnsi="Arial" w:cs="Arial"/>
          <w:color w:val="000000"/>
          <w:sz w:val="26"/>
          <w:szCs w:val="26"/>
        </w:rPr>
        <w:t>, la incompet</w:t>
      </w:r>
      <w:r w:rsidR="00CD15E6">
        <w:rPr>
          <w:rFonts w:ascii="Arial" w:hAnsi="Arial" w:cs="Arial"/>
          <w:color w:val="000000"/>
          <w:sz w:val="26"/>
          <w:szCs w:val="26"/>
        </w:rPr>
        <w:t>encia de la autoridad demandada</w:t>
      </w:r>
      <w:r w:rsidR="00622BB5">
        <w:rPr>
          <w:rFonts w:ascii="Arial" w:hAnsi="Arial" w:cs="Arial"/>
          <w:color w:val="000000"/>
          <w:sz w:val="26"/>
          <w:szCs w:val="26"/>
        </w:rPr>
        <w:t xml:space="preserve"> </w:t>
      </w:r>
      <w:r w:rsidR="00F87FE1">
        <w:rPr>
          <w:rFonts w:ascii="Arial" w:hAnsi="Arial" w:cs="Arial"/>
          <w:color w:val="000000"/>
          <w:sz w:val="26"/>
          <w:szCs w:val="26"/>
        </w:rPr>
        <w:t>debe ser analizada de oficio por ser de orden público, así como la ausencia total o parcial de la fundamentación o motivación de la resolución demandada.</w:t>
      </w:r>
    </w:p>
    <w:p w:rsidR="00CD4ED4" w:rsidRDefault="001B2E38" w:rsidP="00D85145">
      <w:pPr>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De la lectura integral a la sentencia alzada, contenida en el expediente de primera instancia, al que se le otorga pleno valor probatorio, conforme lo previsto por el artículo 173 fracción I</w:t>
      </w:r>
      <w:r w:rsidR="00D85145">
        <w:rPr>
          <w:rStyle w:val="Refdenotaalpie"/>
          <w:rFonts w:ascii="Arial" w:eastAsia="Calibri" w:hAnsi="Arial" w:cs="Arial"/>
          <w:bCs/>
          <w:sz w:val="26"/>
          <w:szCs w:val="26"/>
        </w:rPr>
        <w:footnoteReference w:id="1"/>
      </w:r>
      <w:r>
        <w:rPr>
          <w:rFonts w:ascii="Arial" w:eastAsia="Calibri" w:hAnsi="Arial" w:cs="Arial"/>
          <w:bCs/>
          <w:sz w:val="26"/>
          <w:szCs w:val="26"/>
        </w:rPr>
        <w:t xml:space="preserve"> de la Ley de Justicia Administrativa para el Estado, por tratase de actuaciones judiciales, se advierte que la res</w:t>
      </w:r>
      <w:r w:rsidR="000962FD">
        <w:rPr>
          <w:rFonts w:ascii="Arial" w:eastAsia="Calibri" w:hAnsi="Arial" w:cs="Arial"/>
          <w:bCs/>
          <w:sz w:val="26"/>
          <w:szCs w:val="26"/>
        </w:rPr>
        <w:t xml:space="preserve">olutora al resolver el juicio, </w:t>
      </w:r>
      <w:r>
        <w:rPr>
          <w:rFonts w:ascii="Arial" w:eastAsia="Calibri" w:hAnsi="Arial" w:cs="Arial"/>
          <w:bCs/>
          <w:sz w:val="26"/>
          <w:szCs w:val="26"/>
        </w:rPr>
        <w:t xml:space="preserve">en efecto </w:t>
      </w:r>
      <w:r w:rsidR="00CD4ED4">
        <w:rPr>
          <w:rFonts w:ascii="Arial" w:eastAsia="Calibri" w:hAnsi="Arial" w:cs="Arial"/>
          <w:bCs/>
          <w:sz w:val="26"/>
          <w:szCs w:val="26"/>
        </w:rPr>
        <w:t xml:space="preserve">no se pronunció respecto </w:t>
      </w:r>
      <w:r>
        <w:rPr>
          <w:rFonts w:ascii="Arial" w:eastAsia="Calibri" w:hAnsi="Arial" w:cs="Arial"/>
          <w:bCs/>
          <w:sz w:val="26"/>
          <w:szCs w:val="26"/>
        </w:rPr>
        <w:t xml:space="preserve">a la </w:t>
      </w:r>
      <w:r w:rsidR="003B61A1">
        <w:rPr>
          <w:rFonts w:ascii="Arial" w:eastAsia="Calibri" w:hAnsi="Arial" w:cs="Arial"/>
          <w:bCs/>
          <w:sz w:val="26"/>
          <w:szCs w:val="26"/>
        </w:rPr>
        <w:t>in</w:t>
      </w:r>
      <w:r>
        <w:rPr>
          <w:rFonts w:ascii="Arial" w:eastAsia="Calibri" w:hAnsi="Arial" w:cs="Arial"/>
          <w:bCs/>
          <w:sz w:val="26"/>
          <w:szCs w:val="26"/>
        </w:rPr>
        <w:t>competencia de la autoridad demandada</w:t>
      </w:r>
      <w:r w:rsidR="00CD4ED4">
        <w:rPr>
          <w:rFonts w:ascii="Arial" w:eastAsia="Calibri" w:hAnsi="Arial" w:cs="Arial"/>
          <w:bCs/>
          <w:sz w:val="26"/>
          <w:szCs w:val="26"/>
        </w:rPr>
        <w:t>, omisión que hace evidente el agravio indicado, pues si bien del escrito de demanda de nulidad se advierte que el actor nada dijo al respecto de dicho tema; conforme lo dispuesto por los artículo</w:t>
      </w:r>
      <w:r w:rsidR="00D85145">
        <w:rPr>
          <w:rFonts w:ascii="Arial" w:eastAsia="Calibri" w:hAnsi="Arial" w:cs="Arial"/>
          <w:bCs/>
          <w:sz w:val="26"/>
          <w:szCs w:val="26"/>
        </w:rPr>
        <w:t>s</w:t>
      </w:r>
      <w:r w:rsidR="00CD4ED4">
        <w:rPr>
          <w:rFonts w:ascii="Arial" w:eastAsia="Calibri" w:hAnsi="Arial" w:cs="Arial"/>
          <w:bCs/>
          <w:sz w:val="26"/>
          <w:szCs w:val="26"/>
        </w:rPr>
        <w:t xml:space="preserve"> 118</w:t>
      </w:r>
      <w:r w:rsidR="00CD15E6">
        <w:rPr>
          <w:rStyle w:val="Refdenotaalpie"/>
          <w:rFonts w:ascii="Arial" w:eastAsia="Calibri" w:hAnsi="Arial" w:cs="Arial"/>
          <w:bCs/>
          <w:sz w:val="26"/>
          <w:szCs w:val="26"/>
        </w:rPr>
        <w:footnoteReference w:id="2"/>
      </w:r>
      <w:r w:rsidR="00CD4ED4">
        <w:rPr>
          <w:rFonts w:ascii="Arial" w:eastAsia="Calibri" w:hAnsi="Arial" w:cs="Arial"/>
          <w:bCs/>
          <w:sz w:val="26"/>
          <w:szCs w:val="26"/>
        </w:rPr>
        <w:t xml:space="preserve"> y 17</w:t>
      </w:r>
      <w:r w:rsidR="000962FD">
        <w:rPr>
          <w:rFonts w:ascii="Arial" w:eastAsia="Calibri" w:hAnsi="Arial" w:cs="Arial"/>
          <w:bCs/>
          <w:sz w:val="26"/>
          <w:szCs w:val="26"/>
        </w:rPr>
        <w:t>8</w:t>
      </w:r>
      <w:r w:rsidR="00CD4ED4">
        <w:rPr>
          <w:rFonts w:ascii="Arial" w:eastAsia="Calibri" w:hAnsi="Arial" w:cs="Arial"/>
          <w:bCs/>
          <w:sz w:val="26"/>
          <w:szCs w:val="26"/>
        </w:rPr>
        <w:t xml:space="preserve"> último párrafo</w:t>
      </w:r>
      <w:r w:rsidR="00CD15E6">
        <w:rPr>
          <w:rStyle w:val="Refdenotaalpie"/>
          <w:rFonts w:ascii="Arial" w:eastAsia="Calibri" w:hAnsi="Arial" w:cs="Arial"/>
          <w:bCs/>
          <w:sz w:val="26"/>
          <w:szCs w:val="26"/>
        </w:rPr>
        <w:footnoteReference w:id="3"/>
      </w:r>
      <w:r w:rsidR="00D85145">
        <w:rPr>
          <w:rFonts w:ascii="Arial" w:eastAsia="Calibri" w:hAnsi="Arial" w:cs="Arial"/>
          <w:bCs/>
          <w:sz w:val="26"/>
          <w:szCs w:val="26"/>
        </w:rPr>
        <w:t xml:space="preserve"> de la Ley en comento</w:t>
      </w:r>
      <w:r w:rsidR="00CD4ED4">
        <w:rPr>
          <w:rFonts w:ascii="Arial" w:eastAsia="Calibri" w:hAnsi="Arial" w:cs="Arial"/>
          <w:bCs/>
          <w:sz w:val="26"/>
          <w:szCs w:val="26"/>
        </w:rPr>
        <w:t>, la resolutora estaba obligada a suplirle al administrado la deficiencia de la queja y analizar de oficio la incompetencia de la autoridad demandada</w:t>
      </w:r>
      <w:r w:rsidR="000962FD">
        <w:rPr>
          <w:rFonts w:ascii="Arial" w:eastAsia="Calibri" w:hAnsi="Arial" w:cs="Arial"/>
          <w:bCs/>
          <w:sz w:val="26"/>
          <w:szCs w:val="26"/>
        </w:rPr>
        <w:t>, al ser esta una cuestión de orden público</w:t>
      </w:r>
      <w:r w:rsidR="00D85145">
        <w:rPr>
          <w:rFonts w:ascii="Arial" w:eastAsia="Calibri" w:hAnsi="Arial" w:cs="Arial"/>
          <w:bCs/>
          <w:sz w:val="26"/>
          <w:szCs w:val="26"/>
        </w:rPr>
        <w:t>.</w:t>
      </w:r>
    </w:p>
    <w:p w:rsidR="00CD4ED4" w:rsidRPr="002A5519" w:rsidRDefault="00CD4ED4" w:rsidP="00CD4ED4">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Por tanto, se irroga el agravio esgrimido que para repararlo es procedente que </w:t>
      </w:r>
      <w:r w:rsidRPr="002A5519">
        <w:rPr>
          <w:rFonts w:ascii="Arial" w:eastAsia="Calibri" w:hAnsi="Arial" w:cs="Arial"/>
          <w:bCs/>
          <w:sz w:val="26"/>
          <w:szCs w:val="26"/>
        </w:rPr>
        <w:t xml:space="preserve">esta Sala Superior </w:t>
      </w:r>
      <w:r>
        <w:rPr>
          <w:rFonts w:ascii="Arial" w:eastAsia="Calibri" w:hAnsi="Arial" w:cs="Arial"/>
          <w:b/>
          <w:bCs/>
          <w:sz w:val="26"/>
          <w:szCs w:val="26"/>
        </w:rPr>
        <w:t>REASUMA</w:t>
      </w:r>
      <w:r w:rsidRPr="00025271">
        <w:rPr>
          <w:rFonts w:ascii="Arial" w:eastAsia="Calibri" w:hAnsi="Arial" w:cs="Arial"/>
          <w:b/>
          <w:bCs/>
          <w:sz w:val="26"/>
          <w:szCs w:val="26"/>
        </w:rPr>
        <w:t xml:space="preserve"> JURISDICCIÓN</w:t>
      </w:r>
      <w:r w:rsidRPr="002A5519">
        <w:rPr>
          <w:rFonts w:ascii="Arial" w:eastAsia="Calibri" w:hAnsi="Arial" w:cs="Arial"/>
          <w:bCs/>
          <w:sz w:val="26"/>
          <w:szCs w:val="26"/>
        </w:rPr>
        <w:t xml:space="preserve"> </w:t>
      </w:r>
      <w:r>
        <w:rPr>
          <w:rFonts w:ascii="Arial" w:eastAsia="Calibri" w:hAnsi="Arial" w:cs="Arial"/>
          <w:bCs/>
          <w:sz w:val="26"/>
          <w:szCs w:val="26"/>
        </w:rPr>
        <w:t>y, en razón a ello</w:t>
      </w:r>
      <w:r w:rsidRPr="002A5519">
        <w:rPr>
          <w:rFonts w:ascii="Arial" w:eastAsia="Calibri" w:hAnsi="Arial" w:cs="Arial"/>
          <w:bCs/>
          <w:sz w:val="26"/>
          <w:szCs w:val="26"/>
        </w:rPr>
        <w:t xml:space="preserve">, resolver lo referente a la </w:t>
      </w:r>
      <w:r w:rsidR="00D85145">
        <w:rPr>
          <w:rFonts w:ascii="Arial" w:eastAsia="Calibri" w:hAnsi="Arial" w:cs="Arial"/>
          <w:bCs/>
          <w:sz w:val="26"/>
          <w:szCs w:val="26"/>
        </w:rPr>
        <w:t>incompetencia de la autoridad demandada, en los siguientes términos:</w:t>
      </w:r>
    </w:p>
    <w:p w:rsidR="00D85145" w:rsidRDefault="00D85145" w:rsidP="00D85145">
      <w:pPr>
        <w:spacing w:before="240" w:line="360" w:lineRule="auto"/>
        <w:ind w:firstLine="708"/>
        <w:jc w:val="both"/>
        <w:rPr>
          <w:rFonts w:ascii="Arial" w:hAnsi="Arial" w:cs="Arial"/>
          <w:color w:val="000000"/>
          <w:sz w:val="26"/>
          <w:szCs w:val="26"/>
        </w:rPr>
      </w:pPr>
      <w:r>
        <w:rPr>
          <w:rFonts w:ascii="Arial" w:eastAsia="Calibri" w:hAnsi="Arial" w:cs="Arial"/>
          <w:bCs/>
          <w:sz w:val="26"/>
          <w:szCs w:val="26"/>
        </w:rPr>
        <w:t xml:space="preserve">Al respecto alega en el presente medio de impugnación el recurrente, </w:t>
      </w:r>
      <w:r w:rsidR="00F87FE1">
        <w:rPr>
          <w:rFonts w:ascii="Arial" w:hAnsi="Arial" w:cs="Arial"/>
          <w:color w:val="000000"/>
          <w:sz w:val="26"/>
          <w:szCs w:val="26"/>
        </w:rPr>
        <w:t>que de la lectura de la resolución impugnada, se advierte que la demandada, en el considerando primero se señaló como fundamento de la competencia lo dispuesto por el artículo 25 fracción I de la Ley de Transito Reformada, el cual dice nada tiene que ver con la competencia</w:t>
      </w:r>
      <w:r>
        <w:rPr>
          <w:rFonts w:ascii="Arial" w:hAnsi="Arial" w:cs="Arial"/>
          <w:color w:val="000000"/>
          <w:sz w:val="26"/>
          <w:szCs w:val="26"/>
        </w:rPr>
        <w:t>.</w:t>
      </w:r>
    </w:p>
    <w:p w:rsidR="00D85145" w:rsidRDefault="00D85145" w:rsidP="00D85145">
      <w:pPr>
        <w:spacing w:before="240" w:line="360" w:lineRule="auto"/>
        <w:ind w:firstLine="708"/>
        <w:jc w:val="both"/>
        <w:rPr>
          <w:rFonts w:ascii="Arial" w:hAnsi="Arial" w:cs="Arial"/>
          <w:color w:val="000000"/>
          <w:sz w:val="26"/>
          <w:szCs w:val="26"/>
        </w:rPr>
      </w:pPr>
      <w:r>
        <w:rPr>
          <w:rFonts w:ascii="Arial" w:hAnsi="Arial" w:cs="Arial"/>
          <w:color w:val="000000"/>
          <w:sz w:val="26"/>
          <w:szCs w:val="26"/>
        </w:rPr>
        <w:t>Del análisis a la citada resolución de dos de junio de dos mil ocho, agregada a folios (24</w:t>
      </w:r>
      <w:r w:rsidR="00F87FE1">
        <w:rPr>
          <w:rFonts w:ascii="Arial" w:hAnsi="Arial" w:cs="Arial"/>
          <w:color w:val="000000"/>
          <w:sz w:val="26"/>
          <w:szCs w:val="26"/>
        </w:rPr>
        <w:t xml:space="preserve"> </w:t>
      </w:r>
      <w:r>
        <w:rPr>
          <w:rFonts w:ascii="Arial" w:hAnsi="Arial" w:cs="Arial"/>
          <w:color w:val="000000"/>
          <w:sz w:val="26"/>
          <w:szCs w:val="26"/>
        </w:rPr>
        <w:t xml:space="preserve">a 28 del expediente natural), se advierte que </w:t>
      </w:r>
      <w:r w:rsidR="00E737FD">
        <w:rPr>
          <w:rFonts w:ascii="Arial" w:hAnsi="Arial" w:cs="Arial"/>
          <w:color w:val="000000"/>
          <w:sz w:val="26"/>
          <w:szCs w:val="26"/>
        </w:rPr>
        <w:t xml:space="preserve">contrario a lo indicado por el recurrente, la demandada no citó el artículo que indica, pues en el considerando primero de dicha resolución al indicarse la competencia de la Coordinación General del Transporte para resolver respecto a la petición de </w:t>
      </w:r>
      <w:r w:rsidR="000674E8">
        <w:rPr>
          <w:rFonts w:ascii="Arial" w:hAnsi="Arial" w:cs="Arial"/>
          <w:color w:val="000000"/>
          <w:sz w:val="26"/>
          <w:szCs w:val="26"/>
        </w:rPr>
        <w:t>**********</w:t>
      </w:r>
      <w:r w:rsidR="00E737FD">
        <w:rPr>
          <w:rFonts w:ascii="Arial" w:hAnsi="Arial" w:cs="Arial"/>
          <w:color w:val="000000"/>
          <w:sz w:val="26"/>
          <w:szCs w:val="26"/>
        </w:rPr>
        <w:t>, para la aprobación de la cesión de derechos de la concesión de transporte contenida en el acuerdo 2306 de seis de mayo de mil novecientos noventa y dos, señaló como fundamento lo dispuesto por el artículo 38 fracción II</w:t>
      </w:r>
      <w:r w:rsidR="00F8242D">
        <w:rPr>
          <w:rStyle w:val="Refdenotaalpie"/>
          <w:rFonts w:ascii="Arial" w:hAnsi="Arial" w:cs="Arial"/>
          <w:color w:val="000000"/>
          <w:sz w:val="26"/>
          <w:szCs w:val="26"/>
        </w:rPr>
        <w:footnoteReference w:id="4"/>
      </w:r>
      <w:r w:rsidR="00E737FD">
        <w:rPr>
          <w:rFonts w:ascii="Arial" w:hAnsi="Arial" w:cs="Arial"/>
          <w:color w:val="000000"/>
          <w:sz w:val="26"/>
          <w:szCs w:val="26"/>
        </w:rPr>
        <w:t xml:space="preserve"> de la </w:t>
      </w:r>
      <w:r w:rsidR="000962FD">
        <w:rPr>
          <w:rFonts w:ascii="Arial" w:hAnsi="Arial" w:cs="Arial"/>
          <w:color w:val="000000"/>
          <w:sz w:val="26"/>
          <w:szCs w:val="26"/>
        </w:rPr>
        <w:t>L</w:t>
      </w:r>
      <w:r w:rsidR="00E737FD">
        <w:rPr>
          <w:rFonts w:ascii="Arial" w:hAnsi="Arial" w:cs="Arial"/>
          <w:color w:val="000000"/>
          <w:sz w:val="26"/>
          <w:szCs w:val="26"/>
        </w:rPr>
        <w:t>ey Orgánica del Poder Ejecutivo del Estado, publicada el treinta de noviembre de dos mil cuatro en el Periódico oficial del Gobierno del Estado.</w:t>
      </w:r>
    </w:p>
    <w:p w:rsidR="000962FD" w:rsidRDefault="0099608C" w:rsidP="00D85145">
      <w:pPr>
        <w:spacing w:before="240" w:line="360" w:lineRule="auto"/>
        <w:ind w:firstLine="708"/>
        <w:jc w:val="both"/>
        <w:rPr>
          <w:rFonts w:ascii="Arial" w:hAnsi="Arial" w:cs="Arial"/>
          <w:color w:val="000000"/>
          <w:sz w:val="26"/>
          <w:szCs w:val="26"/>
        </w:rPr>
      </w:pPr>
      <w:r>
        <w:rPr>
          <w:rFonts w:ascii="Arial" w:hAnsi="Arial" w:cs="Arial"/>
          <w:color w:val="000000"/>
          <w:sz w:val="26"/>
          <w:szCs w:val="26"/>
        </w:rPr>
        <w:t>Dicho p</w:t>
      </w:r>
      <w:r w:rsidR="00E737FD">
        <w:rPr>
          <w:rFonts w:ascii="Arial" w:hAnsi="Arial" w:cs="Arial"/>
          <w:color w:val="000000"/>
          <w:sz w:val="26"/>
          <w:szCs w:val="26"/>
        </w:rPr>
        <w:t xml:space="preserve">recepto legal </w:t>
      </w:r>
      <w:r>
        <w:rPr>
          <w:rFonts w:ascii="Arial" w:hAnsi="Arial" w:cs="Arial"/>
          <w:color w:val="000000"/>
          <w:sz w:val="26"/>
          <w:szCs w:val="26"/>
        </w:rPr>
        <w:t xml:space="preserve">puntualmente establece que a </w:t>
      </w:r>
      <w:r w:rsidR="00E737FD">
        <w:rPr>
          <w:rFonts w:ascii="Arial" w:hAnsi="Arial" w:cs="Arial"/>
          <w:color w:val="000000"/>
          <w:sz w:val="26"/>
          <w:szCs w:val="26"/>
        </w:rPr>
        <w:t xml:space="preserve">la Coordinación General del Transporte </w:t>
      </w:r>
      <w:r>
        <w:rPr>
          <w:rFonts w:ascii="Arial" w:hAnsi="Arial" w:cs="Arial"/>
          <w:color w:val="000000"/>
          <w:sz w:val="26"/>
          <w:szCs w:val="26"/>
        </w:rPr>
        <w:t xml:space="preserve">le </w:t>
      </w:r>
      <w:r w:rsidR="00E737FD">
        <w:rPr>
          <w:rFonts w:ascii="Arial" w:hAnsi="Arial" w:cs="Arial"/>
          <w:color w:val="000000"/>
          <w:sz w:val="26"/>
          <w:szCs w:val="26"/>
        </w:rPr>
        <w:t xml:space="preserve">corresponde el </w:t>
      </w:r>
      <w:r w:rsidR="00E737FD" w:rsidRPr="0099608C">
        <w:rPr>
          <w:rFonts w:ascii="Arial" w:hAnsi="Arial" w:cs="Arial"/>
          <w:b/>
          <w:color w:val="000000"/>
          <w:sz w:val="26"/>
          <w:szCs w:val="26"/>
        </w:rPr>
        <w:t>desahogó</w:t>
      </w:r>
      <w:r w:rsidR="00E737FD">
        <w:rPr>
          <w:rFonts w:ascii="Arial" w:hAnsi="Arial" w:cs="Arial"/>
          <w:color w:val="000000"/>
          <w:sz w:val="26"/>
          <w:szCs w:val="26"/>
        </w:rPr>
        <w:t xml:space="preserve"> de los procedimientos jurídicos de asuntos </w:t>
      </w:r>
      <w:r w:rsidR="000962FD">
        <w:rPr>
          <w:rFonts w:ascii="Arial" w:hAnsi="Arial" w:cs="Arial"/>
          <w:color w:val="000000"/>
          <w:sz w:val="26"/>
          <w:szCs w:val="26"/>
        </w:rPr>
        <w:t xml:space="preserve">que </w:t>
      </w:r>
      <w:r w:rsidR="000962FD" w:rsidRPr="00AD027A">
        <w:rPr>
          <w:rFonts w:ascii="Arial" w:hAnsi="Arial" w:cs="Arial"/>
          <w:b/>
          <w:color w:val="000000"/>
          <w:sz w:val="26"/>
          <w:szCs w:val="26"/>
        </w:rPr>
        <w:t>demanden la aprobación o decisión del Ejecutivo</w:t>
      </w:r>
      <w:r w:rsidR="000962FD">
        <w:rPr>
          <w:rFonts w:ascii="Arial" w:hAnsi="Arial" w:cs="Arial"/>
          <w:color w:val="000000"/>
          <w:sz w:val="26"/>
          <w:szCs w:val="26"/>
        </w:rPr>
        <w:t>, ello conforme las disposiciones legales y reglamentarias que existan en materia de transporte</w:t>
      </w:r>
      <w:r>
        <w:rPr>
          <w:rFonts w:ascii="Arial" w:hAnsi="Arial" w:cs="Arial"/>
          <w:color w:val="000000"/>
          <w:sz w:val="26"/>
          <w:szCs w:val="26"/>
        </w:rPr>
        <w:t xml:space="preserve">; ahora </w:t>
      </w:r>
      <w:r w:rsidR="009B6A5C">
        <w:rPr>
          <w:rFonts w:ascii="Arial" w:hAnsi="Arial" w:cs="Arial"/>
          <w:color w:val="000000"/>
          <w:sz w:val="26"/>
          <w:szCs w:val="26"/>
        </w:rPr>
        <w:t xml:space="preserve">en </w:t>
      </w:r>
      <w:r>
        <w:rPr>
          <w:rFonts w:ascii="Arial" w:hAnsi="Arial" w:cs="Arial"/>
          <w:color w:val="000000"/>
          <w:sz w:val="26"/>
          <w:szCs w:val="26"/>
        </w:rPr>
        <w:t>el artículo 25 fracción I</w:t>
      </w:r>
      <w:r w:rsidR="009B6A5C">
        <w:rPr>
          <w:rStyle w:val="Refdenotaalpie"/>
          <w:rFonts w:ascii="Arial" w:hAnsi="Arial" w:cs="Arial"/>
          <w:color w:val="000000"/>
          <w:sz w:val="26"/>
          <w:szCs w:val="26"/>
        </w:rPr>
        <w:footnoteReference w:id="5"/>
      </w:r>
      <w:r>
        <w:rPr>
          <w:rFonts w:ascii="Arial" w:hAnsi="Arial" w:cs="Arial"/>
          <w:color w:val="000000"/>
          <w:sz w:val="26"/>
          <w:szCs w:val="26"/>
        </w:rPr>
        <w:t>, de la Ley de Tránsito Reforma, que también fue citado por la demandada co</w:t>
      </w:r>
      <w:r w:rsidR="009B6A5C">
        <w:rPr>
          <w:rFonts w:ascii="Arial" w:hAnsi="Arial" w:cs="Arial"/>
          <w:color w:val="000000"/>
          <w:sz w:val="26"/>
          <w:szCs w:val="26"/>
        </w:rPr>
        <w:t>mo</w:t>
      </w:r>
      <w:r>
        <w:rPr>
          <w:rFonts w:ascii="Arial" w:hAnsi="Arial" w:cs="Arial"/>
          <w:color w:val="000000"/>
          <w:sz w:val="26"/>
          <w:szCs w:val="26"/>
        </w:rPr>
        <w:t xml:space="preserve"> fundamento del razonamiento que esgrimió para declarar procedente la aprobación de la cesión de derechos que solicitó </w:t>
      </w:r>
      <w:r w:rsidR="000674E8">
        <w:rPr>
          <w:rFonts w:ascii="Arial" w:hAnsi="Arial" w:cs="Arial"/>
          <w:color w:val="000000"/>
          <w:sz w:val="26"/>
          <w:szCs w:val="26"/>
        </w:rPr>
        <w:t>**********</w:t>
      </w:r>
      <w:r w:rsidR="009B6A5C">
        <w:rPr>
          <w:rFonts w:ascii="Arial" w:hAnsi="Arial" w:cs="Arial"/>
          <w:color w:val="000000"/>
          <w:sz w:val="26"/>
          <w:szCs w:val="26"/>
        </w:rPr>
        <w:t xml:space="preserve">, se indica que </w:t>
      </w:r>
      <w:r w:rsidR="00AD027A">
        <w:rPr>
          <w:rFonts w:ascii="Arial" w:hAnsi="Arial" w:cs="Arial"/>
          <w:color w:val="000000"/>
          <w:sz w:val="26"/>
          <w:szCs w:val="26"/>
        </w:rPr>
        <w:t>la</w:t>
      </w:r>
      <w:r w:rsidR="00C120E7">
        <w:rPr>
          <w:rFonts w:ascii="Arial" w:hAnsi="Arial" w:cs="Arial"/>
          <w:color w:val="000000"/>
          <w:sz w:val="26"/>
          <w:szCs w:val="26"/>
        </w:rPr>
        <w:t>s c</w:t>
      </w:r>
      <w:r w:rsidR="00AD027A">
        <w:rPr>
          <w:rFonts w:ascii="Arial" w:hAnsi="Arial" w:cs="Arial"/>
          <w:color w:val="000000"/>
          <w:sz w:val="26"/>
          <w:szCs w:val="26"/>
        </w:rPr>
        <w:t xml:space="preserve">oncesiones o permisos caducarán de pleno derecho porque se </w:t>
      </w:r>
      <w:r w:rsidR="00AD027A" w:rsidRPr="00AD027A">
        <w:rPr>
          <w:rFonts w:ascii="Arial" w:hAnsi="Arial" w:cs="Arial"/>
          <w:b/>
          <w:color w:val="000000"/>
          <w:sz w:val="26"/>
          <w:szCs w:val="26"/>
        </w:rPr>
        <w:t>ceda</w:t>
      </w:r>
      <w:r w:rsidR="00AD027A">
        <w:rPr>
          <w:rFonts w:ascii="Arial" w:hAnsi="Arial" w:cs="Arial"/>
          <w:color w:val="000000"/>
          <w:sz w:val="26"/>
          <w:szCs w:val="26"/>
        </w:rPr>
        <w:t xml:space="preserve">, enajene o hipoteque, pero que esto no podrá ser sin la </w:t>
      </w:r>
      <w:r w:rsidR="00AD027A" w:rsidRPr="00AD027A">
        <w:rPr>
          <w:rFonts w:ascii="Arial" w:hAnsi="Arial" w:cs="Arial"/>
          <w:b/>
          <w:color w:val="000000"/>
          <w:sz w:val="26"/>
          <w:szCs w:val="26"/>
        </w:rPr>
        <w:t>aprobación</w:t>
      </w:r>
      <w:r w:rsidR="00AD027A">
        <w:rPr>
          <w:rFonts w:ascii="Arial" w:hAnsi="Arial" w:cs="Arial"/>
          <w:color w:val="000000"/>
          <w:sz w:val="26"/>
          <w:szCs w:val="26"/>
        </w:rPr>
        <w:t xml:space="preserve"> del Ejecutivo del Estado.</w:t>
      </w:r>
    </w:p>
    <w:p w:rsidR="0013524B" w:rsidRDefault="00AD027A" w:rsidP="00D85145">
      <w:pPr>
        <w:spacing w:before="240" w:line="360" w:lineRule="auto"/>
        <w:ind w:firstLine="708"/>
        <w:jc w:val="both"/>
        <w:rPr>
          <w:rFonts w:ascii="Arial" w:hAnsi="Arial" w:cs="Arial"/>
          <w:color w:val="000000"/>
          <w:sz w:val="26"/>
          <w:szCs w:val="26"/>
        </w:rPr>
      </w:pPr>
      <w:r>
        <w:rPr>
          <w:rFonts w:ascii="Arial" w:hAnsi="Arial" w:cs="Arial"/>
          <w:color w:val="000000"/>
          <w:sz w:val="26"/>
          <w:szCs w:val="26"/>
        </w:rPr>
        <w:t xml:space="preserve">De lo anterior se hace patente, que el entonces Coordinador General del Transporte, únicamente contaba con la facultad de </w:t>
      </w:r>
      <w:r w:rsidRPr="00E164A3">
        <w:rPr>
          <w:rFonts w:ascii="Arial" w:hAnsi="Arial" w:cs="Arial"/>
          <w:b/>
          <w:color w:val="000000"/>
          <w:sz w:val="26"/>
          <w:szCs w:val="26"/>
        </w:rPr>
        <w:t>desahogar</w:t>
      </w:r>
      <w:r>
        <w:rPr>
          <w:rFonts w:ascii="Arial" w:hAnsi="Arial" w:cs="Arial"/>
          <w:color w:val="000000"/>
          <w:sz w:val="26"/>
          <w:szCs w:val="26"/>
        </w:rPr>
        <w:t xml:space="preserve"> los procedimientos jurídicos, pero no de </w:t>
      </w:r>
      <w:r w:rsidRPr="00E164A3">
        <w:rPr>
          <w:rFonts w:ascii="Arial" w:hAnsi="Arial" w:cs="Arial"/>
          <w:b/>
          <w:color w:val="000000"/>
          <w:sz w:val="26"/>
          <w:szCs w:val="26"/>
        </w:rPr>
        <w:t>resolver</w:t>
      </w:r>
      <w:r>
        <w:rPr>
          <w:rFonts w:ascii="Arial" w:hAnsi="Arial" w:cs="Arial"/>
          <w:color w:val="000000"/>
          <w:sz w:val="26"/>
          <w:szCs w:val="26"/>
        </w:rPr>
        <w:t xml:space="preserve">, porque esta es una facultad exclusiva del Ejecutivo del Estado, </w:t>
      </w:r>
      <w:r w:rsidR="0013524B">
        <w:rPr>
          <w:rFonts w:ascii="Arial" w:hAnsi="Arial" w:cs="Arial"/>
          <w:color w:val="000000"/>
          <w:sz w:val="26"/>
          <w:szCs w:val="26"/>
        </w:rPr>
        <w:t>conforme lo indica el referido artículo 25 en su fracción I; esto lleva a que la emisión de la resolución impugnada por el aquí recurrente en primera instancia, resulte ilegal al haber sido emitido por una autoridad incompetente</w:t>
      </w:r>
      <w:r w:rsidR="009764C2">
        <w:rPr>
          <w:rFonts w:ascii="Arial" w:hAnsi="Arial" w:cs="Arial"/>
          <w:color w:val="000000"/>
          <w:sz w:val="26"/>
          <w:szCs w:val="26"/>
        </w:rPr>
        <w:t>, que</w:t>
      </w:r>
      <w:r w:rsidR="00C120E7">
        <w:rPr>
          <w:rFonts w:ascii="Arial" w:hAnsi="Arial" w:cs="Arial"/>
          <w:color w:val="000000"/>
          <w:sz w:val="26"/>
          <w:szCs w:val="26"/>
        </w:rPr>
        <w:t xml:space="preserve"> trae como consecuencia </w:t>
      </w:r>
      <w:r w:rsidR="009764C2">
        <w:rPr>
          <w:rFonts w:ascii="Arial" w:hAnsi="Arial" w:cs="Arial"/>
          <w:color w:val="000000"/>
          <w:sz w:val="26"/>
          <w:szCs w:val="26"/>
        </w:rPr>
        <w:t>que</w:t>
      </w:r>
      <w:r w:rsidR="00C120E7">
        <w:rPr>
          <w:rFonts w:ascii="Arial" w:hAnsi="Arial" w:cs="Arial"/>
          <w:color w:val="000000"/>
          <w:sz w:val="26"/>
          <w:szCs w:val="26"/>
        </w:rPr>
        <w:t xml:space="preserve"> se</w:t>
      </w:r>
      <w:r w:rsidR="009764C2">
        <w:rPr>
          <w:rFonts w:ascii="Arial" w:hAnsi="Arial" w:cs="Arial"/>
          <w:color w:val="000000"/>
          <w:sz w:val="26"/>
          <w:szCs w:val="26"/>
        </w:rPr>
        <w:t xml:space="preserve"> deba declarar su nulidad</w:t>
      </w:r>
      <w:r w:rsidR="00E164A3">
        <w:rPr>
          <w:rFonts w:ascii="Arial" w:hAnsi="Arial" w:cs="Arial"/>
          <w:color w:val="000000"/>
          <w:sz w:val="26"/>
          <w:szCs w:val="26"/>
        </w:rPr>
        <w:t xml:space="preserve">; sin embargo, debe puntualizarse que la resolución en comento, se realizó en atención a una petición que fue realizada por </w:t>
      </w:r>
      <w:r w:rsidR="000674E8">
        <w:rPr>
          <w:rFonts w:ascii="Arial" w:hAnsi="Arial" w:cs="Arial"/>
          <w:color w:val="000000"/>
          <w:sz w:val="26"/>
          <w:szCs w:val="26"/>
        </w:rPr>
        <w:t>**********</w:t>
      </w:r>
      <w:r w:rsidR="00E164A3">
        <w:rPr>
          <w:rFonts w:ascii="Arial" w:hAnsi="Arial" w:cs="Arial"/>
          <w:color w:val="000000"/>
          <w:sz w:val="26"/>
          <w:szCs w:val="26"/>
        </w:rPr>
        <w:t xml:space="preserve">, la que no puede quedarse sin </w:t>
      </w:r>
      <w:r w:rsidR="009764C2">
        <w:rPr>
          <w:rFonts w:ascii="Arial" w:hAnsi="Arial" w:cs="Arial"/>
          <w:color w:val="000000"/>
          <w:sz w:val="26"/>
          <w:szCs w:val="26"/>
        </w:rPr>
        <w:t>respuesta, pues de hacerlo se transgredirían derechos de un tercero</w:t>
      </w:r>
      <w:r w:rsidR="00C120E7">
        <w:rPr>
          <w:rFonts w:ascii="Arial" w:hAnsi="Arial" w:cs="Arial"/>
          <w:color w:val="000000"/>
          <w:sz w:val="26"/>
          <w:szCs w:val="26"/>
        </w:rPr>
        <w:t>;</w:t>
      </w:r>
      <w:r w:rsidR="001A49FA">
        <w:rPr>
          <w:rFonts w:ascii="Arial" w:hAnsi="Arial" w:cs="Arial"/>
          <w:color w:val="000000"/>
          <w:sz w:val="26"/>
          <w:szCs w:val="26"/>
        </w:rPr>
        <w:t xml:space="preserve"> por lo que la </w:t>
      </w:r>
      <w:r w:rsidR="001A49FA" w:rsidRPr="0081350E">
        <w:rPr>
          <w:rFonts w:ascii="Arial" w:hAnsi="Arial" w:cs="Arial"/>
          <w:b/>
          <w:color w:val="000000"/>
          <w:sz w:val="26"/>
          <w:szCs w:val="26"/>
        </w:rPr>
        <w:t>nulidad</w:t>
      </w:r>
      <w:r w:rsidR="001A49FA">
        <w:rPr>
          <w:rFonts w:ascii="Arial" w:hAnsi="Arial" w:cs="Arial"/>
          <w:color w:val="000000"/>
          <w:sz w:val="26"/>
          <w:szCs w:val="26"/>
        </w:rPr>
        <w:t xml:space="preserve"> a decretarse debe ser </w:t>
      </w:r>
      <w:r w:rsidR="001A49FA" w:rsidRPr="0081350E">
        <w:rPr>
          <w:rFonts w:ascii="Arial" w:hAnsi="Arial" w:cs="Arial"/>
          <w:b/>
          <w:color w:val="000000"/>
          <w:sz w:val="26"/>
          <w:szCs w:val="26"/>
        </w:rPr>
        <w:t>para el efecto</w:t>
      </w:r>
      <w:r w:rsidR="001A49FA">
        <w:rPr>
          <w:rFonts w:ascii="Arial" w:hAnsi="Arial" w:cs="Arial"/>
          <w:color w:val="000000"/>
          <w:sz w:val="26"/>
          <w:szCs w:val="26"/>
        </w:rPr>
        <w:t>, de que tal petición sea resuelta por la autoridad competente para ello.</w:t>
      </w:r>
    </w:p>
    <w:p w:rsidR="001A49FA" w:rsidRDefault="001A49FA" w:rsidP="00D85145">
      <w:pPr>
        <w:spacing w:before="240" w:line="360" w:lineRule="auto"/>
        <w:ind w:firstLine="708"/>
        <w:jc w:val="both"/>
        <w:rPr>
          <w:rFonts w:ascii="Arial" w:hAnsi="Arial" w:cs="Arial"/>
          <w:color w:val="000000"/>
          <w:sz w:val="26"/>
          <w:szCs w:val="26"/>
        </w:rPr>
      </w:pPr>
      <w:r>
        <w:rPr>
          <w:rFonts w:ascii="Arial" w:hAnsi="Arial" w:cs="Arial"/>
          <w:color w:val="000000"/>
          <w:sz w:val="26"/>
          <w:szCs w:val="26"/>
        </w:rPr>
        <w:t>Haciéndose hincapié</w:t>
      </w:r>
      <w:r w:rsidR="00B4785D">
        <w:rPr>
          <w:rFonts w:ascii="Arial" w:hAnsi="Arial" w:cs="Arial"/>
          <w:color w:val="000000"/>
          <w:sz w:val="26"/>
          <w:szCs w:val="26"/>
        </w:rPr>
        <w:t>, que si bien como ya se puntualizó la resolución de dos de junio de dos mil ocho, materia del juicio de nulidad fue emitida por el entonces Coordinador General del Transporte, autoridad incompetente para ello, porque sólo estaba facultada para desahogar en su caso la petición que le fue realizada</w:t>
      </w:r>
      <w:r w:rsidR="00C120E7">
        <w:rPr>
          <w:rFonts w:ascii="Arial" w:hAnsi="Arial" w:cs="Arial"/>
          <w:color w:val="000000"/>
          <w:sz w:val="26"/>
          <w:szCs w:val="26"/>
        </w:rPr>
        <w:t>;</w:t>
      </w:r>
      <w:r w:rsidR="00B4785D">
        <w:rPr>
          <w:rFonts w:ascii="Arial" w:hAnsi="Arial" w:cs="Arial"/>
          <w:color w:val="000000"/>
          <w:sz w:val="26"/>
          <w:szCs w:val="26"/>
        </w:rPr>
        <w:t xml:space="preserve"> en la actualidad quien ahora es Secretario de la Secretaría de Movilidad, </w:t>
      </w:r>
      <w:r w:rsidR="00147E25">
        <w:rPr>
          <w:rFonts w:ascii="Arial" w:hAnsi="Arial" w:cs="Arial"/>
          <w:color w:val="000000"/>
          <w:sz w:val="26"/>
          <w:szCs w:val="26"/>
        </w:rPr>
        <w:t xml:space="preserve">sí cuenta con facultad para atender la petición realizada por </w:t>
      </w:r>
      <w:r w:rsidR="000674E8">
        <w:rPr>
          <w:rFonts w:ascii="Arial" w:hAnsi="Arial" w:cs="Arial"/>
          <w:color w:val="000000"/>
          <w:sz w:val="26"/>
          <w:szCs w:val="26"/>
        </w:rPr>
        <w:t>**********</w:t>
      </w:r>
      <w:r w:rsidR="00147E25">
        <w:rPr>
          <w:rFonts w:ascii="Arial" w:hAnsi="Arial" w:cs="Arial"/>
          <w:color w:val="000000"/>
          <w:sz w:val="26"/>
          <w:szCs w:val="26"/>
        </w:rPr>
        <w:t xml:space="preserve">, para la aprobación de la cesión de derechos de la concesión de transporte contenida en el acuerdo 2306, ello de conformidad con </w:t>
      </w:r>
      <w:r w:rsidR="00C120E7">
        <w:rPr>
          <w:rFonts w:ascii="Arial" w:hAnsi="Arial" w:cs="Arial"/>
          <w:color w:val="000000"/>
          <w:sz w:val="26"/>
          <w:szCs w:val="26"/>
        </w:rPr>
        <w:t xml:space="preserve">lo dispuesto en </w:t>
      </w:r>
      <w:r w:rsidR="00147E25">
        <w:rPr>
          <w:rFonts w:ascii="Arial" w:hAnsi="Arial" w:cs="Arial"/>
          <w:color w:val="000000"/>
          <w:sz w:val="26"/>
          <w:szCs w:val="26"/>
        </w:rPr>
        <w:t>el Acuerdo publicado en el Periódico Oficial del Estado</w:t>
      </w:r>
      <w:r w:rsidR="00C120E7">
        <w:rPr>
          <w:rFonts w:ascii="Arial" w:hAnsi="Arial" w:cs="Arial"/>
          <w:color w:val="000000"/>
          <w:sz w:val="26"/>
          <w:szCs w:val="26"/>
        </w:rPr>
        <w:t>,</w:t>
      </w:r>
      <w:r w:rsidR="00147E25">
        <w:rPr>
          <w:rFonts w:ascii="Arial" w:hAnsi="Arial" w:cs="Arial"/>
          <w:color w:val="000000"/>
          <w:sz w:val="26"/>
          <w:szCs w:val="26"/>
        </w:rPr>
        <w:t xml:space="preserve"> el cuatro de septiembre de dos mil doce</w:t>
      </w:r>
      <w:r w:rsidR="00C120E7">
        <w:rPr>
          <w:rStyle w:val="Refdenotaalpie"/>
          <w:rFonts w:ascii="Arial" w:hAnsi="Arial" w:cs="Arial"/>
          <w:color w:val="000000"/>
          <w:sz w:val="26"/>
          <w:szCs w:val="26"/>
        </w:rPr>
        <w:footnoteReference w:id="6"/>
      </w:r>
      <w:r w:rsidR="00147E25">
        <w:rPr>
          <w:rFonts w:ascii="Arial" w:hAnsi="Arial" w:cs="Arial"/>
          <w:color w:val="000000"/>
          <w:sz w:val="26"/>
          <w:szCs w:val="26"/>
        </w:rPr>
        <w:t>, por el que se le delegan facultades al Secretario de Vialidad y Transporte del Poder Ejecutivo del Estado, para que en el ejercicio de sus atribuciones ejecute las disposiciones señaladas en el artículo 95 Bis</w:t>
      </w:r>
      <w:r w:rsidR="00147E25">
        <w:rPr>
          <w:rStyle w:val="Refdenotaalpie"/>
          <w:rFonts w:ascii="Arial" w:hAnsi="Arial" w:cs="Arial"/>
          <w:color w:val="000000"/>
          <w:sz w:val="26"/>
          <w:szCs w:val="26"/>
        </w:rPr>
        <w:footnoteReference w:id="7"/>
      </w:r>
      <w:r w:rsidR="00147E25">
        <w:rPr>
          <w:rFonts w:ascii="Arial" w:hAnsi="Arial" w:cs="Arial"/>
          <w:color w:val="000000"/>
          <w:sz w:val="26"/>
          <w:szCs w:val="26"/>
        </w:rPr>
        <w:t xml:space="preserve"> del Reglamento de la Ley de Tr</w:t>
      </w:r>
      <w:r w:rsidR="00424260">
        <w:rPr>
          <w:rFonts w:ascii="Arial" w:hAnsi="Arial" w:cs="Arial"/>
          <w:color w:val="000000"/>
          <w:sz w:val="26"/>
          <w:szCs w:val="26"/>
        </w:rPr>
        <w:t>á</w:t>
      </w:r>
      <w:r w:rsidR="00147E25">
        <w:rPr>
          <w:rFonts w:ascii="Arial" w:hAnsi="Arial" w:cs="Arial"/>
          <w:color w:val="000000"/>
          <w:sz w:val="26"/>
          <w:szCs w:val="26"/>
        </w:rPr>
        <w:t xml:space="preserve">nsito Reformada del Estado de Oaxaca, precepto legal que dispone </w:t>
      </w:r>
      <w:r w:rsidR="00C120E7">
        <w:rPr>
          <w:rFonts w:ascii="Arial" w:hAnsi="Arial" w:cs="Arial"/>
          <w:color w:val="000000"/>
          <w:sz w:val="26"/>
          <w:szCs w:val="26"/>
        </w:rPr>
        <w:t xml:space="preserve">puntualmente en lo que interesa, </w:t>
      </w:r>
      <w:r w:rsidR="00147E25">
        <w:rPr>
          <w:rFonts w:ascii="Arial" w:hAnsi="Arial" w:cs="Arial"/>
          <w:color w:val="000000"/>
          <w:sz w:val="26"/>
          <w:szCs w:val="26"/>
        </w:rPr>
        <w:t xml:space="preserve">que la Secretaría de Vialidad y de Transporte, </w:t>
      </w:r>
      <w:r w:rsidR="00147E25" w:rsidRPr="00147E25">
        <w:rPr>
          <w:rFonts w:ascii="Arial" w:hAnsi="Arial" w:cs="Arial"/>
          <w:b/>
          <w:color w:val="000000"/>
          <w:sz w:val="26"/>
          <w:szCs w:val="26"/>
        </w:rPr>
        <w:t xml:space="preserve">podrá autorizar las cesiones de </w:t>
      </w:r>
      <w:r w:rsidR="00147E25">
        <w:rPr>
          <w:rFonts w:ascii="Arial" w:hAnsi="Arial" w:cs="Arial"/>
          <w:b/>
          <w:color w:val="000000"/>
          <w:sz w:val="26"/>
          <w:szCs w:val="26"/>
        </w:rPr>
        <w:t>de</w:t>
      </w:r>
      <w:r w:rsidR="00147E25" w:rsidRPr="00147E25">
        <w:rPr>
          <w:rFonts w:ascii="Arial" w:hAnsi="Arial" w:cs="Arial"/>
          <w:b/>
          <w:color w:val="000000"/>
          <w:sz w:val="26"/>
          <w:szCs w:val="26"/>
        </w:rPr>
        <w:t>rechos</w:t>
      </w:r>
      <w:r w:rsidR="00147E25">
        <w:rPr>
          <w:rFonts w:ascii="Arial" w:hAnsi="Arial" w:cs="Arial"/>
          <w:b/>
          <w:color w:val="000000"/>
          <w:sz w:val="26"/>
          <w:szCs w:val="26"/>
        </w:rPr>
        <w:t xml:space="preserve"> </w:t>
      </w:r>
      <w:r w:rsidR="0081350E">
        <w:rPr>
          <w:rFonts w:ascii="Arial" w:hAnsi="Arial" w:cs="Arial"/>
          <w:color w:val="000000"/>
          <w:sz w:val="26"/>
          <w:szCs w:val="26"/>
        </w:rPr>
        <w:t>de las concesiones otorgadas por el Gobernador del Estado.</w:t>
      </w:r>
    </w:p>
    <w:p w:rsidR="0081350E" w:rsidRPr="0081350E" w:rsidRDefault="0081350E" w:rsidP="00D85145">
      <w:pPr>
        <w:spacing w:before="240" w:line="360" w:lineRule="auto"/>
        <w:ind w:firstLine="708"/>
        <w:jc w:val="both"/>
        <w:rPr>
          <w:rFonts w:ascii="Arial" w:hAnsi="Arial" w:cs="Arial"/>
          <w:color w:val="000000"/>
          <w:sz w:val="26"/>
          <w:szCs w:val="26"/>
        </w:rPr>
      </w:pPr>
      <w:r>
        <w:rPr>
          <w:rFonts w:ascii="Arial" w:hAnsi="Arial" w:cs="Arial"/>
          <w:color w:val="000000"/>
          <w:sz w:val="26"/>
          <w:szCs w:val="26"/>
        </w:rPr>
        <w:t>De ahí que, sea dicha autoridad quien en la actualidad es la facultad</w:t>
      </w:r>
      <w:r w:rsidR="00424260">
        <w:rPr>
          <w:rFonts w:ascii="Arial" w:hAnsi="Arial" w:cs="Arial"/>
          <w:color w:val="000000"/>
          <w:sz w:val="26"/>
          <w:szCs w:val="26"/>
        </w:rPr>
        <w:t>a</w:t>
      </w:r>
      <w:r>
        <w:rPr>
          <w:rFonts w:ascii="Arial" w:hAnsi="Arial" w:cs="Arial"/>
          <w:color w:val="000000"/>
          <w:sz w:val="26"/>
          <w:szCs w:val="26"/>
        </w:rPr>
        <w:t xml:space="preserve"> para atender la multicitada petición, quien deberá resolver lo atinente.</w:t>
      </w:r>
    </w:p>
    <w:p w:rsidR="00481481" w:rsidRDefault="00481481" w:rsidP="00481481">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t>En consecuencia</w:t>
      </w:r>
      <w:r w:rsidR="00C120E7">
        <w:rPr>
          <w:rFonts w:ascii="Arial" w:eastAsia="Calibri" w:hAnsi="Arial" w:cs="Arial"/>
          <w:bCs/>
          <w:sz w:val="26"/>
          <w:szCs w:val="26"/>
        </w:rPr>
        <w:t xml:space="preserve"> ante las consideraciones indicadas, </w:t>
      </w:r>
      <w:r>
        <w:rPr>
          <w:rFonts w:ascii="Arial" w:eastAsia="Calibri" w:hAnsi="Arial" w:cs="Arial"/>
          <w:bCs/>
          <w:sz w:val="26"/>
          <w:szCs w:val="26"/>
        </w:rPr>
        <w:t xml:space="preserve">lo procedente es </w:t>
      </w:r>
      <w:r w:rsidR="0081350E" w:rsidRPr="0081350E">
        <w:rPr>
          <w:rFonts w:ascii="Arial" w:eastAsia="Calibri" w:hAnsi="Arial" w:cs="Arial"/>
          <w:b/>
          <w:bCs/>
          <w:sz w:val="26"/>
          <w:szCs w:val="26"/>
        </w:rPr>
        <w:t>REVOCAR</w:t>
      </w:r>
      <w:r w:rsidR="0081350E">
        <w:rPr>
          <w:rFonts w:ascii="Arial" w:eastAsia="Calibri" w:hAnsi="Arial" w:cs="Arial"/>
          <w:bCs/>
          <w:sz w:val="26"/>
          <w:szCs w:val="26"/>
        </w:rPr>
        <w:t xml:space="preserve"> </w:t>
      </w:r>
      <w:r>
        <w:rPr>
          <w:rFonts w:ascii="Arial" w:eastAsia="Calibri" w:hAnsi="Arial" w:cs="Arial"/>
          <w:bCs/>
          <w:sz w:val="26"/>
          <w:szCs w:val="26"/>
        </w:rPr>
        <w:t xml:space="preserve">la </w:t>
      </w:r>
      <w:r w:rsidR="0081350E">
        <w:rPr>
          <w:rFonts w:ascii="Arial" w:eastAsia="Calibri" w:hAnsi="Arial" w:cs="Arial"/>
          <w:bCs/>
          <w:sz w:val="26"/>
          <w:szCs w:val="26"/>
        </w:rPr>
        <w:t xml:space="preserve">sentencia </w:t>
      </w:r>
      <w:r>
        <w:rPr>
          <w:rFonts w:ascii="Arial" w:eastAsia="Calibri" w:hAnsi="Arial" w:cs="Arial"/>
          <w:bCs/>
          <w:sz w:val="26"/>
          <w:szCs w:val="26"/>
        </w:rPr>
        <w:t xml:space="preserve">alzada y </w:t>
      </w:r>
      <w:r>
        <w:rPr>
          <w:rFonts w:ascii="Arial" w:hAnsi="Arial" w:cs="Arial"/>
          <w:sz w:val="26"/>
          <w:szCs w:val="26"/>
        </w:rPr>
        <w:t xml:space="preserve">con fundamento en los artículos 207 y 208 de la Ley de Justicia Administrativa para el Estado, </w:t>
      </w:r>
      <w:r>
        <w:rPr>
          <w:rFonts w:ascii="Arial" w:hAnsi="Arial" w:cs="Arial"/>
          <w:bCs/>
          <w:iCs/>
          <w:sz w:val="26"/>
          <w:szCs w:val="26"/>
        </w:rPr>
        <w:t>vigente la inicio del juicio natural</w:t>
      </w:r>
      <w:r>
        <w:rPr>
          <w:rFonts w:ascii="Arial" w:hAnsi="Arial" w:cs="Arial"/>
          <w:sz w:val="26"/>
          <w:szCs w:val="26"/>
        </w:rPr>
        <w:t>, se:</w:t>
      </w:r>
    </w:p>
    <w:p w:rsidR="002161DA" w:rsidRDefault="002161DA" w:rsidP="002161DA">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2161DA" w:rsidRDefault="002161DA" w:rsidP="002161DA">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0081350E">
        <w:rPr>
          <w:rFonts w:ascii="Arial" w:hAnsi="Arial" w:cs="Arial"/>
          <w:b/>
          <w:sz w:val="26"/>
          <w:szCs w:val="26"/>
          <w:lang w:val="es-MX"/>
        </w:rPr>
        <w:t xml:space="preserve">REVOCA </w:t>
      </w:r>
      <w:r w:rsidR="00481481">
        <w:rPr>
          <w:rFonts w:ascii="Arial" w:hAnsi="Arial" w:cs="Arial"/>
          <w:sz w:val="26"/>
          <w:szCs w:val="26"/>
          <w:lang w:val="es-MX"/>
        </w:rPr>
        <w:t xml:space="preserve">la </w:t>
      </w:r>
      <w:r w:rsidR="0081350E">
        <w:rPr>
          <w:rFonts w:ascii="Arial" w:hAnsi="Arial" w:cs="Arial"/>
          <w:sz w:val="26"/>
          <w:szCs w:val="26"/>
          <w:lang w:val="es-MX"/>
        </w:rPr>
        <w:t xml:space="preserve">sentencia </w:t>
      </w:r>
      <w:r w:rsidR="001F309C">
        <w:rPr>
          <w:rFonts w:ascii="Arial" w:hAnsi="Arial" w:cs="Arial"/>
          <w:sz w:val="26"/>
          <w:szCs w:val="26"/>
          <w:lang w:val="es-MX"/>
        </w:rPr>
        <w:t>recurrid</w:t>
      </w:r>
      <w:r w:rsidR="00870705">
        <w:rPr>
          <w:rFonts w:ascii="Arial" w:hAnsi="Arial" w:cs="Arial"/>
          <w:sz w:val="26"/>
          <w:szCs w:val="26"/>
          <w:lang w:val="es-MX"/>
        </w:rPr>
        <w:t>a</w:t>
      </w:r>
      <w:r>
        <w:rPr>
          <w:rFonts w:ascii="Arial" w:hAnsi="Arial" w:cs="Arial"/>
          <w:sz w:val="26"/>
          <w:szCs w:val="26"/>
          <w:lang w:val="es-MX"/>
        </w:rPr>
        <w:t>, por las razones expuestas e</w:t>
      </w:r>
      <w:r w:rsidR="006D002E">
        <w:rPr>
          <w:rFonts w:ascii="Arial" w:hAnsi="Arial" w:cs="Arial"/>
          <w:sz w:val="26"/>
          <w:szCs w:val="26"/>
          <w:lang w:val="es-MX"/>
        </w:rPr>
        <w:t>n el considerando que antecede.</w:t>
      </w:r>
    </w:p>
    <w:p w:rsidR="00EA0FD5" w:rsidRDefault="00D03B93" w:rsidP="00EA0FD5">
      <w:pPr>
        <w:pStyle w:val="Sinespaciado"/>
        <w:spacing w:before="240" w:after="240" w:line="360" w:lineRule="auto"/>
        <w:ind w:firstLine="708"/>
        <w:jc w:val="both"/>
        <w:rPr>
          <w:rFonts w:ascii="Arial" w:hAnsi="Arial" w:cs="Arial"/>
          <w:sz w:val="26"/>
          <w:szCs w:val="26"/>
        </w:rPr>
      </w:pPr>
      <w:r>
        <w:rPr>
          <w:rFonts w:ascii="Arial" w:hAnsi="Arial" w:cs="Arial"/>
          <w:b/>
          <w:sz w:val="26"/>
          <w:szCs w:val="26"/>
        </w:rPr>
        <w:t xml:space="preserve">SEGUNDO. </w:t>
      </w:r>
      <w:r w:rsidR="00EA0FD5" w:rsidRPr="007B1E95">
        <w:rPr>
          <w:rFonts w:ascii="Arial" w:hAnsi="Arial" w:cs="Arial"/>
          <w:b/>
          <w:sz w:val="26"/>
          <w:szCs w:val="26"/>
        </w:rPr>
        <w:t>N</w:t>
      </w:r>
      <w:r w:rsidR="00EA0FD5" w:rsidRPr="006E349D">
        <w:rPr>
          <w:rFonts w:ascii="Arial" w:hAnsi="Arial" w:cs="Arial"/>
          <w:b/>
          <w:sz w:val="26"/>
          <w:szCs w:val="26"/>
        </w:rPr>
        <w:t>OTIFÍQUESE</w:t>
      </w:r>
      <w:r w:rsidR="00EA0FD5">
        <w:rPr>
          <w:rFonts w:ascii="Arial" w:hAnsi="Arial" w:cs="Arial"/>
          <w:b/>
          <w:sz w:val="26"/>
          <w:szCs w:val="26"/>
        </w:rPr>
        <w:t xml:space="preserve"> Y CÚMPLASE,</w:t>
      </w:r>
      <w:r w:rsidR="00EA0FD5" w:rsidRPr="00986534">
        <w:rPr>
          <w:rFonts w:ascii="Arial" w:hAnsi="Arial" w:cs="Arial"/>
          <w:sz w:val="26"/>
          <w:szCs w:val="26"/>
        </w:rPr>
        <w:t xml:space="preserve"> </w:t>
      </w:r>
      <w:r w:rsidR="00EA0FD5">
        <w:rPr>
          <w:rFonts w:ascii="Arial" w:hAnsi="Arial" w:cs="Arial"/>
          <w:sz w:val="26"/>
          <w:szCs w:val="26"/>
        </w:rPr>
        <w:t>remítase copia certificada de la presente resolución a la Primera Sala Unitaria de Primera Instancia de este Tribunal y en su oportunidad archívese el presente cuaderno de revisión como asunto concluido.</w:t>
      </w:r>
    </w:p>
    <w:p w:rsidR="00582569" w:rsidRPr="00582569" w:rsidRDefault="00582569" w:rsidP="00EA0FD5">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FF63A6" w:rsidRDefault="00FF63A6" w:rsidP="00FF63A6">
      <w:pPr>
        <w:spacing w:line="360" w:lineRule="auto"/>
        <w:ind w:firstLine="708"/>
        <w:jc w:val="both"/>
        <w:rPr>
          <w:rFonts w:ascii="Arial" w:eastAsiaTheme="minorEastAsia" w:hAnsi="Arial" w:cs="Arial"/>
          <w:sz w:val="26"/>
          <w:szCs w:val="26"/>
          <w:lang w:val="es-MX" w:eastAsia="es-MX"/>
        </w:rPr>
      </w:pPr>
      <w:r>
        <w:rPr>
          <w:rFonts w:ascii="Arial" w:eastAsiaTheme="minorEastAsia" w:hAnsi="Arial" w:cs="Arial"/>
          <w:sz w:val="26"/>
          <w:szCs w:val="26"/>
          <w:lang w:val="es-MX"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FF63A6" w:rsidRDefault="00FF63A6" w:rsidP="00FF63A6">
      <w:pPr>
        <w:spacing w:line="360" w:lineRule="auto"/>
        <w:ind w:firstLine="708"/>
        <w:jc w:val="both"/>
        <w:rPr>
          <w:rFonts w:ascii="Arial" w:eastAsiaTheme="minorEastAsia" w:hAnsi="Arial" w:cs="Arial"/>
          <w:sz w:val="26"/>
          <w:szCs w:val="26"/>
          <w:lang w:val="es-MX" w:eastAsia="es-MX"/>
        </w:rPr>
      </w:pPr>
    </w:p>
    <w:p w:rsidR="00FF63A6" w:rsidRDefault="00FF63A6" w:rsidP="00FF63A6">
      <w:pPr>
        <w:spacing w:line="360" w:lineRule="auto"/>
        <w:ind w:firstLine="708"/>
        <w:jc w:val="both"/>
        <w:rPr>
          <w:rFonts w:ascii="Arial" w:eastAsiaTheme="minorEastAsia" w:hAnsi="Arial" w:cs="Arial"/>
          <w:sz w:val="26"/>
          <w:szCs w:val="26"/>
          <w:lang w:val="es-MX" w:eastAsia="es-MX"/>
        </w:rPr>
      </w:pPr>
    </w:p>
    <w:p w:rsidR="00FF63A6" w:rsidRDefault="00FF63A6" w:rsidP="00FF63A6">
      <w:pPr>
        <w:spacing w:line="360" w:lineRule="auto"/>
        <w:ind w:firstLine="708"/>
        <w:jc w:val="both"/>
        <w:rPr>
          <w:rFonts w:ascii="Arial" w:eastAsiaTheme="minorEastAsia" w:hAnsi="Arial" w:cs="Arial"/>
          <w:sz w:val="26"/>
          <w:szCs w:val="26"/>
          <w:lang w:val="es-MX" w:eastAsia="es-MX"/>
        </w:rPr>
      </w:pPr>
    </w:p>
    <w:p w:rsidR="00FF63A6" w:rsidRPr="002F14E9" w:rsidRDefault="00FF63A6" w:rsidP="00FF63A6">
      <w:pPr>
        <w:pStyle w:val="Sinespaciado"/>
        <w:jc w:val="center"/>
        <w:rPr>
          <w:rFonts w:ascii="Arial" w:hAnsi="Arial" w:cs="Arial"/>
          <w:sz w:val="26"/>
          <w:szCs w:val="26"/>
          <w:lang w:val="es-MX"/>
        </w:rPr>
      </w:pPr>
      <w:r w:rsidRPr="002F14E9">
        <w:rPr>
          <w:rFonts w:ascii="Arial" w:hAnsi="Arial" w:cs="Arial"/>
          <w:sz w:val="26"/>
          <w:szCs w:val="26"/>
        </w:rPr>
        <w:t>MAGISTRADO ADRIÁN QUIROGA AVENDAÑO.</w:t>
      </w:r>
    </w:p>
    <w:p w:rsidR="00FF63A6" w:rsidRPr="002F14E9" w:rsidRDefault="00FF63A6" w:rsidP="00FF63A6">
      <w:pPr>
        <w:pStyle w:val="Sinespaciado"/>
        <w:jc w:val="center"/>
        <w:rPr>
          <w:rFonts w:ascii="Arial" w:hAnsi="Arial" w:cs="Arial"/>
          <w:sz w:val="26"/>
          <w:szCs w:val="26"/>
        </w:rPr>
      </w:pPr>
      <w:r w:rsidRPr="002F14E9">
        <w:rPr>
          <w:rFonts w:ascii="Arial" w:hAnsi="Arial" w:cs="Arial"/>
          <w:sz w:val="26"/>
          <w:szCs w:val="26"/>
        </w:rPr>
        <w:t>PRESIDENTE</w:t>
      </w:r>
    </w:p>
    <w:p w:rsidR="00FF63A6" w:rsidRDefault="00FF63A6" w:rsidP="00FF63A6">
      <w:pPr>
        <w:spacing w:line="360" w:lineRule="auto"/>
        <w:rPr>
          <w:rFonts w:ascii="Arial" w:eastAsia="Calibri" w:hAnsi="Arial" w:cs="Arial"/>
          <w:sz w:val="26"/>
          <w:szCs w:val="26"/>
        </w:rPr>
      </w:pPr>
    </w:p>
    <w:p w:rsidR="00FF63A6" w:rsidRDefault="00FF63A6" w:rsidP="00FF63A6">
      <w:pPr>
        <w:spacing w:line="360" w:lineRule="auto"/>
        <w:rPr>
          <w:rFonts w:ascii="Arial" w:eastAsia="Calibri" w:hAnsi="Arial" w:cs="Arial"/>
          <w:sz w:val="26"/>
          <w:szCs w:val="26"/>
        </w:rPr>
      </w:pPr>
    </w:p>
    <w:p w:rsidR="00FF63A6" w:rsidRPr="001B669A" w:rsidRDefault="00FF63A6" w:rsidP="00FF63A6">
      <w:pPr>
        <w:spacing w:line="360" w:lineRule="auto"/>
        <w:jc w:val="center"/>
        <w:rPr>
          <w:rFonts w:ascii="Arial" w:eastAsia="Calibri" w:hAnsi="Arial" w:cs="Arial"/>
          <w:b/>
          <w:sz w:val="14"/>
          <w:szCs w:val="26"/>
        </w:rPr>
      </w:pPr>
      <w:r w:rsidRPr="001B669A">
        <w:rPr>
          <w:rFonts w:ascii="Arial" w:eastAsia="Calibri" w:hAnsi="Arial" w:cs="Arial"/>
          <w:b/>
          <w:sz w:val="14"/>
          <w:szCs w:val="26"/>
        </w:rPr>
        <w:t>LAS PRESENTES FIRMAS CORRESP</w:t>
      </w:r>
      <w:r>
        <w:rPr>
          <w:rFonts w:ascii="Arial" w:eastAsia="Calibri" w:hAnsi="Arial" w:cs="Arial"/>
          <w:b/>
          <w:sz w:val="14"/>
          <w:szCs w:val="26"/>
        </w:rPr>
        <w:t>ONDEN AL RECURSO DE REVISIÓN 311</w:t>
      </w:r>
      <w:r w:rsidRPr="001B669A">
        <w:rPr>
          <w:rFonts w:ascii="Arial" w:eastAsia="Calibri" w:hAnsi="Arial" w:cs="Arial"/>
          <w:b/>
          <w:sz w:val="14"/>
          <w:szCs w:val="26"/>
        </w:rPr>
        <w:t>/2018</w:t>
      </w:r>
    </w:p>
    <w:p w:rsidR="00FF63A6" w:rsidRDefault="00FF63A6" w:rsidP="00FF63A6">
      <w:pPr>
        <w:spacing w:line="360" w:lineRule="auto"/>
        <w:rPr>
          <w:rFonts w:ascii="Arial" w:eastAsia="Calibri" w:hAnsi="Arial" w:cs="Arial"/>
          <w:sz w:val="26"/>
          <w:szCs w:val="26"/>
        </w:rPr>
      </w:pPr>
    </w:p>
    <w:p w:rsidR="00FF63A6" w:rsidRDefault="00FF63A6" w:rsidP="00FF63A6">
      <w:pPr>
        <w:spacing w:line="360" w:lineRule="auto"/>
        <w:rPr>
          <w:rFonts w:ascii="Arial" w:eastAsia="Calibri" w:hAnsi="Arial" w:cs="Arial"/>
          <w:sz w:val="26"/>
          <w:szCs w:val="26"/>
        </w:rPr>
      </w:pPr>
    </w:p>
    <w:p w:rsidR="00FF63A6" w:rsidRDefault="00FF63A6" w:rsidP="00FF63A6">
      <w:pPr>
        <w:spacing w:line="360" w:lineRule="auto"/>
        <w:jc w:val="center"/>
        <w:rPr>
          <w:rFonts w:ascii="Arial" w:eastAsia="Calibri" w:hAnsi="Arial" w:cs="Arial"/>
          <w:sz w:val="26"/>
          <w:szCs w:val="26"/>
        </w:rPr>
      </w:pPr>
    </w:p>
    <w:p w:rsidR="00FF63A6" w:rsidRDefault="00FF63A6" w:rsidP="00FF63A6">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FF63A6" w:rsidRDefault="00FF63A6" w:rsidP="00FF63A6">
      <w:pPr>
        <w:spacing w:line="360" w:lineRule="auto"/>
        <w:rPr>
          <w:rFonts w:ascii="Arial" w:eastAsia="Calibri" w:hAnsi="Arial" w:cs="Arial"/>
          <w:sz w:val="26"/>
          <w:szCs w:val="26"/>
        </w:rPr>
      </w:pPr>
    </w:p>
    <w:p w:rsidR="00FF63A6" w:rsidRDefault="00FF63A6" w:rsidP="00FF63A6">
      <w:pPr>
        <w:spacing w:line="360" w:lineRule="auto"/>
        <w:rPr>
          <w:rFonts w:ascii="Arial" w:eastAsia="Calibri" w:hAnsi="Arial" w:cs="Arial"/>
          <w:sz w:val="26"/>
          <w:szCs w:val="26"/>
        </w:rPr>
      </w:pPr>
    </w:p>
    <w:p w:rsidR="00FF63A6" w:rsidRDefault="00FF63A6" w:rsidP="00FF63A6">
      <w:pPr>
        <w:spacing w:line="360" w:lineRule="auto"/>
        <w:rPr>
          <w:rFonts w:ascii="Arial" w:eastAsia="Calibri" w:hAnsi="Arial" w:cs="Arial"/>
          <w:sz w:val="26"/>
          <w:szCs w:val="26"/>
        </w:rPr>
      </w:pPr>
    </w:p>
    <w:p w:rsidR="00FF63A6" w:rsidRDefault="00FF63A6" w:rsidP="00FF63A6">
      <w:pPr>
        <w:spacing w:line="360" w:lineRule="auto"/>
        <w:rPr>
          <w:rFonts w:ascii="Arial" w:eastAsia="Calibri" w:hAnsi="Arial" w:cs="Arial"/>
          <w:sz w:val="26"/>
          <w:szCs w:val="26"/>
        </w:rPr>
      </w:pPr>
    </w:p>
    <w:p w:rsidR="00FF63A6" w:rsidRDefault="00FF63A6" w:rsidP="00FF63A6">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FF63A6" w:rsidRDefault="00FF63A6" w:rsidP="00FF63A6">
      <w:pPr>
        <w:spacing w:line="360" w:lineRule="auto"/>
        <w:jc w:val="center"/>
        <w:rPr>
          <w:rFonts w:ascii="Arial" w:eastAsia="Calibri" w:hAnsi="Arial" w:cs="Arial"/>
          <w:sz w:val="26"/>
          <w:szCs w:val="26"/>
        </w:rPr>
      </w:pPr>
    </w:p>
    <w:p w:rsidR="00FF63A6" w:rsidRDefault="00FF63A6" w:rsidP="00FF63A6">
      <w:pPr>
        <w:spacing w:line="360" w:lineRule="auto"/>
        <w:jc w:val="center"/>
        <w:rPr>
          <w:rFonts w:ascii="Arial" w:eastAsia="Calibri" w:hAnsi="Arial" w:cs="Arial"/>
          <w:sz w:val="26"/>
          <w:szCs w:val="26"/>
        </w:rPr>
      </w:pPr>
    </w:p>
    <w:p w:rsidR="00FF63A6" w:rsidRDefault="00FF63A6" w:rsidP="00FF63A6">
      <w:pPr>
        <w:spacing w:line="360" w:lineRule="auto"/>
        <w:jc w:val="center"/>
        <w:rPr>
          <w:rFonts w:ascii="Arial" w:eastAsia="Calibri" w:hAnsi="Arial" w:cs="Arial"/>
          <w:sz w:val="26"/>
          <w:szCs w:val="26"/>
        </w:rPr>
      </w:pPr>
    </w:p>
    <w:p w:rsidR="00FF63A6" w:rsidRDefault="00FF63A6" w:rsidP="00FF63A6">
      <w:pPr>
        <w:spacing w:line="36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FF63A6" w:rsidRDefault="00FF63A6" w:rsidP="00FF63A6">
      <w:pPr>
        <w:spacing w:line="360" w:lineRule="auto"/>
        <w:jc w:val="center"/>
        <w:rPr>
          <w:rFonts w:ascii="Arial" w:eastAsia="Calibri" w:hAnsi="Arial" w:cs="Arial"/>
          <w:sz w:val="26"/>
          <w:szCs w:val="26"/>
        </w:rPr>
      </w:pPr>
    </w:p>
    <w:p w:rsidR="00FF63A6" w:rsidRDefault="00FF63A6" w:rsidP="00FF63A6">
      <w:pPr>
        <w:spacing w:line="360" w:lineRule="auto"/>
        <w:jc w:val="center"/>
        <w:rPr>
          <w:rFonts w:ascii="Arial" w:eastAsia="Calibri" w:hAnsi="Arial" w:cs="Arial"/>
          <w:sz w:val="26"/>
          <w:szCs w:val="26"/>
        </w:rPr>
      </w:pPr>
    </w:p>
    <w:p w:rsidR="00FF63A6" w:rsidRDefault="00FF63A6" w:rsidP="00FF63A6">
      <w:pPr>
        <w:spacing w:line="360" w:lineRule="auto"/>
        <w:jc w:val="center"/>
        <w:rPr>
          <w:rFonts w:ascii="Arial" w:eastAsia="Calibri" w:hAnsi="Arial" w:cs="Arial"/>
          <w:sz w:val="26"/>
          <w:szCs w:val="26"/>
        </w:rPr>
      </w:pPr>
    </w:p>
    <w:p w:rsidR="00FF63A6" w:rsidRDefault="00FF63A6" w:rsidP="00FF63A6">
      <w:pPr>
        <w:spacing w:line="360" w:lineRule="auto"/>
        <w:jc w:val="center"/>
        <w:rPr>
          <w:rFonts w:ascii="Arial" w:eastAsia="Calibri" w:hAnsi="Arial" w:cs="Arial"/>
          <w:sz w:val="26"/>
          <w:szCs w:val="26"/>
        </w:rPr>
      </w:pPr>
    </w:p>
    <w:p w:rsidR="00FF63A6" w:rsidRDefault="00FF63A6" w:rsidP="00FF63A6">
      <w:pPr>
        <w:jc w:val="center"/>
        <w:rPr>
          <w:rFonts w:ascii="Arial" w:eastAsia="Calibri" w:hAnsi="Arial" w:cs="Arial"/>
          <w:sz w:val="26"/>
          <w:szCs w:val="26"/>
        </w:rPr>
      </w:pPr>
      <w:r>
        <w:rPr>
          <w:rFonts w:ascii="Arial" w:eastAsiaTheme="minorEastAsia" w:hAnsi="Arial" w:cs="Arial"/>
          <w:sz w:val="26"/>
          <w:szCs w:val="26"/>
          <w:lang w:val="es-MX" w:eastAsia="es-MX"/>
        </w:rPr>
        <w:t>MAGISTRADO MANUEL VELASCO ALCÁNTARA</w:t>
      </w:r>
    </w:p>
    <w:p w:rsidR="00FF63A6" w:rsidRDefault="00FF63A6" w:rsidP="00FF63A6">
      <w:pPr>
        <w:rPr>
          <w:rFonts w:ascii="Arial" w:eastAsia="Calibri" w:hAnsi="Arial" w:cs="Arial"/>
          <w:sz w:val="26"/>
          <w:szCs w:val="26"/>
        </w:rPr>
      </w:pPr>
    </w:p>
    <w:p w:rsidR="00FF63A6" w:rsidRDefault="00FF63A6" w:rsidP="00FF63A6">
      <w:pPr>
        <w:rPr>
          <w:rFonts w:ascii="Arial" w:eastAsia="Calibri" w:hAnsi="Arial" w:cs="Arial"/>
          <w:sz w:val="26"/>
          <w:szCs w:val="26"/>
        </w:rPr>
      </w:pPr>
    </w:p>
    <w:p w:rsidR="00FF63A6" w:rsidRDefault="00FF63A6" w:rsidP="00FF63A6">
      <w:pPr>
        <w:rPr>
          <w:rFonts w:ascii="Arial" w:eastAsia="Calibri" w:hAnsi="Arial" w:cs="Arial"/>
          <w:sz w:val="26"/>
          <w:szCs w:val="26"/>
        </w:rPr>
      </w:pPr>
    </w:p>
    <w:p w:rsidR="00FF63A6" w:rsidRDefault="00FF63A6" w:rsidP="00FF63A6">
      <w:pPr>
        <w:rPr>
          <w:rFonts w:ascii="Arial" w:eastAsia="Calibri" w:hAnsi="Arial" w:cs="Arial"/>
          <w:sz w:val="26"/>
          <w:szCs w:val="26"/>
        </w:rPr>
      </w:pPr>
    </w:p>
    <w:p w:rsidR="00FF63A6" w:rsidRPr="005F1D6C" w:rsidRDefault="00FF63A6" w:rsidP="00FF63A6">
      <w:pPr>
        <w:pStyle w:val="Sinespaciado"/>
        <w:jc w:val="center"/>
        <w:rPr>
          <w:rFonts w:ascii="Arial" w:hAnsi="Arial" w:cs="Arial"/>
          <w:sz w:val="26"/>
          <w:szCs w:val="26"/>
        </w:rPr>
      </w:pPr>
      <w:r w:rsidRPr="005F1D6C">
        <w:rPr>
          <w:rFonts w:ascii="Arial" w:hAnsi="Arial" w:cs="Arial"/>
          <w:sz w:val="26"/>
          <w:szCs w:val="26"/>
        </w:rPr>
        <w:t xml:space="preserve">LICENCIADA </w:t>
      </w:r>
      <w:r>
        <w:rPr>
          <w:rFonts w:ascii="Arial" w:hAnsi="Arial" w:cs="Arial"/>
          <w:sz w:val="26"/>
          <w:szCs w:val="26"/>
        </w:rPr>
        <w:t>LETICIA GARCÍA SOTO</w:t>
      </w:r>
      <w:r w:rsidRPr="005F1D6C">
        <w:rPr>
          <w:rFonts w:ascii="Arial" w:hAnsi="Arial" w:cs="Arial"/>
          <w:sz w:val="26"/>
          <w:szCs w:val="26"/>
        </w:rPr>
        <w:t>.</w:t>
      </w:r>
    </w:p>
    <w:p w:rsidR="00FF63A6" w:rsidRPr="005F1D6C" w:rsidRDefault="00FF63A6" w:rsidP="00FF63A6">
      <w:pPr>
        <w:pStyle w:val="Sinespaciado"/>
        <w:jc w:val="center"/>
        <w:rPr>
          <w:rFonts w:ascii="Arial" w:hAnsi="Arial" w:cs="Arial"/>
          <w:sz w:val="26"/>
          <w:szCs w:val="26"/>
        </w:rPr>
      </w:pPr>
      <w:r w:rsidRPr="005F1D6C">
        <w:rPr>
          <w:rFonts w:ascii="Arial" w:hAnsi="Arial" w:cs="Arial"/>
          <w:sz w:val="26"/>
          <w:szCs w:val="26"/>
        </w:rPr>
        <w:t>SECRETARIA GENERAL DE ACUERDOS.</w:t>
      </w:r>
    </w:p>
    <w:p w:rsidR="00FF63A6" w:rsidRDefault="00FF63A6" w:rsidP="00FF63A6">
      <w:pPr>
        <w:spacing w:after="0"/>
        <w:ind w:left="142" w:firstLine="708"/>
        <w:jc w:val="center"/>
        <w:rPr>
          <w:rFonts w:ascii="Arial" w:eastAsia="Calibri" w:hAnsi="Arial" w:cs="Arial"/>
          <w:sz w:val="26"/>
          <w:szCs w:val="26"/>
        </w:rPr>
      </w:pPr>
    </w:p>
    <w:p w:rsidR="00380926" w:rsidRDefault="00380926" w:rsidP="00FF63A6">
      <w:pPr>
        <w:spacing w:line="360" w:lineRule="auto"/>
        <w:ind w:firstLine="708"/>
        <w:jc w:val="both"/>
        <w:rPr>
          <w:sz w:val="26"/>
          <w:szCs w:val="26"/>
        </w:rPr>
      </w:pPr>
    </w:p>
    <w:sectPr w:rsidR="00380926" w:rsidSect="001D7FCD">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AB6" w:rsidRDefault="00997AB6">
      <w:pPr>
        <w:spacing w:after="0" w:line="240" w:lineRule="auto"/>
      </w:pPr>
      <w:r>
        <w:separator/>
      </w:r>
    </w:p>
  </w:endnote>
  <w:endnote w:type="continuationSeparator" w:id="0">
    <w:p w:rsidR="00997AB6" w:rsidRDefault="0099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2B7" w:rsidRDefault="007432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2B7" w:rsidRDefault="007432B7">
    <w:pPr>
      <w:pStyle w:val="Piedepgina"/>
    </w:pPr>
    <w:r>
      <w:rPr>
        <w:noProof/>
        <w:lang w:val="es-MX" w:eastAsia="es-MX"/>
      </w:rPr>
      <w:drawing>
        <wp:anchor distT="0" distB="0" distL="114300" distR="114300" simplePos="0" relativeHeight="251669504" behindDoc="0" locked="0" layoutInCell="1" allowOverlap="1" wp14:anchorId="09590E41" wp14:editId="38849B2C">
          <wp:simplePos x="0" y="0"/>
          <wp:positionH relativeFrom="column">
            <wp:posOffset>-1446657</wp:posOffset>
          </wp:positionH>
          <wp:positionV relativeFrom="paragraph">
            <wp:posOffset>-4475480</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2B7" w:rsidRDefault="007432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AB6" w:rsidRDefault="00997AB6">
      <w:pPr>
        <w:spacing w:after="0" w:line="240" w:lineRule="auto"/>
      </w:pPr>
      <w:r>
        <w:separator/>
      </w:r>
    </w:p>
  </w:footnote>
  <w:footnote w:type="continuationSeparator" w:id="0">
    <w:p w:rsidR="00997AB6" w:rsidRDefault="00997AB6">
      <w:pPr>
        <w:spacing w:after="0" w:line="240" w:lineRule="auto"/>
      </w:pPr>
      <w:r>
        <w:continuationSeparator/>
      </w:r>
    </w:p>
  </w:footnote>
  <w:footnote w:id="1">
    <w:p w:rsidR="00D85145" w:rsidRDefault="00D85145">
      <w:pPr>
        <w:pStyle w:val="Textonotapie"/>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D85145" w:rsidRDefault="00D85145">
      <w:pPr>
        <w:pStyle w:val="Textonotapie"/>
        <w:rPr>
          <w:lang w:val="es-MX"/>
        </w:rPr>
      </w:pPr>
      <w:r>
        <w:rPr>
          <w:lang w:val="es-MX"/>
        </w:rPr>
        <w:t xml:space="preserve">   I. Harán prueba plena la confesión expresa de las partes y los actos contenidos en documentos públicos, si en éstos últimos se contiene declaraciones de verdad o manifestaciones de hechos de particulares, y</w:t>
      </w:r>
    </w:p>
    <w:p w:rsidR="00D85145" w:rsidRPr="00D85145" w:rsidRDefault="00D85145">
      <w:pPr>
        <w:pStyle w:val="Textonotapie"/>
        <w:rPr>
          <w:lang w:val="es-MX"/>
        </w:rPr>
      </w:pPr>
      <w:r>
        <w:rPr>
          <w:lang w:val="es-MX"/>
        </w:rPr>
        <w:t xml:space="preserve">   …”</w:t>
      </w:r>
    </w:p>
  </w:footnote>
  <w:footnote w:id="2">
    <w:p w:rsidR="00CD15E6" w:rsidRPr="00CD15E6" w:rsidRDefault="00CD15E6" w:rsidP="00CD15E6">
      <w:pPr>
        <w:pStyle w:val="Textonotapie"/>
        <w:jc w:val="both"/>
        <w:rPr>
          <w:lang w:val="es-MX"/>
        </w:rPr>
      </w:pPr>
      <w:r>
        <w:rPr>
          <w:rStyle w:val="Refdenotaalpie"/>
        </w:rPr>
        <w:footnoteRef/>
      </w:r>
      <w:r>
        <w:t xml:space="preserve"> </w:t>
      </w:r>
      <w:r>
        <w:rPr>
          <w:lang w:val="es-MX"/>
        </w:rPr>
        <w:t>“</w:t>
      </w:r>
      <w:r>
        <w:rPr>
          <w:b/>
          <w:lang w:val="es-MX"/>
        </w:rPr>
        <w:t xml:space="preserve">ARTÍCULO 118.- </w:t>
      </w:r>
      <w:r>
        <w:rPr>
          <w:lang w:val="es-MX"/>
        </w:rPr>
        <w:t>El juicio ante el Tribunal será de estricto derecho, pero se deberá suplir la deficiencia de la queja siempre y cuando se trate del administrado.”</w:t>
      </w:r>
    </w:p>
  </w:footnote>
  <w:footnote w:id="3">
    <w:p w:rsidR="00CD15E6" w:rsidRDefault="00CD15E6">
      <w:pPr>
        <w:pStyle w:val="Textonotapie"/>
      </w:pPr>
      <w:r>
        <w:rPr>
          <w:rStyle w:val="Refdenotaalpie"/>
        </w:rPr>
        <w:footnoteRef/>
      </w:r>
      <w:r>
        <w:t xml:space="preserve"> “</w:t>
      </w:r>
      <w:r>
        <w:rPr>
          <w:b/>
        </w:rPr>
        <w:t>ARTÍCULO 178.</w:t>
      </w:r>
      <w:proofErr w:type="gramStart"/>
      <w:r>
        <w:rPr>
          <w:b/>
        </w:rPr>
        <w:t xml:space="preserve">- </w:t>
      </w:r>
      <w:r>
        <w:t>…</w:t>
      </w:r>
      <w:proofErr w:type="gramEnd"/>
    </w:p>
    <w:p w:rsidR="00CD15E6" w:rsidRPr="00CD15E6" w:rsidRDefault="00CD15E6">
      <w:pPr>
        <w:pStyle w:val="Textonotapie"/>
        <w:rPr>
          <w:lang w:val="es-MX"/>
        </w:rPr>
      </w:pPr>
      <w:r>
        <w:t xml:space="preserve">   El Tribunal podrá hacer valer de oficio, por ser de orden público, la incompetencia de la autoridad para dictar la resolución impugnada y la ausencia total o parcial de fundamentación o motivación en dicha resolución.”</w:t>
      </w:r>
    </w:p>
  </w:footnote>
  <w:footnote w:id="4">
    <w:p w:rsidR="00F8242D" w:rsidRDefault="00F8242D" w:rsidP="009B6A5C">
      <w:pPr>
        <w:pStyle w:val="Textonotapie"/>
      </w:pPr>
      <w:r>
        <w:rPr>
          <w:rStyle w:val="Refdenotaalpie"/>
        </w:rPr>
        <w:footnoteRef/>
      </w:r>
      <w:r>
        <w:t xml:space="preserve"> “</w:t>
      </w:r>
      <w:r>
        <w:rPr>
          <w:b/>
        </w:rPr>
        <w:t xml:space="preserve">Artículo 38.- </w:t>
      </w:r>
      <w:r w:rsidR="0086227B">
        <w:t xml:space="preserve">A la </w:t>
      </w:r>
      <w:r>
        <w:t>Coordinación General del Transporte corresponde el despacho de los siguientes asuntos:</w:t>
      </w:r>
    </w:p>
    <w:p w:rsidR="00F8242D" w:rsidRDefault="00F8242D" w:rsidP="0086227B">
      <w:pPr>
        <w:pStyle w:val="Textonotapie"/>
        <w:jc w:val="both"/>
      </w:pPr>
      <w:r>
        <w:t xml:space="preserve">   II. Desahogar los procedimientos jurídicos de todos aquellos asuntos que conforme a las disposiciones legales y reglamentarias demanden la aprobación o decisión del Ejecutivo del Estado, en materia de transporte;</w:t>
      </w:r>
    </w:p>
    <w:p w:rsidR="00F8242D" w:rsidRPr="00F8242D" w:rsidRDefault="00F8242D" w:rsidP="009B6A5C">
      <w:pPr>
        <w:pStyle w:val="Textonotapie"/>
        <w:rPr>
          <w:lang w:val="es-MX"/>
        </w:rPr>
      </w:pPr>
      <w:r>
        <w:t xml:space="preserve">   …”</w:t>
      </w:r>
    </w:p>
  </w:footnote>
  <w:footnote w:id="5">
    <w:p w:rsidR="009B6A5C" w:rsidRDefault="009B6A5C" w:rsidP="009B6A5C">
      <w:pPr>
        <w:pStyle w:val="Textonotapie"/>
        <w:jc w:val="both"/>
      </w:pPr>
      <w:r>
        <w:rPr>
          <w:rStyle w:val="Refdenotaalpie"/>
        </w:rPr>
        <w:footnoteRef/>
      </w:r>
      <w:r>
        <w:t xml:space="preserve"> “</w:t>
      </w:r>
      <w:r>
        <w:rPr>
          <w:b/>
        </w:rPr>
        <w:t xml:space="preserve">Artículo 25.- </w:t>
      </w:r>
      <w:r>
        <w:t>Las concesiones y permisos para el establecimiento  y explotación de los servicios públicos de transporte de pasajeros o carga, caducarán de pleno derecho:</w:t>
      </w:r>
    </w:p>
    <w:p w:rsidR="009B6A5C" w:rsidRDefault="009B6A5C" w:rsidP="009B6A5C">
      <w:pPr>
        <w:pStyle w:val="Textonotapie"/>
        <w:jc w:val="both"/>
      </w:pPr>
      <w:r>
        <w:t xml:space="preserve">   I. </w:t>
      </w:r>
      <w:proofErr w:type="spellStart"/>
      <w:r>
        <w:t>Por que</w:t>
      </w:r>
      <w:proofErr w:type="spellEnd"/>
      <w:r>
        <w:t xml:space="preserve"> se ceda, enajene o hipoteque la concesión o permiso, los derecho que de ellos se deriven y los bienes afectos al servicio, sin la aprobación del Ejecutivo del Estado, el cual no podrá conceder esta aprobación sino después de diez años de que se preste el servicio al amparo de la concesión otorgada y, en su caso, prorrogada</w:t>
      </w:r>
      <w:r w:rsidR="00AD027A">
        <w:t>.</w:t>
      </w:r>
    </w:p>
    <w:p w:rsidR="00AD027A" w:rsidRDefault="00AD027A" w:rsidP="009B6A5C">
      <w:pPr>
        <w:pStyle w:val="Textonotapie"/>
        <w:jc w:val="both"/>
      </w:pPr>
      <w:r>
        <w:t xml:space="preserve">   …”</w:t>
      </w:r>
    </w:p>
    <w:p w:rsidR="009B6A5C" w:rsidRPr="009B6A5C" w:rsidRDefault="009B6A5C" w:rsidP="009B6A5C">
      <w:pPr>
        <w:pStyle w:val="Textonotapie"/>
        <w:jc w:val="both"/>
      </w:pPr>
    </w:p>
  </w:footnote>
  <w:footnote w:id="6">
    <w:p w:rsidR="00C120E7" w:rsidRDefault="00C120E7" w:rsidP="00C120E7">
      <w:pPr>
        <w:pStyle w:val="Textonotapie"/>
        <w:jc w:val="both"/>
        <w:rPr>
          <w:lang w:val="es-MX"/>
        </w:rPr>
      </w:pPr>
      <w:r>
        <w:rPr>
          <w:rStyle w:val="Refdenotaalpie"/>
        </w:rPr>
        <w:footnoteRef/>
      </w:r>
      <w:r>
        <w:t xml:space="preserve"> </w:t>
      </w:r>
      <w:r>
        <w:rPr>
          <w:lang w:val="es-MX"/>
        </w:rPr>
        <w:t>“</w:t>
      </w:r>
      <w:r w:rsidRPr="00C120E7">
        <w:rPr>
          <w:b/>
          <w:lang w:val="es-MX"/>
        </w:rPr>
        <w:t>PRIMERO</w:t>
      </w:r>
      <w:r>
        <w:rPr>
          <w:lang w:val="es-MX"/>
        </w:rPr>
        <w:t>. Se delegan facultades al Secretario de Vialidad y Transporte, para que en el ejercicio de sus atribuciones, ejecute las disposiciones señaladas en el artículo 95 BIS del Reglamento de la Ley de Tránsito Reformada del Estado de Oaxaca.</w:t>
      </w:r>
    </w:p>
    <w:p w:rsidR="00C120E7" w:rsidRPr="00C120E7" w:rsidRDefault="00C120E7">
      <w:pPr>
        <w:pStyle w:val="Textonotapie"/>
        <w:rPr>
          <w:lang w:val="es-MX"/>
        </w:rPr>
      </w:pPr>
      <w:r>
        <w:rPr>
          <w:lang w:val="es-MX"/>
        </w:rPr>
        <w:t xml:space="preserve">   …”</w:t>
      </w:r>
    </w:p>
  </w:footnote>
  <w:footnote w:id="7">
    <w:p w:rsidR="00147E25" w:rsidRDefault="00147E25" w:rsidP="00147E25">
      <w:pPr>
        <w:pStyle w:val="Textonotapie"/>
        <w:jc w:val="both"/>
      </w:pPr>
      <w:r>
        <w:rPr>
          <w:rStyle w:val="Refdenotaalpie"/>
        </w:rPr>
        <w:footnoteRef/>
      </w:r>
      <w:r>
        <w:t xml:space="preserve"> “ARTÍCULO 95 Bis.- El tiempo por el que se otorgue una concesión podrá ser prorrogado por la Secretaría de Vialidad y Transporte, mediante la renovación de la concesión por un término máximo de cinco años, cumpliendo con los requisitos para tal efecto. La Secretaría de Vialidad y Transporte, podrá autorizar las cesiones de derechos y las transferencias de derechos por fallecimiento de los titulares de las concesiones otorgadas por el Gobernador del Estado, previo cumplimiento de las disposiciones legales, reglamentarias y del título de concesión, expidiendo los documentos oficiales necesarios para acreditar el acto.</w:t>
      </w:r>
    </w:p>
    <w:p w:rsidR="00147E25" w:rsidRPr="00147E25" w:rsidRDefault="00147E25" w:rsidP="00147E25">
      <w:pPr>
        <w:pStyle w:val="Textonotapie"/>
        <w:jc w:val="both"/>
        <w:rPr>
          <w:lang w:val="es-MX"/>
        </w:rPr>
      </w:pPr>
      <w:r>
        <w:t>Los procedimientos enunciados en los párrafos anteriores, los llevará a cabo el Secretario de Vialidad y de Transporte, previo acuerdo delegatorio del Titular del Ejecutivo.”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7A2B3C" w:rsidRDefault="007432B7" w:rsidP="00D25099">
        <w:pPr>
          <w:pStyle w:val="Encabezado"/>
          <w:jc w:val="center"/>
        </w:pPr>
        <w:r>
          <w:rPr>
            <w:noProof/>
            <w:lang w:val="es-MX" w:eastAsia="es-MX"/>
          </w:rPr>
          <w:drawing>
            <wp:anchor distT="0" distB="0" distL="114300" distR="114300" simplePos="0" relativeHeight="251676672" behindDoc="0" locked="0" layoutInCell="1" allowOverlap="1" wp14:anchorId="351001F7" wp14:editId="42282E48">
              <wp:simplePos x="0" y="0"/>
              <wp:positionH relativeFrom="column">
                <wp:posOffset>5497576</wp:posOffset>
              </wp:positionH>
              <wp:positionV relativeFrom="paragraph">
                <wp:posOffset>2975483</wp:posOffset>
              </wp:positionV>
              <wp:extent cx="1164590" cy="646430"/>
              <wp:effectExtent l="0" t="0" r="0" b="1270"/>
              <wp:wrapNone/>
              <wp:docPr id="2" name="Imagen 2"/>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r w:rsidR="007A2B3C">
          <w:fldChar w:fldCharType="begin"/>
        </w:r>
        <w:r w:rsidR="007A2B3C">
          <w:instrText>PAGE   \* MERGEFORMAT</w:instrText>
        </w:r>
        <w:r w:rsidR="007A2B3C">
          <w:fldChar w:fldCharType="separate"/>
        </w:r>
        <w:r w:rsidR="0000597F">
          <w:rPr>
            <w:noProof/>
          </w:rPr>
          <w:t>6</w:t>
        </w:r>
        <w:r w:rsidR="007A2B3C">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7A2B3C" w:rsidRDefault="007A2B3C" w:rsidP="00206B99">
        <w:pPr>
          <w:pStyle w:val="Encabezado"/>
          <w:jc w:val="center"/>
          <w:rPr>
            <w:noProof/>
          </w:rPr>
        </w:pPr>
        <w:r>
          <w:fldChar w:fldCharType="begin"/>
        </w:r>
        <w:r>
          <w:instrText xml:space="preserve"> PAGE   \* MERGEFORMAT </w:instrText>
        </w:r>
        <w:r>
          <w:fldChar w:fldCharType="separate"/>
        </w:r>
        <w:r w:rsidR="0000597F">
          <w:rPr>
            <w:noProof/>
          </w:rPr>
          <w:t>1</w:t>
        </w:r>
        <w:r>
          <w:rPr>
            <w:noProof/>
          </w:rPr>
          <w:fldChar w:fldCharType="end"/>
        </w:r>
      </w:p>
      <w:p w:rsidR="008C74CA" w:rsidRDefault="0000597F" w:rsidP="008C74CA">
        <w:pPr>
          <w:pStyle w:val="Encabezado"/>
          <w:jc w:val="center"/>
        </w:pPr>
      </w:p>
    </w:sdtContent>
  </w:sdt>
  <w:p w:rsidR="00256B01" w:rsidRDefault="00256B01" w:rsidP="00256B01">
    <w:pPr>
      <w:pStyle w:val="Encabezado"/>
      <w:jc w:val="center"/>
    </w:pPr>
  </w:p>
  <w:p w:rsidR="007A2B3C" w:rsidRDefault="0080043A" w:rsidP="00256B01">
    <w:pPr>
      <w:pStyle w:val="Encabezado"/>
      <w:jc w:val="center"/>
    </w:pPr>
    <w:r>
      <w:rPr>
        <w:noProof/>
        <w:lang w:val="es-MX" w:eastAsia="es-MX"/>
      </w:rPr>
      <w:drawing>
        <wp:anchor distT="0" distB="0" distL="114300" distR="114300" simplePos="0" relativeHeight="251664384" behindDoc="1" locked="0" layoutInCell="1" allowOverlap="1" wp14:anchorId="6E0DDF26" wp14:editId="2536B708">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74CA" w:rsidRPr="003E6AD7">
      <w:rPr>
        <w:noProof/>
        <w:lang w:val="es-MX" w:eastAsia="es-MX"/>
      </w:rPr>
      <w:drawing>
        <wp:anchor distT="0" distB="0" distL="114300" distR="114300" simplePos="0" relativeHeight="251651072" behindDoc="0" locked="0" layoutInCell="1" allowOverlap="1" wp14:anchorId="3F187C0F" wp14:editId="295C103C">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2B7" w:rsidRDefault="007432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597F"/>
    <w:rsid w:val="0000725B"/>
    <w:rsid w:val="00011594"/>
    <w:rsid w:val="000169A3"/>
    <w:rsid w:val="00017C09"/>
    <w:rsid w:val="00021DF1"/>
    <w:rsid w:val="0002236D"/>
    <w:rsid w:val="00026C11"/>
    <w:rsid w:val="000330FB"/>
    <w:rsid w:val="00035047"/>
    <w:rsid w:val="00035379"/>
    <w:rsid w:val="0003566F"/>
    <w:rsid w:val="00036D0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674E8"/>
    <w:rsid w:val="00070777"/>
    <w:rsid w:val="000737BF"/>
    <w:rsid w:val="0007458B"/>
    <w:rsid w:val="000752E9"/>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DF0"/>
    <w:rsid w:val="0010644A"/>
    <w:rsid w:val="001079FF"/>
    <w:rsid w:val="00110758"/>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8D4"/>
    <w:rsid w:val="00131CDF"/>
    <w:rsid w:val="00133C57"/>
    <w:rsid w:val="00133D64"/>
    <w:rsid w:val="0013524B"/>
    <w:rsid w:val="00136897"/>
    <w:rsid w:val="0014067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A27"/>
    <w:rsid w:val="00192287"/>
    <w:rsid w:val="00194A88"/>
    <w:rsid w:val="00194C5C"/>
    <w:rsid w:val="0019600D"/>
    <w:rsid w:val="001A2DD1"/>
    <w:rsid w:val="001A3755"/>
    <w:rsid w:val="001A49FA"/>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2397"/>
    <w:rsid w:val="001D27A6"/>
    <w:rsid w:val="001D2E37"/>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61A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52D"/>
    <w:rsid w:val="005707BD"/>
    <w:rsid w:val="00571B02"/>
    <w:rsid w:val="005720EB"/>
    <w:rsid w:val="00572D0A"/>
    <w:rsid w:val="0057490A"/>
    <w:rsid w:val="005758AC"/>
    <w:rsid w:val="005770F4"/>
    <w:rsid w:val="005776B9"/>
    <w:rsid w:val="00580F64"/>
    <w:rsid w:val="005817AB"/>
    <w:rsid w:val="00582569"/>
    <w:rsid w:val="0058460C"/>
    <w:rsid w:val="005864C3"/>
    <w:rsid w:val="005903F7"/>
    <w:rsid w:val="005913ED"/>
    <w:rsid w:val="00593333"/>
    <w:rsid w:val="00594670"/>
    <w:rsid w:val="00595186"/>
    <w:rsid w:val="00597C5A"/>
    <w:rsid w:val="005A0A32"/>
    <w:rsid w:val="005A0D5F"/>
    <w:rsid w:val="005A1C28"/>
    <w:rsid w:val="005A3800"/>
    <w:rsid w:val="005A415D"/>
    <w:rsid w:val="005A493F"/>
    <w:rsid w:val="005A6435"/>
    <w:rsid w:val="005B13A7"/>
    <w:rsid w:val="005B2365"/>
    <w:rsid w:val="005B74A1"/>
    <w:rsid w:val="005C0B46"/>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5D2B"/>
    <w:rsid w:val="006062DA"/>
    <w:rsid w:val="00607309"/>
    <w:rsid w:val="00607F3D"/>
    <w:rsid w:val="006105BC"/>
    <w:rsid w:val="00610C46"/>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5661"/>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32B7"/>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CC6"/>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705"/>
    <w:rsid w:val="008738A1"/>
    <w:rsid w:val="00873D60"/>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AB6"/>
    <w:rsid w:val="00997F96"/>
    <w:rsid w:val="009A033F"/>
    <w:rsid w:val="009A33AC"/>
    <w:rsid w:val="009A33BE"/>
    <w:rsid w:val="009A5AE2"/>
    <w:rsid w:val="009A5D8D"/>
    <w:rsid w:val="009B1106"/>
    <w:rsid w:val="009B1EAF"/>
    <w:rsid w:val="009B38C8"/>
    <w:rsid w:val="009B3FAA"/>
    <w:rsid w:val="009B6A5C"/>
    <w:rsid w:val="009C4221"/>
    <w:rsid w:val="009D1ED8"/>
    <w:rsid w:val="009D4A0A"/>
    <w:rsid w:val="009D6659"/>
    <w:rsid w:val="009D7058"/>
    <w:rsid w:val="009E0336"/>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622C"/>
    <w:rsid w:val="00A77949"/>
    <w:rsid w:val="00A8007D"/>
    <w:rsid w:val="00A80B43"/>
    <w:rsid w:val="00A8244C"/>
    <w:rsid w:val="00A83D36"/>
    <w:rsid w:val="00A85B9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5F1A"/>
    <w:rsid w:val="00BA05BF"/>
    <w:rsid w:val="00BA0DB3"/>
    <w:rsid w:val="00BA0E31"/>
    <w:rsid w:val="00BA2FEE"/>
    <w:rsid w:val="00BA42E0"/>
    <w:rsid w:val="00BA77D6"/>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2375"/>
    <w:rsid w:val="00D63950"/>
    <w:rsid w:val="00D63A6F"/>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225F"/>
    <w:rsid w:val="00DB31F5"/>
    <w:rsid w:val="00DB3A12"/>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27DF"/>
    <w:rsid w:val="00E43435"/>
    <w:rsid w:val="00E475A6"/>
    <w:rsid w:val="00E52305"/>
    <w:rsid w:val="00E57493"/>
    <w:rsid w:val="00E61CDE"/>
    <w:rsid w:val="00E65459"/>
    <w:rsid w:val="00E67D3C"/>
    <w:rsid w:val="00E7006D"/>
    <w:rsid w:val="00E705F5"/>
    <w:rsid w:val="00E737FD"/>
    <w:rsid w:val="00E742BA"/>
    <w:rsid w:val="00E75BB5"/>
    <w:rsid w:val="00E80E01"/>
    <w:rsid w:val="00E80E37"/>
    <w:rsid w:val="00E83450"/>
    <w:rsid w:val="00E8389D"/>
    <w:rsid w:val="00E86739"/>
    <w:rsid w:val="00E90B20"/>
    <w:rsid w:val="00E90E54"/>
    <w:rsid w:val="00E91FCC"/>
    <w:rsid w:val="00E91FF2"/>
    <w:rsid w:val="00E94929"/>
    <w:rsid w:val="00E94FF3"/>
    <w:rsid w:val="00E9514D"/>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B0E2A"/>
    <w:rsid w:val="00FB1E09"/>
    <w:rsid w:val="00FB1FF8"/>
    <w:rsid w:val="00FB3D14"/>
    <w:rsid w:val="00FB4039"/>
    <w:rsid w:val="00FB409B"/>
    <w:rsid w:val="00FB4892"/>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4B51"/>
    <w:rsid w:val="00FF541A"/>
    <w:rsid w:val="00FF63A6"/>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998E41-8ED6-44E3-8076-6F5ED953A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53D9D-5CF0-4AB5-A6DE-56AF5CBCF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2786</TotalTime>
  <Pages>7</Pages>
  <Words>1786</Words>
  <Characters>9823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221</cp:revision>
  <cp:lastPrinted>2019-01-24T16:09:00Z</cp:lastPrinted>
  <dcterms:created xsi:type="dcterms:W3CDTF">2017-09-05T18:57:00Z</dcterms:created>
  <dcterms:modified xsi:type="dcterms:W3CDTF">2019-04-08T18:56:00Z</dcterms:modified>
</cp:coreProperties>
</file>