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0114B9">
        <w:rPr>
          <w:rFonts w:ascii="Arial" w:hAnsi="Arial" w:cs="Arial"/>
          <w:b/>
          <w:sz w:val="26"/>
          <w:szCs w:val="26"/>
        </w:rPr>
        <w:t>303</w:t>
      </w:r>
      <w:r w:rsidR="00FF518D">
        <w:rPr>
          <w:rFonts w:ascii="Arial" w:hAnsi="Arial" w:cs="Arial"/>
          <w:b/>
          <w:sz w:val="26"/>
          <w:szCs w:val="26"/>
        </w:rPr>
        <w:t>/201</w:t>
      </w:r>
      <w:r w:rsidR="004446D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0114B9">
        <w:rPr>
          <w:rFonts w:ascii="Arial" w:hAnsi="Arial" w:cs="Arial"/>
          <w:b/>
          <w:sz w:val="26"/>
          <w:szCs w:val="26"/>
        </w:rPr>
        <w:t>31</w:t>
      </w:r>
      <w:r>
        <w:rPr>
          <w:rFonts w:ascii="Arial" w:hAnsi="Arial" w:cs="Arial"/>
          <w:b/>
          <w:sz w:val="26"/>
          <w:szCs w:val="26"/>
        </w:rPr>
        <w:t>/</w:t>
      </w:r>
      <w:r w:rsidRPr="00CB6405">
        <w:rPr>
          <w:rFonts w:ascii="Arial" w:hAnsi="Arial" w:cs="Arial"/>
          <w:b/>
          <w:sz w:val="26"/>
          <w:szCs w:val="26"/>
        </w:rPr>
        <w:t>201</w:t>
      </w:r>
      <w:r w:rsidR="004446D8">
        <w:rPr>
          <w:rFonts w:ascii="Arial" w:hAnsi="Arial" w:cs="Arial"/>
          <w:b/>
          <w:sz w:val="26"/>
          <w:szCs w:val="26"/>
        </w:rPr>
        <w:t>8</w:t>
      </w:r>
      <w:r w:rsidRPr="00CB6405">
        <w:rPr>
          <w:rFonts w:ascii="Arial" w:hAnsi="Arial" w:cs="Arial"/>
          <w:b/>
          <w:sz w:val="26"/>
          <w:szCs w:val="26"/>
        </w:rPr>
        <w:t xml:space="preserve"> </w:t>
      </w:r>
      <w:r w:rsidR="000114B9">
        <w:rPr>
          <w:rFonts w:ascii="Arial" w:hAnsi="Arial" w:cs="Arial"/>
          <w:b/>
          <w:sz w:val="26"/>
          <w:szCs w:val="26"/>
        </w:rPr>
        <w:t>QUINTA</w:t>
      </w:r>
      <w:r w:rsidR="00B525A6">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0F560C" w:rsidRDefault="000F560C" w:rsidP="000F560C">
      <w:pPr>
        <w:spacing w:before="240" w:line="360" w:lineRule="auto"/>
        <w:jc w:val="both"/>
        <w:rPr>
          <w:rFonts w:ascii="Arial" w:hAnsi="Arial" w:cs="Arial"/>
          <w:b/>
          <w:sz w:val="26"/>
          <w:szCs w:val="26"/>
        </w:rPr>
      </w:pPr>
      <w:r>
        <w:rPr>
          <w:rFonts w:ascii="Arial" w:hAnsi="Arial" w:cs="Arial"/>
          <w:b/>
          <w:sz w:val="26"/>
          <w:szCs w:val="26"/>
        </w:rPr>
        <w:t>OAXACA DE JUÁREZ, OAXACA A CATORCE DE NOVIEMBRE DE DOS MIL DIECIOCHO.</w:t>
      </w:r>
    </w:p>
    <w:p w:rsidR="004446D8" w:rsidRPr="00CB6405" w:rsidRDefault="00B525A6" w:rsidP="00E96B8B">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0114B9">
        <w:rPr>
          <w:rFonts w:ascii="Arial" w:hAnsi="Arial" w:cs="Arial"/>
          <w:b/>
          <w:sz w:val="26"/>
          <w:szCs w:val="26"/>
        </w:rPr>
        <w:t>303</w:t>
      </w:r>
      <w:r w:rsidRPr="00CB6405">
        <w:rPr>
          <w:rFonts w:ascii="Arial" w:hAnsi="Arial" w:cs="Arial"/>
          <w:b/>
          <w:sz w:val="26"/>
          <w:szCs w:val="26"/>
        </w:rPr>
        <w:t>/201</w:t>
      </w:r>
      <w:r w:rsidR="004446D8">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B53176">
        <w:rPr>
          <w:rFonts w:ascii="Arial" w:hAnsi="Arial" w:cs="Arial"/>
          <w:b/>
          <w:sz w:val="26"/>
          <w:szCs w:val="26"/>
        </w:rPr>
        <w:t>RECAUDADORA DE RENTAS</w:t>
      </w:r>
      <w:r w:rsidRPr="003E2B2E">
        <w:rPr>
          <w:rFonts w:ascii="Arial" w:hAnsi="Arial" w:cs="Arial"/>
          <w:b/>
          <w:sz w:val="26"/>
          <w:szCs w:val="26"/>
        </w:rPr>
        <w:t xml:space="preserve"> DEL MUNICIPIO DE OAXACA DE JUÁREZ</w:t>
      </w:r>
      <w:r w:rsidRPr="00CB6405">
        <w:rPr>
          <w:rFonts w:ascii="Arial" w:hAnsi="Arial" w:cs="Arial"/>
          <w:sz w:val="26"/>
          <w:szCs w:val="26"/>
        </w:rPr>
        <w:t>, en contra de</w:t>
      </w:r>
      <w:r>
        <w:rPr>
          <w:rFonts w:ascii="Arial" w:hAnsi="Arial" w:cs="Arial"/>
          <w:sz w:val="26"/>
          <w:szCs w:val="26"/>
        </w:rPr>
        <w:t xml:space="preserve"> la sentencia de </w:t>
      </w:r>
      <w:r w:rsidR="004446D8">
        <w:rPr>
          <w:rFonts w:ascii="Arial" w:hAnsi="Arial" w:cs="Arial"/>
          <w:sz w:val="26"/>
          <w:szCs w:val="26"/>
        </w:rPr>
        <w:t>veintinueve de ju</w:t>
      </w:r>
      <w:r w:rsidR="000114B9">
        <w:rPr>
          <w:rFonts w:ascii="Arial" w:hAnsi="Arial" w:cs="Arial"/>
          <w:sz w:val="26"/>
          <w:szCs w:val="26"/>
        </w:rPr>
        <w:t>n</w:t>
      </w:r>
      <w:r w:rsidR="004446D8">
        <w:rPr>
          <w:rFonts w:ascii="Arial" w:hAnsi="Arial" w:cs="Arial"/>
          <w:sz w:val="26"/>
          <w:szCs w:val="26"/>
        </w:rPr>
        <w:t xml:space="preserve">io </w:t>
      </w:r>
      <w:r>
        <w:rPr>
          <w:rFonts w:ascii="Arial" w:hAnsi="Arial" w:cs="Arial"/>
          <w:sz w:val="26"/>
          <w:szCs w:val="26"/>
        </w:rPr>
        <w:t xml:space="preserve">de </w:t>
      </w:r>
      <w:r w:rsidR="004446D8">
        <w:rPr>
          <w:rFonts w:ascii="Arial" w:hAnsi="Arial" w:cs="Arial"/>
          <w:sz w:val="26"/>
          <w:szCs w:val="26"/>
        </w:rPr>
        <w:t>dos mil dieciocho</w:t>
      </w:r>
      <w:r>
        <w:rPr>
          <w:rFonts w:ascii="Arial" w:hAnsi="Arial" w:cs="Arial"/>
          <w:sz w:val="26"/>
          <w:szCs w:val="26"/>
        </w:rPr>
        <w:t>, dictada</w:t>
      </w:r>
      <w:r w:rsidRPr="00CB6405">
        <w:rPr>
          <w:rFonts w:ascii="Arial" w:hAnsi="Arial" w:cs="Arial"/>
          <w:sz w:val="26"/>
          <w:szCs w:val="26"/>
        </w:rPr>
        <w:t xml:space="preserve"> en el expediente </w:t>
      </w:r>
      <w:r w:rsidR="000114B9">
        <w:rPr>
          <w:rFonts w:ascii="Arial" w:hAnsi="Arial" w:cs="Arial"/>
          <w:b/>
          <w:sz w:val="26"/>
          <w:szCs w:val="26"/>
        </w:rPr>
        <w:t>031</w:t>
      </w:r>
      <w:r w:rsidRPr="00CB6405">
        <w:rPr>
          <w:rFonts w:ascii="Arial" w:hAnsi="Arial" w:cs="Arial"/>
          <w:b/>
          <w:sz w:val="26"/>
          <w:szCs w:val="26"/>
        </w:rPr>
        <w:t>/201</w:t>
      </w:r>
      <w:r w:rsidR="00E96B8B">
        <w:rPr>
          <w:rFonts w:ascii="Arial" w:hAnsi="Arial" w:cs="Arial"/>
          <w:b/>
          <w:sz w:val="26"/>
          <w:szCs w:val="26"/>
        </w:rPr>
        <w:t>8</w:t>
      </w:r>
      <w:r w:rsidRPr="00CB6405">
        <w:rPr>
          <w:rFonts w:ascii="Arial" w:hAnsi="Arial" w:cs="Arial"/>
          <w:sz w:val="26"/>
          <w:szCs w:val="26"/>
        </w:rPr>
        <w:t xml:space="preserve"> de la </w:t>
      </w:r>
      <w:r w:rsidR="000114B9">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0843A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6B3BEA">
        <w:rPr>
          <w:rFonts w:ascii="Arial" w:hAnsi="Arial" w:cs="Arial"/>
          <w:b/>
          <w:sz w:val="26"/>
          <w:szCs w:val="26"/>
        </w:rPr>
        <w:t>POLICÍA VIAL PV-</w:t>
      </w:r>
      <w:r w:rsidR="000114B9">
        <w:rPr>
          <w:rFonts w:ascii="Arial" w:hAnsi="Arial" w:cs="Arial"/>
          <w:b/>
          <w:sz w:val="26"/>
          <w:szCs w:val="26"/>
        </w:rPr>
        <w:t>133</w:t>
      </w:r>
      <w:r>
        <w:rPr>
          <w:rFonts w:ascii="Arial" w:hAnsi="Arial" w:cs="Arial"/>
          <w:b/>
          <w:sz w:val="26"/>
          <w:szCs w:val="26"/>
        </w:rPr>
        <w:t>, adscrito</w:t>
      </w:r>
      <w:r w:rsidRPr="006B3BEA">
        <w:rPr>
          <w:rFonts w:ascii="Arial" w:hAnsi="Arial" w:cs="Arial"/>
          <w:b/>
          <w:sz w:val="26"/>
          <w:szCs w:val="26"/>
        </w:rPr>
        <w:t xml:space="preserve"> a la </w:t>
      </w:r>
      <w:r w:rsidR="00922508" w:rsidRPr="006B3BEA">
        <w:rPr>
          <w:rFonts w:ascii="Arial" w:hAnsi="Arial" w:cs="Arial"/>
          <w:b/>
          <w:sz w:val="26"/>
          <w:szCs w:val="26"/>
        </w:rPr>
        <w:t>COMIS</w:t>
      </w:r>
      <w:r w:rsidR="00922508">
        <w:rPr>
          <w:rFonts w:ascii="Arial" w:hAnsi="Arial" w:cs="Arial"/>
          <w:b/>
          <w:sz w:val="26"/>
          <w:szCs w:val="26"/>
        </w:rPr>
        <w:t xml:space="preserve">ARÍA DE VIALIDAD MUNICIPAL DE OAXACA DE JUÁREZ, OAXACA Y </w:t>
      </w:r>
      <w:r w:rsidR="00922508" w:rsidRPr="006B3BEA">
        <w:rPr>
          <w:rFonts w:ascii="Arial" w:hAnsi="Arial" w:cs="Arial"/>
          <w:b/>
          <w:sz w:val="26"/>
          <w:szCs w:val="26"/>
        </w:rPr>
        <w:t>L</w:t>
      </w:r>
      <w:r w:rsidR="00922508">
        <w:rPr>
          <w:rFonts w:ascii="Arial" w:hAnsi="Arial" w:cs="Arial"/>
          <w:b/>
          <w:sz w:val="26"/>
          <w:szCs w:val="26"/>
        </w:rPr>
        <w:t xml:space="preserve">A </w:t>
      </w:r>
      <w:r w:rsidR="00E96B8B">
        <w:rPr>
          <w:rFonts w:ascii="Arial" w:hAnsi="Arial" w:cs="Arial"/>
          <w:b/>
          <w:sz w:val="26"/>
          <w:szCs w:val="26"/>
        </w:rPr>
        <w:t>RECURRENTE</w:t>
      </w:r>
      <w:r w:rsidRPr="006B3BEA">
        <w:rPr>
          <w:rFonts w:ascii="Arial" w:hAnsi="Arial" w:cs="Arial"/>
          <w:sz w:val="26"/>
          <w:szCs w:val="26"/>
        </w:rPr>
        <w:t>;</w:t>
      </w:r>
      <w:r w:rsidRPr="00CB6405">
        <w:rPr>
          <w:rFonts w:ascii="Arial" w:hAnsi="Arial" w:cs="Arial"/>
          <w:b/>
          <w:sz w:val="26"/>
          <w:szCs w:val="26"/>
        </w:rPr>
        <w:t xml:space="preserve"> </w:t>
      </w:r>
      <w:r w:rsidR="004446D8" w:rsidRPr="00CB6405">
        <w:rPr>
          <w:rFonts w:ascii="Arial" w:hAnsi="Arial" w:cs="Arial"/>
          <w:sz w:val="26"/>
          <w:szCs w:val="26"/>
        </w:rPr>
        <w:t>por lo que co</w:t>
      </w:r>
      <w:r w:rsidR="004446D8">
        <w:rPr>
          <w:rFonts w:ascii="Arial" w:hAnsi="Arial" w:cs="Arial"/>
          <w:sz w:val="26"/>
          <w:szCs w:val="26"/>
        </w:rPr>
        <w:t>n fundamento en los artículos 236 y 23</w:t>
      </w:r>
      <w:r w:rsidR="004446D8" w:rsidRPr="00CB6405">
        <w:rPr>
          <w:rFonts w:ascii="Arial" w:hAnsi="Arial" w:cs="Arial"/>
          <w:sz w:val="26"/>
          <w:szCs w:val="26"/>
        </w:rPr>
        <w:t xml:space="preserve">8 de la Ley de </w:t>
      </w:r>
      <w:r w:rsidR="004446D8">
        <w:rPr>
          <w:rFonts w:ascii="Arial" w:hAnsi="Arial" w:cs="Arial"/>
          <w:sz w:val="26"/>
          <w:szCs w:val="26"/>
        </w:rPr>
        <w:t xml:space="preserve">Procedimiento y Justicia Administrativa para el </w:t>
      </w:r>
      <w:r w:rsidR="004446D8" w:rsidRPr="00CB6405">
        <w:rPr>
          <w:rFonts w:ascii="Arial" w:hAnsi="Arial" w:cs="Arial"/>
          <w:sz w:val="26"/>
          <w:szCs w:val="26"/>
        </w:rPr>
        <w:t>Estado de Oaxaca</w:t>
      </w:r>
      <w:r w:rsidR="004446D8">
        <w:rPr>
          <w:rFonts w:ascii="Arial" w:hAnsi="Arial" w:cs="Arial"/>
          <w:sz w:val="26"/>
          <w:szCs w:val="26"/>
        </w:rPr>
        <w:t xml:space="preserve">, </w:t>
      </w:r>
      <w:r w:rsidR="004446D8" w:rsidRPr="00CB6405">
        <w:rPr>
          <w:rFonts w:ascii="Arial" w:hAnsi="Arial" w:cs="Arial"/>
          <w:sz w:val="26"/>
          <w:szCs w:val="26"/>
        </w:rPr>
        <w:t>se admite. En consecuencia, se procede a dictar resolución en los siguientes términos:</w:t>
      </w:r>
    </w:p>
    <w:p w:rsidR="00B525A6" w:rsidRPr="00CB6405" w:rsidRDefault="00B525A6" w:rsidP="00667B0D">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B525A6" w:rsidRPr="00CB6405" w:rsidRDefault="00B525A6" w:rsidP="00B525A6">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E96B8B">
        <w:rPr>
          <w:rFonts w:ascii="Arial" w:hAnsi="Arial" w:cs="Arial"/>
          <w:sz w:val="26"/>
          <w:szCs w:val="26"/>
        </w:rPr>
        <w:t>veintinueve de ju</w:t>
      </w:r>
      <w:r w:rsidR="000114B9">
        <w:rPr>
          <w:rFonts w:ascii="Arial" w:hAnsi="Arial" w:cs="Arial"/>
          <w:sz w:val="26"/>
          <w:szCs w:val="26"/>
        </w:rPr>
        <w:t>n</w:t>
      </w:r>
      <w:r w:rsidR="00E96B8B">
        <w:rPr>
          <w:rFonts w:ascii="Arial" w:hAnsi="Arial" w:cs="Arial"/>
          <w:sz w:val="26"/>
          <w:szCs w:val="26"/>
        </w:rPr>
        <w:t xml:space="preserve">io </w:t>
      </w:r>
      <w:r>
        <w:rPr>
          <w:rFonts w:ascii="Arial" w:hAnsi="Arial" w:cs="Arial"/>
          <w:sz w:val="26"/>
          <w:szCs w:val="26"/>
        </w:rPr>
        <w:t xml:space="preserve">de </w:t>
      </w:r>
      <w:r w:rsidR="00E96B8B">
        <w:rPr>
          <w:rFonts w:ascii="Arial" w:hAnsi="Arial" w:cs="Arial"/>
          <w:sz w:val="26"/>
          <w:szCs w:val="26"/>
        </w:rPr>
        <w:t>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0114B9">
        <w:rPr>
          <w:rFonts w:ascii="Arial" w:hAnsi="Arial" w:cs="Arial"/>
          <w:sz w:val="26"/>
          <w:szCs w:val="26"/>
        </w:rPr>
        <w:t>Quinta</w:t>
      </w:r>
      <w:r>
        <w:rPr>
          <w:rFonts w:ascii="Arial" w:hAnsi="Arial" w:cs="Arial"/>
          <w:sz w:val="26"/>
          <w:szCs w:val="26"/>
        </w:rPr>
        <w:t xml:space="preserve">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B53176">
        <w:rPr>
          <w:rFonts w:ascii="Arial" w:hAnsi="Arial" w:cs="Arial"/>
          <w:b/>
          <w:sz w:val="26"/>
          <w:szCs w:val="26"/>
        </w:rPr>
        <w:t>RECAUDADORA DE RENTAS</w:t>
      </w:r>
      <w:r w:rsidRPr="003E2B2E">
        <w:rPr>
          <w:rFonts w:ascii="Arial" w:hAnsi="Arial" w:cs="Arial"/>
          <w:b/>
          <w:sz w:val="26"/>
          <w:szCs w:val="26"/>
        </w:rPr>
        <w:t xml:space="preserve"> DEL MUNICIPIO DE OAXACA DE JUÁREZ</w:t>
      </w:r>
      <w:r w:rsidRPr="00CB6405">
        <w:rPr>
          <w:rFonts w:ascii="Arial" w:hAnsi="Arial" w:cs="Arial"/>
          <w:sz w:val="26"/>
          <w:szCs w:val="26"/>
        </w:rPr>
        <w:t>, interpuso en su contra recurso de revisión.</w:t>
      </w:r>
    </w:p>
    <w:p w:rsidR="00B525A6" w:rsidRDefault="00B525A6" w:rsidP="00B525A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B525A6" w:rsidRPr="00C06661" w:rsidRDefault="00B525A6" w:rsidP="000114B9">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0114B9">
        <w:rPr>
          <w:rFonts w:ascii="Arial" w:eastAsia="Times New Roman" w:hAnsi="Arial" w:cs="Arial"/>
          <w:bCs/>
          <w:i/>
          <w:iCs/>
          <w:sz w:val="24"/>
          <w:szCs w:val="24"/>
          <w:lang w:eastAsia="es-ES"/>
        </w:rPr>
        <w:t xml:space="preserve">Quinta </w:t>
      </w:r>
      <w:r>
        <w:rPr>
          <w:rFonts w:ascii="Arial" w:eastAsia="Times New Roman" w:hAnsi="Arial" w:cs="Arial"/>
          <w:bCs/>
          <w:i/>
          <w:iCs/>
          <w:sz w:val="24"/>
          <w:szCs w:val="24"/>
          <w:lang w:eastAsia="es-ES"/>
        </w:rPr>
        <w:t xml:space="preserve">Sala Unitaria </w:t>
      </w:r>
      <w:r w:rsidR="00E96B8B">
        <w:rPr>
          <w:rFonts w:ascii="Arial" w:eastAsia="Times New Roman" w:hAnsi="Arial" w:cs="Arial"/>
          <w:bCs/>
          <w:i/>
          <w:iCs/>
          <w:sz w:val="24"/>
          <w:szCs w:val="24"/>
          <w:lang w:eastAsia="es-ES"/>
        </w:rPr>
        <w:t>de Primera Instancia del Tribunal de Justicia Administrativa del Estado</w:t>
      </w:r>
      <w:r w:rsidR="000114B9">
        <w:rPr>
          <w:rFonts w:ascii="Arial" w:eastAsia="Times New Roman" w:hAnsi="Arial" w:cs="Arial"/>
          <w:bCs/>
          <w:i/>
          <w:iCs/>
          <w:sz w:val="24"/>
          <w:szCs w:val="24"/>
          <w:lang w:eastAsia="es-ES"/>
        </w:rPr>
        <w:t xml:space="preserve"> de Oaxaca</w:t>
      </w:r>
      <w:r w:rsidR="00E96B8B">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e</w:t>
      </w:r>
      <w:r w:rsidR="000114B9">
        <w:rPr>
          <w:rFonts w:ascii="Arial" w:eastAsia="Times New Roman" w:hAnsi="Arial" w:cs="Arial"/>
          <w:bCs/>
          <w:i/>
          <w:iCs/>
          <w:sz w:val="24"/>
          <w:szCs w:val="24"/>
          <w:lang w:eastAsia="es-ES"/>
        </w:rPr>
        <w:t>s</w:t>
      </w:r>
      <w:r w:rsidR="00F448E0">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competente para conocer </w:t>
      </w:r>
      <w:r w:rsidRPr="00C06661">
        <w:rPr>
          <w:rFonts w:ascii="Arial" w:eastAsia="Times New Roman" w:hAnsi="Arial" w:cs="Arial"/>
          <w:bCs/>
          <w:i/>
          <w:iCs/>
          <w:sz w:val="24"/>
          <w:szCs w:val="24"/>
          <w:lang w:eastAsia="es-ES"/>
        </w:rPr>
        <w:t xml:space="preserve">y resolver el presente </w:t>
      </w:r>
      <w:r w:rsidR="00F448E0">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w:t>
      </w:r>
      <w:r w:rsidR="000114B9">
        <w:rPr>
          <w:rFonts w:ascii="Arial" w:eastAsia="Times New Roman" w:hAnsi="Arial" w:cs="Arial"/>
          <w:bCs/>
          <w:i/>
          <w:iCs/>
          <w:sz w:val="24"/>
          <w:szCs w:val="24"/>
          <w:lang w:eastAsia="es-ES"/>
        </w:rPr>
        <w:t xml:space="preserve">- - </w:t>
      </w:r>
      <w:r w:rsidR="00952ED2">
        <w:rPr>
          <w:rFonts w:ascii="Arial" w:eastAsia="Times New Roman" w:hAnsi="Arial" w:cs="Arial"/>
          <w:bCs/>
          <w:i/>
          <w:iCs/>
          <w:sz w:val="24"/>
          <w:szCs w:val="24"/>
          <w:lang w:eastAsia="es-ES"/>
        </w:rPr>
        <w:t>- - - - - - - - - - - - - - - - - - - - - - - - - - - - - - -</w:t>
      </w:r>
      <w:r w:rsidRPr="00C06661">
        <w:rPr>
          <w:rFonts w:ascii="Arial" w:eastAsia="Times New Roman" w:hAnsi="Arial" w:cs="Arial"/>
          <w:b/>
          <w:bCs/>
          <w:i/>
          <w:iCs/>
          <w:sz w:val="24"/>
          <w:szCs w:val="24"/>
          <w:lang w:eastAsia="es-ES"/>
        </w:rPr>
        <w:t xml:space="preserve">SEGUNDO. </w:t>
      </w:r>
      <w:r w:rsidR="00E96B8B">
        <w:rPr>
          <w:rFonts w:ascii="Arial" w:eastAsia="Times New Roman" w:hAnsi="Arial" w:cs="Arial"/>
          <w:bCs/>
          <w:i/>
          <w:iCs/>
          <w:sz w:val="24"/>
          <w:szCs w:val="24"/>
          <w:lang w:eastAsia="es-ES"/>
        </w:rPr>
        <w:t xml:space="preserve">La personalidad de las partes, </w:t>
      </w:r>
      <w:r w:rsidR="00F448E0">
        <w:rPr>
          <w:rFonts w:ascii="Arial" w:eastAsia="Times New Roman" w:hAnsi="Arial" w:cs="Arial"/>
          <w:bCs/>
          <w:i/>
          <w:iCs/>
          <w:sz w:val="24"/>
          <w:szCs w:val="24"/>
          <w:lang w:eastAsia="es-ES"/>
        </w:rPr>
        <w:t xml:space="preserve">quedó acreditada en autos.- - - - - - - - - - - - - - - - - - - - - - - - - - - - - - - - - - - - - - </w:t>
      </w:r>
      <w:r w:rsidR="00F448E0">
        <w:rPr>
          <w:rFonts w:ascii="Arial" w:eastAsia="Times New Roman" w:hAnsi="Arial" w:cs="Arial"/>
          <w:b/>
          <w:bCs/>
          <w:i/>
          <w:iCs/>
          <w:sz w:val="24"/>
          <w:szCs w:val="24"/>
          <w:lang w:eastAsia="es-ES"/>
        </w:rPr>
        <w:t xml:space="preserve">TERCERO. </w:t>
      </w:r>
      <w:r w:rsidR="000114B9">
        <w:rPr>
          <w:rFonts w:ascii="Arial" w:eastAsia="Times New Roman" w:hAnsi="Arial" w:cs="Arial"/>
          <w:bCs/>
          <w:i/>
          <w:iCs/>
          <w:sz w:val="24"/>
          <w:szCs w:val="24"/>
          <w:lang w:eastAsia="es-ES"/>
        </w:rPr>
        <w:t xml:space="preserve">Este Juzgador advierte que, en el presente juicio </w:t>
      </w:r>
      <w:r w:rsidR="000114B9">
        <w:rPr>
          <w:rFonts w:ascii="Arial" w:eastAsia="Times New Roman" w:hAnsi="Arial" w:cs="Arial"/>
          <w:bCs/>
          <w:i/>
          <w:iCs/>
          <w:sz w:val="24"/>
          <w:szCs w:val="24"/>
          <w:lang w:eastAsia="es-ES"/>
        </w:rPr>
        <w:lastRenderedPageBreak/>
        <w:t xml:space="preserve">no se configura alguna causal de improcedencia o sobreseimiento, por tanto, </w:t>
      </w:r>
      <w:r w:rsidR="00E96B8B">
        <w:rPr>
          <w:rFonts w:ascii="Arial" w:eastAsia="Times New Roman" w:hAnsi="Arial" w:cs="Arial"/>
          <w:b/>
          <w:bCs/>
          <w:i/>
          <w:iCs/>
          <w:sz w:val="24"/>
          <w:szCs w:val="24"/>
          <w:lang w:eastAsia="es-ES"/>
        </w:rPr>
        <w:t>NO SE SOBRESEE</w:t>
      </w:r>
      <w:r w:rsidRPr="00C06661">
        <w:rPr>
          <w:rFonts w:ascii="Arial" w:eastAsia="Times New Roman" w:hAnsi="Arial" w:cs="Arial"/>
          <w:bCs/>
          <w:i/>
          <w:iCs/>
          <w:sz w:val="24"/>
          <w:szCs w:val="24"/>
          <w:lang w:eastAsia="es-ES"/>
        </w:rPr>
        <w:t xml:space="preserve">.- </w:t>
      </w:r>
      <w:r w:rsidR="00E96B8B">
        <w:rPr>
          <w:rFonts w:ascii="Arial" w:eastAsia="Times New Roman" w:hAnsi="Arial" w:cs="Arial"/>
          <w:bCs/>
          <w:i/>
          <w:iCs/>
          <w:sz w:val="24"/>
          <w:szCs w:val="24"/>
          <w:lang w:eastAsia="es-ES"/>
        </w:rPr>
        <w:t xml:space="preserve">- - - - - - - - - </w:t>
      </w:r>
      <w:r w:rsidR="00F448E0">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 xml:space="preserve">. </w:t>
      </w:r>
      <w:r w:rsidR="000114B9" w:rsidRPr="000114B9">
        <w:rPr>
          <w:rFonts w:ascii="Arial" w:eastAsia="Times New Roman" w:hAnsi="Arial" w:cs="Arial"/>
          <w:b/>
          <w:bCs/>
          <w:i/>
          <w:iCs/>
          <w:sz w:val="24"/>
          <w:szCs w:val="24"/>
          <w:lang w:eastAsia="es-ES"/>
        </w:rPr>
        <w:t>SE DECLARA LA</w:t>
      </w:r>
      <w:r w:rsidR="000114B9">
        <w:rPr>
          <w:rFonts w:ascii="Arial" w:eastAsia="Times New Roman" w:hAnsi="Arial" w:cs="Arial"/>
          <w:bCs/>
          <w:i/>
          <w:iCs/>
          <w:sz w:val="24"/>
          <w:szCs w:val="24"/>
          <w:lang w:eastAsia="es-ES"/>
        </w:rPr>
        <w:t xml:space="preserve"> </w:t>
      </w:r>
      <w:r w:rsidRPr="00F448E0">
        <w:rPr>
          <w:rFonts w:ascii="Arial" w:eastAsia="Times New Roman" w:hAnsi="Arial" w:cs="Arial"/>
          <w:b/>
          <w:bCs/>
          <w:i/>
          <w:iCs/>
          <w:sz w:val="24"/>
          <w:szCs w:val="24"/>
          <w:lang w:eastAsia="es-ES"/>
        </w:rPr>
        <w:t>NULIDAD LISA Y LLANA</w:t>
      </w:r>
      <w:r>
        <w:rPr>
          <w:rFonts w:ascii="Arial" w:eastAsia="Times New Roman" w:hAnsi="Arial" w:cs="Arial"/>
          <w:b/>
          <w:bCs/>
          <w:i/>
          <w:iCs/>
          <w:sz w:val="24"/>
          <w:szCs w:val="24"/>
          <w:lang w:eastAsia="es-ES"/>
        </w:rPr>
        <w:t xml:space="preserve"> </w:t>
      </w:r>
      <w:r w:rsidRPr="00B53176">
        <w:rPr>
          <w:rFonts w:ascii="Arial" w:eastAsia="Times New Roman" w:hAnsi="Arial" w:cs="Arial"/>
          <w:bCs/>
          <w:i/>
          <w:iCs/>
          <w:sz w:val="24"/>
          <w:szCs w:val="24"/>
          <w:lang w:eastAsia="es-ES"/>
        </w:rPr>
        <w:t xml:space="preserve">del acta de infracción </w:t>
      </w:r>
      <w:r w:rsidR="000114B9">
        <w:rPr>
          <w:rFonts w:ascii="Arial" w:eastAsia="Times New Roman" w:hAnsi="Arial" w:cs="Arial"/>
          <w:bCs/>
          <w:i/>
          <w:iCs/>
          <w:sz w:val="24"/>
          <w:szCs w:val="24"/>
          <w:lang w:eastAsia="es-ES"/>
        </w:rPr>
        <w:t xml:space="preserve">con número </w:t>
      </w:r>
      <w:r w:rsidR="00E96B8B">
        <w:rPr>
          <w:rFonts w:ascii="Arial" w:eastAsia="Times New Roman" w:hAnsi="Arial" w:cs="Arial"/>
          <w:bCs/>
          <w:i/>
          <w:iCs/>
          <w:sz w:val="24"/>
          <w:szCs w:val="24"/>
          <w:lang w:eastAsia="es-ES"/>
        </w:rPr>
        <w:t>de</w:t>
      </w:r>
      <w:r w:rsidR="00F448E0">
        <w:rPr>
          <w:rFonts w:ascii="Arial" w:eastAsia="Times New Roman" w:hAnsi="Arial" w:cs="Arial"/>
          <w:bCs/>
          <w:i/>
          <w:iCs/>
          <w:sz w:val="24"/>
          <w:szCs w:val="24"/>
          <w:lang w:eastAsia="es-ES"/>
        </w:rPr>
        <w:t xml:space="preserve"> folio </w:t>
      </w:r>
      <w:r w:rsidR="000843AB">
        <w:rPr>
          <w:rFonts w:ascii="Arial" w:eastAsia="Times New Roman" w:hAnsi="Arial" w:cs="Arial"/>
          <w:b/>
          <w:bCs/>
          <w:i/>
          <w:iCs/>
          <w:sz w:val="24"/>
          <w:szCs w:val="24"/>
          <w:lang w:eastAsia="es-ES"/>
        </w:rPr>
        <w:t>**********</w:t>
      </w:r>
      <w:r w:rsidR="000114B9">
        <w:rPr>
          <w:rFonts w:ascii="Arial" w:eastAsia="Times New Roman" w:hAnsi="Arial" w:cs="Arial"/>
          <w:b/>
          <w:bCs/>
          <w:i/>
          <w:iCs/>
          <w:sz w:val="24"/>
          <w:szCs w:val="24"/>
          <w:lang w:eastAsia="es-ES"/>
        </w:rPr>
        <w:t xml:space="preserve"> de fecha seis de marzo de dos mil dieciocho (06/03/18) en consecuencia, </w:t>
      </w:r>
      <w:r w:rsidR="000114B9" w:rsidRPr="000114B9">
        <w:rPr>
          <w:rFonts w:ascii="Arial" w:eastAsia="Times New Roman" w:hAnsi="Arial" w:cs="Arial"/>
          <w:bCs/>
          <w:i/>
          <w:iCs/>
          <w:sz w:val="24"/>
          <w:szCs w:val="24"/>
          <w:lang w:eastAsia="es-ES"/>
        </w:rPr>
        <w:t>se ordena</w:t>
      </w:r>
      <w:r w:rsidR="000114B9">
        <w:rPr>
          <w:rFonts w:ascii="Arial" w:eastAsia="Times New Roman" w:hAnsi="Arial" w:cs="Arial"/>
          <w:bCs/>
          <w:i/>
          <w:iCs/>
          <w:sz w:val="24"/>
          <w:szCs w:val="24"/>
          <w:lang w:eastAsia="es-ES"/>
        </w:rPr>
        <w:t xml:space="preserve"> al </w:t>
      </w:r>
      <w:r w:rsidR="000114B9">
        <w:rPr>
          <w:rFonts w:ascii="Arial" w:eastAsia="Times New Roman" w:hAnsi="Arial" w:cs="Arial"/>
          <w:b/>
          <w:bCs/>
          <w:i/>
          <w:iCs/>
          <w:sz w:val="24"/>
          <w:szCs w:val="24"/>
          <w:lang w:eastAsia="es-ES"/>
        </w:rPr>
        <w:t xml:space="preserve">RECAUDADOR MUNICIPAL DE OAXACA DE JUÁREZ, </w:t>
      </w:r>
      <w:r w:rsidR="000114B9">
        <w:rPr>
          <w:rFonts w:ascii="Arial" w:eastAsia="Times New Roman" w:hAnsi="Arial" w:cs="Arial"/>
          <w:bCs/>
          <w:i/>
          <w:iCs/>
          <w:sz w:val="24"/>
          <w:szCs w:val="24"/>
          <w:lang w:eastAsia="es-ES"/>
        </w:rPr>
        <w:t xml:space="preserve">realice la devolución de la cantidad que ampara el recibo oficial con número de folio </w:t>
      </w:r>
      <w:r w:rsidR="000843AB">
        <w:rPr>
          <w:rFonts w:ascii="Arial" w:eastAsia="Times New Roman" w:hAnsi="Arial" w:cs="Arial"/>
          <w:b/>
          <w:bCs/>
          <w:i/>
          <w:iCs/>
          <w:sz w:val="24"/>
          <w:szCs w:val="24"/>
          <w:lang w:eastAsia="es-ES"/>
        </w:rPr>
        <w:t>**********</w:t>
      </w:r>
      <w:r w:rsidR="000114B9">
        <w:rPr>
          <w:rFonts w:ascii="Arial" w:eastAsia="Times New Roman" w:hAnsi="Arial" w:cs="Arial"/>
          <w:b/>
          <w:bCs/>
          <w:i/>
          <w:iCs/>
          <w:sz w:val="24"/>
          <w:szCs w:val="24"/>
          <w:lang w:eastAsia="es-ES"/>
        </w:rPr>
        <w:t xml:space="preserve"> </w:t>
      </w:r>
      <w:r w:rsidR="000114B9">
        <w:rPr>
          <w:rFonts w:ascii="Arial" w:eastAsia="Times New Roman" w:hAnsi="Arial" w:cs="Arial"/>
          <w:bCs/>
          <w:i/>
          <w:iCs/>
          <w:sz w:val="24"/>
          <w:szCs w:val="24"/>
          <w:lang w:eastAsia="es-ES"/>
        </w:rPr>
        <w:t xml:space="preserve">datado el siete de marzo de dos mil dieciocho (07/03/2018), por la cantidad de </w:t>
      </w:r>
      <w:r w:rsidR="000114B9">
        <w:rPr>
          <w:rFonts w:ascii="Arial" w:eastAsia="Times New Roman" w:hAnsi="Arial" w:cs="Arial"/>
          <w:b/>
          <w:bCs/>
          <w:i/>
          <w:iCs/>
          <w:sz w:val="24"/>
          <w:szCs w:val="24"/>
          <w:lang w:eastAsia="es-ES"/>
        </w:rPr>
        <w:t>$</w:t>
      </w:r>
      <w:r w:rsidR="000843AB">
        <w:rPr>
          <w:rFonts w:ascii="Arial" w:eastAsia="Times New Roman" w:hAnsi="Arial" w:cs="Arial"/>
          <w:b/>
          <w:bCs/>
          <w:i/>
          <w:iCs/>
          <w:sz w:val="24"/>
          <w:szCs w:val="24"/>
          <w:lang w:eastAsia="es-ES"/>
        </w:rPr>
        <w:t>**********</w:t>
      </w:r>
      <w:r w:rsidR="000114B9">
        <w:rPr>
          <w:rFonts w:ascii="Arial" w:eastAsia="Times New Roman" w:hAnsi="Arial" w:cs="Arial"/>
          <w:b/>
          <w:bCs/>
          <w:i/>
          <w:iCs/>
          <w:sz w:val="24"/>
          <w:szCs w:val="24"/>
          <w:lang w:eastAsia="es-ES"/>
        </w:rPr>
        <w:t xml:space="preserve"> </w:t>
      </w:r>
      <w:r w:rsidR="000114B9">
        <w:rPr>
          <w:rFonts w:ascii="Arial" w:eastAsia="Times New Roman" w:hAnsi="Arial" w:cs="Arial"/>
          <w:bCs/>
          <w:i/>
          <w:iCs/>
          <w:sz w:val="24"/>
          <w:szCs w:val="24"/>
          <w:lang w:eastAsia="es-ES"/>
        </w:rPr>
        <w:t xml:space="preserve">el cual fue pagado a la Recaudación de Rentas dependiente de la Coordinación de Finanzas y Administración del Municipio de Oaxaca de Juárez, Oaxaca, por las razones ya expuestas en el considerando </w:t>
      </w:r>
      <w:r w:rsidR="000114B9">
        <w:rPr>
          <w:rFonts w:ascii="Arial" w:eastAsia="Times New Roman" w:hAnsi="Arial" w:cs="Arial"/>
          <w:b/>
          <w:bCs/>
          <w:i/>
          <w:iCs/>
          <w:sz w:val="24"/>
          <w:szCs w:val="24"/>
          <w:lang w:eastAsia="es-ES"/>
        </w:rPr>
        <w:t>CUARTO</w:t>
      </w:r>
      <w:r w:rsidR="00E96B8B">
        <w:rPr>
          <w:rFonts w:ascii="Arial" w:eastAsia="Times New Roman" w:hAnsi="Arial" w:cs="Arial"/>
          <w:bCs/>
          <w:i/>
          <w:iCs/>
          <w:sz w:val="24"/>
          <w:szCs w:val="24"/>
          <w:lang w:eastAsia="es-ES"/>
        </w:rPr>
        <w:t xml:space="preserve">.- </w:t>
      </w:r>
      <w:r w:rsidR="00F448E0">
        <w:rPr>
          <w:rFonts w:ascii="Arial" w:eastAsia="Times New Roman" w:hAnsi="Arial" w:cs="Arial"/>
          <w:b/>
          <w:bCs/>
          <w:i/>
          <w:iCs/>
          <w:sz w:val="24"/>
          <w:szCs w:val="24"/>
          <w:lang w:eastAsia="es-ES"/>
        </w:rPr>
        <w:t xml:space="preserve">QUINTO. </w:t>
      </w:r>
      <w:r w:rsidR="005C3D13">
        <w:rPr>
          <w:rFonts w:ascii="Arial" w:eastAsia="Times New Roman" w:hAnsi="Arial" w:cs="Arial"/>
          <w:bCs/>
          <w:i/>
          <w:iCs/>
          <w:sz w:val="24"/>
          <w:szCs w:val="24"/>
          <w:lang w:eastAsia="es-ES"/>
        </w:rPr>
        <w:t>Conforme a lo dispuesto en l</w:t>
      </w:r>
      <w:r w:rsidR="000114B9">
        <w:rPr>
          <w:rFonts w:ascii="Arial" w:eastAsia="Times New Roman" w:hAnsi="Arial" w:cs="Arial"/>
          <w:bCs/>
          <w:i/>
          <w:iCs/>
          <w:sz w:val="24"/>
          <w:szCs w:val="24"/>
          <w:lang w:eastAsia="es-ES"/>
        </w:rPr>
        <w:t xml:space="preserve">os artículos 172 </w:t>
      </w:r>
      <w:r w:rsidR="005C3D13">
        <w:rPr>
          <w:rFonts w:ascii="Arial" w:eastAsia="Times New Roman" w:hAnsi="Arial" w:cs="Arial"/>
          <w:bCs/>
          <w:i/>
          <w:iCs/>
          <w:sz w:val="24"/>
          <w:szCs w:val="24"/>
          <w:lang w:eastAsia="es-ES"/>
        </w:rPr>
        <w:t xml:space="preserve">y 173 de la Ley de Procedimientos y Justicia Administrativa para el Estado, </w:t>
      </w:r>
      <w:r w:rsidRPr="00C06661">
        <w:rPr>
          <w:rFonts w:ascii="Arial" w:eastAsia="Times New Roman" w:hAnsi="Arial" w:cs="Arial"/>
          <w:b/>
          <w:bCs/>
          <w:i/>
          <w:iCs/>
          <w:sz w:val="24"/>
          <w:szCs w:val="24"/>
          <w:lang w:eastAsia="es-ES"/>
        </w:rPr>
        <w:t xml:space="preserve">NOTIFÍQUESE </w:t>
      </w:r>
      <w:r w:rsidR="000114B9" w:rsidRPr="000114B9">
        <w:rPr>
          <w:rFonts w:ascii="Arial" w:eastAsia="Times New Roman" w:hAnsi="Arial" w:cs="Arial"/>
          <w:bCs/>
          <w:i/>
          <w:iCs/>
          <w:sz w:val="24"/>
          <w:szCs w:val="24"/>
          <w:lang w:eastAsia="es-ES"/>
        </w:rPr>
        <w:t xml:space="preserve">personalmente a la </w:t>
      </w:r>
      <w:r w:rsidR="000114B9">
        <w:rPr>
          <w:rFonts w:ascii="Arial" w:eastAsia="Times New Roman" w:hAnsi="Arial" w:cs="Arial"/>
          <w:bCs/>
          <w:i/>
          <w:iCs/>
          <w:sz w:val="24"/>
          <w:szCs w:val="24"/>
          <w:lang w:eastAsia="es-ES"/>
        </w:rPr>
        <w:t xml:space="preserve">parte </w:t>
      </w:r>
      <w:r w:rsidR="000114B9" w:rsidRPr="000114B9">
        <w:rPr>
          <w:rFonts w:ascii="Arial" w:eastAsia="Times New Roman" w:hAnsi="Arial" w:cs="Arial"/>
          <w:bCs/>
          <w:i/>
          <w:iCs/>
          <w:sz w:val="24"/>
          <w:szCs w:val="24"/>
          <w:lang w:eastAsia="es-ES"/>
        </w:rPr>
        <w:t>actora</w:t>
      </w:r>
      <w:r w:rsidR="000114B9">
        <w:rPr>
          <w:rFonts w:ascii="Arial" w:eastAsia="Times New Roman" w:hAnsi="Arial" w:cs="Arial"/>
          <w:bCs/>
          <w:i/>
          <w:iCs/>
          <w:sz w:val="24"/>
          <w:szCs w:val="24"/>
          <w:lang w:eastAsia="es-ES"/>
        </w:rPr>
        <w:t xml:space="preserve">, </w:t>
      </w:r>
      <w:r w:rsidR="000114B9" w:rsidRPr="000114B9">
        <w:rPr>
          <w:rFonts w:ascii="Arial" w:eastAsia="Times New Roman" w:hAnsi="Arial" w:cs="Arial"/>
          <w:bCs/>
          <w:i/>
          <w:iCs/>
          <w:sz w:val="24"/>
          <w:szCs w:val="24"/>
          <w:lang w:eastAsia="es-ES"/>
        </w:rPr>
        <w:t>por oficio a las autoridades demandadas</w:t>
      </w:r>
      <w:r w:rsidR="00470924">
        <w:rPr>
          <w:rFonts w:ascii="Arial" w:eastAsia="Times New Roman" w:hAnsi="Arial" w:cs="Arial"/>
          <w:bCs/>
          <w:i/>
          <w:iCs/>
          <w:sz w:val="24"/>
          <w:szCs w:val="24"/>
          <w:lang w:eastAsia="es-ES"/>
        </w:rPr>
        <w:t xml:space="preserve"> y</w:t>
      </w:r>
      <w:r w:rsidR="005C3D13">
        <w:rPr>
          <w:rFonts w:ascii="Arial" w:eastAsia="Times New Roman" w:hAnsi="Arial" w:cs="Arial"/>
          <w:b/>
          <w:bCs/>
          <w:i/>
          <w:iCs/>
          <w:sz w:val="24"/>
          <w:szCs w:val="24"/>
          <w:lang w:eastAsia="es-ES"/>
        </w:rPr>
        <w:t xml:space="preserve"> CÚMPLASE</w:t>
      </w:r>
      <w:r w:rsidR="005C3D13" w:rsidRPr="005C3D13">
        <w:rPr>
          <w:rFonts w:ascii="Arial" w:eastAsia="Times New Roman" w:hAnsi="Arial" w:cs="Arial"/>
          <w:bCs/>
          <w:i/>
          <w:iCs/>
          <w:sz w:val="24"/>
          <w:szCs w:val="24"/>
          <w:lang w:eastAsia="es-ES"/>
        </w:rPr>
        <w:t>.</w:t>
      </w:r>
      <w:r w:rsidR="00952ED2">
        <w:rPr>
          <w:rFonts w:ascii="Arial" w:eastAsia="Times New Roman" w:hAnsi="Arial" w:cs="Arial"/>
          <w:bCs/>
          <w:i/>
          <w:iCs/>
          <w:sz w:val="24"/>
          <w:szCs w:val="24"/>
          <w:lang w:eastAsia="es-ES"/>
        </w:rPr>
        <w:t>- - - - - -</w:t>
      </w:r>
      <w:r w:rsidRPr="00C06661">
        <w:rPr>
          <w:rFonts w:ascii="Arial" w:eastAsia="Times New Roman" w:hAnsi="Arial" w:cs="Arial"/>
          <w:bCs/>
          <w:i/>
          <w:iCs/>
          <w:sz w:val="24"/>
          <w:szCs w:val="24"/>
          <w:lang w:eastAsia="es-ES"/>
        </w:rPr>
        <w:t>”</w:t>
      </w:r>
    </w:p>
    <w:p w:rsidR="00B525A6" w:rsidRPr="00CB6405" w:rsidRDefault="00B525A6" w:rsidP="00B525A6">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E96B8B" w:rsidRPr="00CB6405" w:rsidRDefault="00E96B8B" w:rsidP="00E96B8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453781">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453781">
        <w:rPr>
          <w:rFonts w:ascii="Arial" w:hAnsi="Arial" w:cs="Arial"/>
          <w:bCs/>
          <w:iCs/>
          <w:sz w:val="26"/>
          <w:szCs w:val="26"/>
          <w:lang w:eastAsia="es-ES"/>
        </w:rPr>
        <w:t xml:space="preserve"> 125</w:t>
      </w:r>
      <w:r w:rsidR="00453781">
        <w:rPr>
          <w:rFonts w:ascii="Arial" w:hAnsi="Arial" w:cs="Arial"/>
          <w:bCs/>
          <w:iCs/>
          <w:sz w:val="26"/>
          <w:szCs w:val="26"/>
        </w:rPr>
        <w:t>, 127, 129, 130, fracción I, 131, 231, 236 y 238 de la Ley de Procedimiento y Justicia Administrativa para el Estado de Oaxaca</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w:t>
      </w:r>
      <w:r w:rsidR="005C3D13">
        <w:rPr>
          <w:rFonts w:ascii="Arial" w:hAnsi="Arial" w:cs="Arial"/>
          <w:bCs/>
          <w:iCs/>
          <w:sz w:val="26"/>
          <w:szCs w:val="26"/>
        </w:rPr>
        <w:t>veinti</w:t>
      </w:r>
      <w:r>
        <w:rPr>
          <w:rFonts w:ascii="Arial" w:hAnsi="Arial" w:cs="Arial"/>
          <w:bCs/>
          <w:iCs/>
          <w:sz w:val="26"/>
          <w:szCs w:val="26"/>
        </w:rPr>
        <w:t xml:space="preserve">nueve de </w:t>
      </w:r>
      <w:r w:rsidR="00561910">
        <w:rPr>
          <w:rFonts w:ascii="Arial" w:hAnsi="Arial" w:cs="Arial"/>
          <w:bCs/>
          <w:iCs/>
          <w:sz w:val="26"/>
          <w:szCs w:val="26"/>
        </w:rPr>
        <w:t>jun</w:t>
      </w:r>
      <w:r w:rsidR="005C3D13">
        <w:rPr>
          <w:rFonts w:ascii="Arial" w:hAnsi="Arial" w:cs="Arial"/>
          <w:bCs/>
          <w:iCs/>
          <w:sz w:val="26"/>
          <w:szCs w:val="26"/>
        </w:rPr>
        <w:t xml:space="preserve">io </w:t>
      </w:r>
      <w:r>
        <w:rPr>
          <w:rFonts w:ascii="Arial" w:hAnsi="Arial" w:cs="Arial"/>
          <w:bCs/>
          <w:iCs/>
          <w:sz w:val="26"/>
          <w:szCs w:val="26"/>
        </w:rPr>
        <w:t xml:space="preserve">de dos mil dieciocho, dictado </w:t>
      </w:r>
      <w:r w:rsidRPr="00CB6405">
        <w:rPr>
          <w:rFonts w:ascii="Arial" w:hAnsi="Arial" w:cs="Arial"/>
          <w:bCs/>
          <w:iCs/>
          <w:sz w:val="26"/>
          <w:szCs w:val="26"/>
        </w:rPr>
        <w:t xml:space="preserve">por la </w:t>
      </w:r>
      <w:r w:rsidR="00561910">
        <w:rPr>
          <w:rFonts w:ascii="Arial" w:hAnsi="Arial" w:cs="Arial"/>
          <w:bCs/>
          <w:iCs/>
          <w:sz w:val="26"/>
          <w:szCs w:val="26"/>
        </w:rPr>
        <w:t>Quinta</w:t>
      </w:r>
      <w:r>
        <w:rPr>
          <w:rFonts w:ascii="Arial" w:hAnsi="Arial" w:cs="Arial"/>
          <w:bCs/>
          <w:iCs/>
          <w:sz w:val="26"/>
          <w:szCs w:val="26"/>
        </w:rPr>
        <w:t xml:space="preserve"> Sala </w:t>
      </w:r>
      <w:r w:rsidRPr="00CB6405">
        <w:rPr>
          <w:rFonts w:ascii="Arial" w:hAnsi="Arial" w:cs="Arial"/>
          <w:bCs/>
          <w:iCs/>
          <w:sz w:val="26"/>
          <w:szCs w:val="26"/>
        </w:rPr>
        <w:t xml:space="preserve">Unitaria de Primera Instancia de este Tribunal, en el expediente </w:t>
      </w:r>
      <w:r w:rsidR="00561910">
        <w:rPr>
          <w:rFonts w:ascii="Arial" w:hAnsi="Arial" w:cs="Arial"/>
          <w:b/>
          <w:bCs/>
          <w:iCs/>
          <w:sz w:val="26"/>
          <w:szCs w:val="26"/>
        </w:rPr>
        <w:t>0031</w:t>
      </w:r>
      <w:r>
        <w:rPr>
          <w:rFonts w:ascii="Arial" w:hAnsi="Arial" w:cs="Arial"/>
          <w:b/>
          <w:bCs/>
          <w:iCs/>
          <w:sz w:val="26"/>
          <w:szCs w:val="26"/>
        </w:rPr>
        <w:t>/2018</w:t>
      </w:r>
      <w:r w:rsidRPr="00CB6405">
        <w:rPr>
          <w:rFonts w:ascii="Arial" w:hAnsi="Arial" w:cs="Arial"/>
          <w:sz w:val="26"/>
          <w:szCs w:val="26"/>
        </w:rPr>
        <w:t>.</w:t>
      </w:r>
    </w:p>
    <w:p w:rsidR="00B525A6" w:rsidRPr="00CB6405" w:rsidRDefault="00B525A6" w:rsidP="00B525A6">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B525A6" w:rsidRDefault="00B525A6" w:rsidP="00B525A6">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inatendibles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B525A6" w:rsidRDefault="00B525A6" w:rsidP="00B525A6">
      <w:pPr>
        <w:spacing w:line="360" w:lineRule="auto"/>
        <w:ind w:firstLine="709"/>
        <w:jc w:val="both"/>
        <w:rPr>
          <w:rFonts w:ascii="Arial" w:eastAsia="Calibri" w:hAnsi="Arial" w:cs="Arial"/>
          <w:bCs/>
          <w:sz w:val="26"/>
          <w:szCs w:val="26"/>
        </w:rPr>
      </w:pPr>
      <w:r>
        <w:rPr>
          <w:rFonts w:ascii="Arial" w:eastAsia="Calibri" w:hAnsi="Arial" w:cs="Arial"/>
          <w:bCs/>
          <w:sz w:val="26"/>
          <w:szCs w:val="26"/>
        </w:rPr>
        <w:t>Expone l</w:t>
      </w:r>
      <w:r w:rsidR="00547036">
        <w:rPr>
          <w:rFonts w:ascii="Arial" w:eastAsia="Calibri" w:hAnsi="Arial" w:cs="Arial"/>
          <w:bCs/>
          <w:sz w:val="26"/>
          <w:szCs w:val="26"/>
        </w:rPr>
        <w:t>a</w:t>
      </w:r>
      <w:r>
        <w:rPr>
          <w:rFonts w:ascii="Arial" w:eastAsia="Calibri" w:hAnsi="Arial" w:cs="Arial"/>
          <w:bCs/>
          <w:sz w:val="26"/>
          <w:szCs w:val="26"/>
        </w:rPr>
        <w:t xml:space="preserve"> revisionista que la sentencia alzada viola lo dispuesto por los artículos 14 y 16 de la Constitución Política de los Estados Unidos Mexicanos; así como el diverso 7, fracción V, de la Ley de Justicia Administrativa para el Estado de Oaxaca, al no encontrarse emitida en forma congruente con el acto impugnado, porque quedó </w:t>
      </w:r>
      <w:r>
        <w:rPr>
          <w:rFonts w:ascii="Arial" w:eastAsia="Calibri" w:hAnsi="Arial" w:cs="Arial"/>
          <w:bCs/>
          <w:sz w:val="26"/>
          <w:szCs w:val="26"/>
        </w:rPr>
        <w:lastRenderedPageBreak/>
        <w:t>debidamente acreditada su correcta fundamentación y motivación y con ello la validez del mismo; es así, porque en el acta de infracción en el recuadro de fundame</w:t>
      </w:r>
      <w:r w:rsidR="00A76546">
        <w:rPr>
          <w:rFonts w:ascii="Arial" w:eastAsia="Calibri" w:hAnsi="Arial" w:cs="Arial"/>
          <w:bCs/>
          <w:sz w:val="26"/>
          <w:szCs w:val="26"/>
        </w:rPr>
        <w:t xml:space="preserve">ntación y motivación se asentó </w:t>
      </w:r>
      <w:r>
        <w:rPr>
          <w:rFonts w:ascii="Arial" w:eastAsia="Calibri" w:hAnsi="Arial" w:cs="Arial"/>
          <w:bCs/>
          <w:sz w:val="26"/>
          <w:szCs w:val="26"/>
        </w:rPr>
        <w:t>l</w:t>
      </w:r>
      <w:r w:rsidR="00A76546">
        <w:rPr>
          <w:rFonts w:ascii="Arial" w:eastAsia="Calibri" w:hAnsi="Arial" w:cs="Arial"/>
          <w:bCs/>
          <w:sz w:val="26"/>
          <w:szCs w:val="26"/>
        </w:rPr>
        <w:t>os</w:t>
      </w:r>
      <w:r>
        <w:rPr>
          <w:rFonts w:ascii="Arial" w:eastAsia="Calibri" w:hAnsi="Arial" w:cs="Arial"/>
          <w:bCs/>
          <w:sz w:val="26"/>
          <w:szCs w:val="26"/>
        </w:rPr>
        <w:t xml:space="preserve"> artículo</w:t>
      </w:r>
      <w:r w:rsidR="00A76546">
        <w:rPr>
          <w:rFonts w:ascii="Arial" w:eastAsia="Calibri" w:hAnsi="Arial" w:cs="Arial"/>
          <w:bCs/>
          <w:sz w:val="26"/>
          <w:szCs w:val="26"/>
        </w:rPr>
        <w:t>s</w:t>
      </w:r>
      <w:r>
        <w:rPr>
          <w:rFonts w:ascii="Arial" w:eastAsia="Calibri" w:hAnsi="Arial" w:cs="Arial"/>
          <w:bCs/>
          <w:sz w:val="26"/>
          <w:szCs w:val="26"/>
        </w:rPr>
        <w:t xml:space="preserve"> </w:t>
      </w:r>
      <w:r w:rsidR="00561910">
        <w:rPr>
          <w:rFonts w:ascii="Arial" w:eastAsia="Calibri" w:hAnsi="Arial" w:cs="Arial"/>
          <w:bCs/>
          <w:sz w:val="26"/>
          <w:szCs w:val="26"/>
        </w:rPr>
        <w:t>137 y 60 fracción XV</w:t>
      </w:r>
      <w:r w:rsidR="005C3D13">
        <w:rPr>
          <w:rFonts w:ascii="Arial" w:eastAsia="Calibri" w:hAnsi="Arial" w:cs="Arial"/>
          <w:bCs/>
          <w:sz w:val="26"/>
          <w:szCs w:val="26"/>
        </w:rPr>
        <w:t xml:space="preserve"> </w:t>
      </w:r>
      <w:r>
        <w:rPr>
          <w:rFonts w:ascii="Arial" w:eastAsia="Calibri" w:hAnsi="Arial" w:cs="Arial"/>
          <w:bCs/>
          <w:sz w:val="26"/>
          <w:szCs w:val="26"/>
        </w:rPr>
        <w:t xml:space="preserve">del </w:t>
      </w:r>
      <w:r w:rsidR="005C3D13">
        <w:rPr>
          <w:rFonts w:ascii="Arial" w:eastAsia="Calibri" w:hAnsi="Arial" w:cs="Arial"/>
          <w:bCs/>
          <w:sz w:val="26"/>
          <w:szCs w:val="26"/>
        </w:rPr>
        <w:t>R</w:t>
      </w:r>
      <w:r>
        <w:rPr>
          <w:rFonts w:ascii="Arial" w:eastAsia="Calibri" w:hAnsi="Arial" w:cs="Arial"/>
          <w:bCs/>
          <w:sz w:val="26"/>
          <w:szCs w:val="26"/>
        </w:rPr>
        <w:t>eglamento de Vialidad del Municipio de Oaxaca de Juárez</w:t>
      </w:r>
      <w:r w:rsidR="00A76546">
        <w:rPr>
          <w:rFonts w:ascii="Arial" w:eastAsia="Calibri" w:hAnsi="Arial" w:cs="Arial"/>
          <w:bCs/>
          <w:sz w:val="26"/>
          <w:szCs w:val="26"/>
        </w:rPr>
        <w:t>;</w:t>
      </w:r>
      <w:r>
        <w:rPr>
          <w:rFonts w:ascii="Arial" w:eastAsia="Calibri" w:hAnsi="Arial" w:cs="Arial"/>
          <w:bCs/>
          <w:sz w:val="26"/>
          <w:szCs w:val="26"/>
        </w:rPr>
        <w:t xml:space="preserve"> además de que el policía que levantó el acta, estampó su número de placa, nombre y firma; y, con lo que respecta a la motivación se señaló en el recuadro correspondiente a </w:t>
      </w:r>
      <w:r w:rsidR="005C3D13">
        <w:rPr>
          <w:rFonts w:ascii="Arial" w:eastAsia="Calibri" w:hAnsi="Arial" w:cs="Arial"/>
          <w:bCs/>
          <w:sz w:val="26"/>
          <w:szCs w:val="26"/>
        </w:rPr>
        <w:t xml:space="preserve">faltas administrativas </w:t>
      </w:r>
      <w:r>
        <w:rPr>
          <w:rFonts w:ascii="Arial" w:eastAsia="Calibri" w:hAnsi="Arial" w:cs="Arial"/>
          <w:bCs/>
          <w:sz w:val="26"/>
          <w:szCs w:val="26"/>
        </w:rPr>
        <w:t>“</w:t>
      </w:r>
      <w:r w:rsidR="00561910">
        <w:rPr>
          <w:rFonts w:ascii="Arial" w:eastAsia="Calibri" w:hAnsi="Arial" w:cs="Arial"/>
          <w:bCs/>
          <w:i/>
        </w:rPr>
        <w:t>POR PASARSE LA LUZ ROJA O ÁMBAR DEL SEMÁFRO</w:t>
      </w:r>
      <w:r>
        <w:rPr>
          <w:rFonts w:ascii="Arial" w:eastAsia="Calibri" w:hAnsi="Arial" w:cs="Arial"/>
          <w:bCs/>
          <w:sz w:val="26"/>
          <w:szCs w:val="26"/>
        </w:rPr>
        <w:t>”. Se apoya en los criterios de rubros: “</w:t>
      </w:r>
      <w:r w:rsidRPr="00407B2F">
        <w:rPr>
          <w:rFonts w:ascii="Arial" w:eastAsia="Calibri" w:hAnsi="Arial" w:cs="Arial"/>
          <w:bCs/>
          <w:i/>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r>
        <w:rPr>
          <w:rFonts w:ascii="Arial" w:eastAsia="Calibri" w:hAnsi="Arial" w:cs="Arial"/>
          <w:bCs/>
          <w:sz w:val="26"/>
          <w:szCs w:val="26"/>
        </w:rPr>
        <w:t>” y “</w:t>
      </w:r>
      <w:r>
        <w:rPr>
          <w:rFonts w:ascii="Arial" w:eastAsia="Calibri" w:hAnsi="Arial" w:cs="Arial"/>
          <w:bCs/>
          <w:i/>
        </w:rPr>
        <w:t>FUNDAMENTACIÓN Y MOTIVACIÓN. EL ASPECTO FORMAL DE LA GARANTÍA Y SU FINALIDAD SE TRADUCEN EN EXPLICAR, JUSTIFICAR, POSIBILITAR LA DEFENSA Y COMUNICAR LA DECISIÓN</w:t>
      </w:r>
      <w:r w:rsidRPr="00407B2F">
        <w:rPr>
          <w:rFonts w:ascii="Arial" w:eastAsia="Calibri" w:hAnsi="Arial" w:cs="Arial"/>
          <w:bCs/>
          <w:i/>
        </w:rPr>
        <w:t>.</w:t>
      </w:r>
      <w:r>
        <w:rPr>
          <w:rFonts w:ascii="Arial" w:eastAsia="Calibri" w:hAnsi="Arial" w:cs="Arial"/>
          <w:bCs/>
          <w:sz w:val="26"/>
          <w:szCs w:val="26"/>
        </w:rPr>
        <w:t>”</w:t>
      </w:r>
    </w:p>
    <w:p w:rsidR="00B525A6" w:rsidRDefault="00B525A6" w:rsidP="00B525A6">
      <w:pPr>
        <w:spacing w:line="360" w:lineRule="auto"/>
        <w:ind w:firstLine="709"/>
        <w:jc w:val="both"/>
        <w:rPr>
          <w:rFonts w:ascii="Arial" w:eastAsia="Calibri" w:hAnsi="Arial" w:cs="Arial"/>
          <w:bCs/>
          <w:sz w:val="26"/>
          <w:szCs w:val="26"/>
        </w:rPr>
      </w:pPr>
      <w:r>
        <w:rPr>
          <w:rFonts w:ascii="Arial" w:eastAsia="Calibri" w:hAnsi="Arial" w:cs="Arial"/>
          <w:bCs/>
          <w:sz w:val="26"/>
          <w:szCs w:val="26"/>
        </w:rPr>
        <w:t>También arguye en esencia el recurrente, que la ausencia de fundamentación, trae como consecuencia la nulidad para efectos y no lisa y llana, porque la fundamentación que se llevó a cabo es la correcta, sin que se dejará al administrado en estado de indefensión, por lo que de considerarse la falta de fundamentación y motivación lo que debió declararse fue la nulidad para efectos y que al no haberse hecho así, se viola lo dispuesto por los artículos 16, de la Constitución Política de los Estados Unidos Mexicanos y 178, fracción II, de la Ley de Justicia Administrativa para el Estado de Oaxaca. Cita como apoyo los criterios de rubros: “</w:t>
      </w:r>
      <w:r w:rsidRPr="004870D8">
        <w:rPr>
          <w:rFonts w:ascii="Arial" w:eastAsia="Calibri" w:hAnsi="Arial" w:cs="Arial"/>
          <w:bCs/>
          <w:i/>
        </w:rPr>
        <w:t>NULIDAD. REGLAS PARA SU DETERMINACIÓN EN EL JUICIO CONTENCIOSO ADMINISTRATIVO EN EL DISTRITO FEDERAL.</w:t>
      </w:r>
      <w:r>
        <w:rPr>
          <w:rFonts w:ascii="Arial" w:eastAsia="Calibri" w:hAnsi="Arial" w:cs="Arial"/>
          <w:bCs/>
          <w:sz w:val="26"/>
          <w:szCs w:val="26"/>
        </w:rPr>
        <w:t>” y “</w:t>
      </w:r>
      <w:r w:rsidRPr="001C0740">
        <w:rPr>
          <w:rFonts w:ascii="Arial" w:eastAsia="Calibri" w:hAnsi="Arial" w:cs="Arial"/>
          <w:bCs/>
          <w:i/>
        </w:rPr>
        <w:t>FUNDAMENTACIÓN Y MOTIVACIÓN, FALTA O INDEBIDA. EN CUANTO SON DISTINTAS, UNAS GENERAN NULIDAD LISA Y LL</w:t>
      </w:r>
      <w:r>
        <w:rPr>
          <w:rFonts w:ascii="Arial" w:eastAsia="Calibri" w:hAnsi="Arial" w:cs="Arial"/>
          <w:bCs/>
          <w:i/>
        </w:rPr>
        <w:t>A</w:t>
      </w:r>
      <w:r w:rsidRPr="001C0740">
        <w:rPr>
          <w:rFonts w:ascii="Arial" w:eastAsia="Calibri" w:hAnsi="Arial" w:cs="Arial"/>
          <w:bCs/>
          <w:i/>
        </w:rPr>
        <w:t>NA Y OT</w:t>
      </w:r>
      <w:r>
        <w:rPr>
          <w:rFonts w:ascii="Arial" w:eastAsia="Calibri" w:hAnsi="Arial" w:cs="Arial"/>
          <w:bCs/>
          <w:i/>
        </w:rPr>
        <w:t>R</w:t>
      </w:r>
      <w:r w:rsidRPr="001C0740">
        <w:rPr>
          <w:rFonts w:ascii="Arial" w:eastAsia="Calibri" w:hAnsi="Arial" w:cs="Arial"/>
          <w:bCs/>
          <w:i/>
        </w:rPr>
        <w:t>AS PARA EFECTOS.</w:t>
      </w:r>
      <w:r>
        <w:rPr>
          <w:rFonts w:ascii="Arial" w:eastAsia="Calibri" w:hAnsi="Arial" w:cs="Arial"/>
          <w:bCs/>
          <w:sz w:val="26"/>
          <w:szCs w:val="26"/>
        </w:rPr>
        <w:t>”</w:t>
      </w:r>
    </w:p>
    <w:p w:rsidR="00B525A6" w:rsidRDefault="00B525A6" w:rsidP="005C3D13">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Estos argumentos son </w:t>
      </w:r>
      <w:r w:rsidRPr="00191FF5">
        <w:rPr>
          <w:rFonts w:ascii="Arial" w:eastAsia="Calibri" w:hAnsi="Arial" w:cs="Arial"/>
          <w:b/>
          <w:bCs/>
          <w:sz w:val="26"/>
          <w:szCs w:val="26"/>
        </w:rPr>
        <w:t>in</w:t>
      </w:r>
      <w:r>
        <w:rPr>
          <w:rFonts w:ascii="Arial" w:eastAsia="Calibri" w:hAnsi="Arial" w:cs="Arial"/>
          <w:b/>
          <w:bCs/>
          <w:sz w:val="26"/>
          <w:szCs w:val="26"/>
        </w:rPr>
        <w:t>atendibles</w:t>
      </w:r>
      <w:r w:rsidRPr="002B6BD6">
        <w:rPr>
          <w:rFonts w:ascii="Arial" w:eastAsia="Calibri" w:hAnsi="Arial" w:cs="Arial"/>
          <w:bCs/>
          <w:sz w:val="26"/>
          <w:szCs w:val="26"/>
        </w:rPr>
        <w:t>,</w:t>
      </w:r>
      <w:r>
        <w:rPr>
          <w:rFonts w:ascii="Arial" w:eastAsia="Calibri" w:hAnsi="Arial" w:cs="Arial"/>
          <w:bCs/>
          <w:sz w:val="26"/>
          <w:szCs w:val="26"/>
        </w:rPr>
        <w:t xml:space="preserve"> porque de acuerdo a lo dispuesto por el artículo 2</w:t>
      </w:r>
      <w:r w:rsidR="005C3D13">
        <w:rPr>
          <w:rFonts w:ascii="Arial" w:eastAsia="Calibri" w:hAnsi="Arial" w:cs="Arial"/>
          <w:bCs/>
          <w:sz w:val="26"/>
          <w:szCs w:val="26"/>
        </w:rPr>
        <w:t>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 xml:space="preserve">de la Ley de </w:t>
      </w:r>
      <w:r w:rsidR="005C3D13">
        <w:rPr>
          <w:rFonts w:ascii="Arial" w:eastAsia="Calibri" w:hAnsi="Arial" w:cs="Arial"/>
          <w:bCs/>
          <w:sz w:val="26"/>
          <w:szCs w:val="26"/>
        </w:rPr>
        <w:t xml:space="preserve">Procedimiento y </w:t>
      </w:r>
      <w:r>
        <w:rPr>
          <w:rFonts w:ascii="Arial" w:eastAsia="Calibri" w:hAnsi="Arial" w:cs="Arial"/>
          <w:bCs/>
          <w:sz w:val="26"/>
          <w:szCs w:val="26"/>
        </w:rPr>
        <w:t xml:space="preserve">Justicia Administrativa para el Estado de Oaxaca, los acuerdos y resoluciones de la </w:t>
      </w:r>
      <w:r w:rsidR="00EC2980">
        <w:rPr>
          <w:rFonts w:ascii="Arial" w:eastAsia="Calibri" w:hAnsi="Arial" w:cs="Arial"/>
          <w:bCs/>
          <w:sz w:val="26"/>
          <w:szCs w:val="26"/>
        </w:rPr>
        <w:t>P</w:t>
      </w:r>
      <w:r>
        <w:rPr>
          <w:rFonts w:ascii="Arial" w:eastAsia="Calibri" w:hAnsi="Arial" w:cs="Arial"/>
          <w:bCs/>
          <w:sz w:val="26"/>
          <w:szCs w:val="26"/>
        </w:rPr>
        <w:t xml:space="preserve">rimera </w:t>
      </w:r>
      <w:r w:rsidR="00EC2980">
        <w:rPr>
          <w:rFonts w:ascii="Arial" w:eastAsia="Calibri" w:hAnsi="Arial" w:cs="Arial"/>
          <w:bCs/>
          <w:sz w:val="26"/>
          <w:szCs w:val="26"/>
        </w:rPr>
        <w:t>I</w:t>
      </w:r>
      <w:r>
        <w:rPr>
          <w:rFonts w:ascii="Arial" w:eastAsia="Calibri" w:hAnsi="Arial" w:cs="Arial"/>
          <w:bCs/>
          <w:sz w:val="26"/>
          <w:szCs w:val="26"/>
        </w:rPr>
        <w:t>nstancia, podrán ser impugnadas por las partes; y, de conformidad con lo estatuido por el artículo 1</w:t>
      </w:r>
      <w:r w:rsidR="00CD2E70">
        <w:rPr>
          <w:rFonts w:ascii="Arial" w:eastAsia="Calibri" w:hAnsi="Arial" w:cs="Arial"/>
          <w:bCs/>
          <w:sz w:val="26"/>
          <w:szCs w:val="26"/>
        </w:rPr>
        <w:t>6</w:t>
      </w:r>
      <w:r>
        <w:rPr>
          <w:rFonts w:ascii="Arial" w:eastAsia="Calibri" w:hAnsi="Arial" w:cs="Arial"/>
          <w:bCs/>
          <w:sz w:val="26"/>
          <w:szCs w:val="26"/>
        </w:rPr>
        <w:t>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 xml:space="preserve">de la Ley de la </w:t>
      </w:r>
      <w:r>
        <w:rPr>
          <w:rFonts w:ascii="Arial" w:eastAsia="Calibri" w:hAnsi="Arial" w:cs="Arial"/>
          <w:bCs/>
          <w:sz w:val="26"/>
          <w:szCs w:val="26"/>
        </w:rPr>
        <w:lastRenderedPageBreak/>
        <w:t xml:space="preserve">materia, son partes en el juicio contencioso; el actor, la demandada y el tercero afectado; entonces, de acuerdo a las constancias que integran el expediente de primera instancia, a las que se les otorga pleno valor probatorio, </w:t>
      </w:r>
      <w:r w:rsidR="00CD2E70">
        <w:rPr>
          <w:rFonts w:ascii="Arial" w:eastAsia="Calibri" w:hAnsi="Arial" w:cs="Arial"/>
          <w:bCs/>
          <w:sz w:val="26"/>
          <w:szCs w:val="26"/>
        </w:rPr>
        <w:t xml:space="preserve">conforme lo dispuesto </w:t>
      </w:r>
      <w:r w:rsidR="00CD2E70" w:rsidRPr="009802AF">
        <w:rPr>
          <w:rFonts w:ascii="Arial" w:hAnsi="Arial" w:cs="Arial"/>
          <w:sz w:val="26"/>
          <w:szCs w:val="26"/>
        </w:rPr>
        <w:t>por el artículo 203 fracción I</w:t>
      </w:r>
      <w:r w:rsidR="00CD2E70" w:rsidRPr="009802AF">
        <w:rPr>
          <w:rStyle w:val="Refdenotaalpie"/>
          <w:rFonts w:ascii="Arial" w:hAnsi="Arial" w:cs="Arial"/>
          <w:color w:val="000000"/>
          <w:sz w:val="26"/>
          <w:szCs w:val="26"/>
        </w:rPr>
        <w:footnoteReference w:id="3"/>
      </w:r>
      <w:r w:rsidR="00CD2E70" w:rsidRPr="009802AF">
        <w:rPr>
          <w:rFonts w:ascii="Arial" w:hAnsi="Arial" w:cs="Arial"/>
          <w:sz w:val="26"/>
          <w:szCs w:val="26"/>
        </w:rPr>
        <w:t xml:space="preserve"> de la Ley de Procedimiento y Justicia Administrativa para el Estado de </w:t>
      </w:r>
      <w:r w:rsidR="00CD2E70">
        <w:rPr>
          <w:rFonts w:ascii="Arial" w:hAnsi="Arial" w:cs="Arial"/>
          <w:sz w:val="26"/>
          <w:szCs w:val="26"/>
        </w:rPr>
        <w:t xml:space="preserve">Oaxaca, </w:t>
      </w:r>
      <w:r>
        <w:rPr>
          <w:rFonts w:ascii="Arial" w:eastAsia="Calibri" w:hAnsi="Arial" w:cs="Arial"/>
          <w:bCs/>
          <w:sz w:val="26"/>
          <w:szCs w:val="26"/>
        </w:rPr>
        <w:t xml:space="preserve">se logra observar que la Recaudadora de Rentas del Municipio de Oaxaca Juárez, es autoridad demandada; sin embargo, el acto impugnado y del cual se declaró su nulidad lo constituye el acta de infracción folio </w:t>
      </w:r>
      <w:r w:rsidR="000843AB">
        <w:rPr>
          <w:rFonts w:ascii="Arial" w:eastAsia="Calibri" w:hAnsi="Arial" w:cs="Arial"/>
          <w:bCs/>
          <w:sz w:val="26"/>
          <w:szCs w:val="26"/>
        </w:rPr>
        <w:t>**********</w:t>
      </w:r>
      <w:r>
        <w:rPr>
          <w:rFonts w:ascii="Arial" w:eastAsia="Calibri" w:hAnsi="Arial" w:cs="Arial"/>
          <w:bCs/>
          <w:sz w:val="26"/>
          <w:szCs w:val="26"/>
        </w:rPr>
        <w:t xml:space="preserve"> de </w:t>
      </w:r>
      <w:r w:rsidR="00561910">
        <w:rPr>
          <w:rFonts w:ascii="Arial" w:eastAsia="Calibri" w:hAnsi="Arial" w:cs="Arial"/>
          <w:bCs/>
          <w:sz w:val="26"/>
          <w:szCs w:val="26"/>
        </w:rPr>
        <w:t xml:space="preserve">seis de marzo </w:t>
      </w:r>
      <w:r w:rsidR="00CD2E70">
        <w:rPr>
          <w:rFonts w:ascii="Arial" w:eastAsia="Calibri" w:hAnsi="Arial" w:cs="Arial"/>
          <w:bCs/>
          <w:sz w:val="26"/>
          <w:szCs w:val="26"/>
        </w:rPr>
        <w:t xml:space="preserve">de </w:t>
      </w:r>
      <w:r>
        <w:rPr>
          <w:rFonts w:ascii="Arial" w:eastAsia="Calibri" w:hAnsi="Arial" w:cs="Arial"/>
          <w:bCs/>
          <w:sz w:val="26"/>
          <w:szCs w:val="26"/>
        </w:rPr>
        <w:t>dos mil dieci</w:t>
      </w:r>
      <w:r w:rsidR="00CD2E70">
        <w:rPr>
          <w:rFonts w:ascii="Arial" w:eastAsia="Calibri" w:hAnsi="Arial" w:cs="Arial"/>
          <w:bCs/>
          <w:sz w:val="26"/>
          <w:szCs w:val="26"/>
        </w:rPr>
        <w:t>ocho</w:t>
      </w:r>
      <w:r>
        <w:rPr>
          <w:rFonts w:ascii="Arial" w:eastAsia="Calibri" w:hAnsi="Arial" w:cs="Arial"/>
          <w:bCs/>
          <w:sz w:val="26"/>
          <w:szCs w:val="26"/>
        </w:rPr>
        <w:t>.</w:t>
      </w:r>
    </w:p>
    <w:p w:rsidR="00B525A6" w:rsidRDefault="00B525A6" w:rsidP="00B525A6">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w:t>
      </w:r>
      <w:r w:rsidR="00561910">
        <w:rPr>
          <w:rFonts w:ascii="Arial" w:eastAsia="Calibri" w:hAnsi="Arial" w:cs="Arial"/>
          <w:bCs/>
          <w:sz w:val="26"/>
          <w:szCs w:val="26"/>
        </w:rPr>
        <w:t>133</w:t>
      </w:r>
      <w:r>
        <w:rPr>
          <w:rFonts w:ascii="Arial" w:eastAsia="Calibri" w:hAnsi="Arial" w:cs="Arial"/>
          <w:bCs/>
          <w:sz w:val="26"/>
          <w:szCs w:val="26"/>
        </w:rPr>
        <w:t xml:space="preserve"> </w:t>
      </w:r>
      <w:r w:rsidR="00EC2980">
        <w:rPr>
          <w:rFonts w:ascii="Arial" w:eastAsia="Calibri" w:hAnsi="Arial" w:cs="Arial"/>
          <w:bCs/>
          <w:sz w:val="26"/>
          <w:szCs w:val="26"/>
        </w:rPr>
        <w:t>de la Comis</w:t>
      </w:r>
      <w:r w:rsidR="00CD2E70">
        <w:rPr>
          <w:rFonts w:ascii="Arial" w:eastAsia="Calibri" w:hAnsi="Arial" w:cs="Arial"/>
          <w:bCs/>
          <w:sz w:val="26"/>
          <w:szCs w:val="26"/>
        </w:rPr>
        <w:t xml:space="preserve">aría de Vialidad del Municipio de </w:t>
      </w:r>
      <w:r w:rsidR="00EC2980">
        <w:rPr>
          <w:rFonts w:ascii="Arial" w:eastAsia="Calibri" w:hAnsi="Arial" w:cs="Arial"/>
          <w:bCs/>
          <w:sz w:val="26"/>
          <w:szCs w:val="26"/>
        </w:rPr>
        <w:t>Oaxaca de Juárez, Oaxaca</w:t>
      </w:r>
      <w:r>
        <w:rPr>
          <w:rFonts w:ascii="Arial" w:eastAsia="Calibri" w:hAnsi="Arial" w:cs="Arial"/>
          <w:bCs/>
          <w:sz w:val="26"/>
          <w:szCs w:val="26"/>
        </w:rPr>
        <w:t>; de donde, aun cuando la Recaudadora de Rentas, fue señalada por el actor como autoridad demandada; lo cierto es que, no cuenta con legitimación para impugnar la determinación de declarar nulo ese acto de autoridad diversa.</w:t>
      </w:r>
    </w:p>
    <w:p w:rsidR="00B525A6" w:rsidRDefault="00B525A6" w:rsidP="00B525A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B525A6" w:rsidRDefault="00B525A6" w:rsidP="00B525A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tal manera, que si como sucede en la especie, la nulidad decretada fue respecto del acta de infracción levantada por </w:t>
      </w:r>
      <w:r w:rsidR="00EC2980">
        <w:rPr>
          <w:rFonts w:ascii="Arial" w:eastAsia="Calibri" w:hAnsi="Arial" w:cs="Arial"/>
          <w:bCs/>
          <w:sz w:val="26"/>
          <w:szCs w:val="26"/>
        </w:rPr>
        <w:t xml:space="preserve">el </w:t>
      </w:r>
      <w:r w:rsidR="00CD2E70">
        <w:rPr>
          <w:rFonts w:ascii="Arial" w:eastAsia="Calibri" w:hAnsi="Arial" w:cs="Arial"/>
          <w:bCs/>
          <w:sz w:val="26"/>
          <w:szCs w:val="26"/>
        </w:rPr>
        <w:t>Policía Vial con número estadístico PV-</w:t>
      </w:r>
      <w:r w:rsidR="00991037">
        <w:rPr>
          <w:rFonts w:ascii="Arial" w:eastAsia="Calibri" w:hAnsi="Arial" w:cs="Arial"/>
          <w:bCs/>
          <w:sz w:val="26"/>
          <w:szCs w:val="26"/>
        </w:rPr>
        <w:t>133</w:t>
      </w:r>
      <w:r w:rsidR="00CD2E70">
        <w:rPr>
          <w:rFonts w:ascii="Arial" w:eastAsia="Calibri" w:hAnsi="Arial" w:cs="Arial"/>
          <w:bCs/>
          <w:sz w:val="26"/>
          <w:szCs w:val="26"/>
        </w:rPr>
        <w:t xml:space="preserve"> de la Comisaría de Vialidad del Municipio de Oaxaca de Juárez, Oaxaca</w:t>
      </w:r>
      <w:r>
        <w:rPr>
          <w:rFonts w:ascii="Arial" w:eastAsia="Calibri" w:hAnsi="Arial" w:cs="Arial"/>
          <w:bCs/>
          <w:sz w:val="26"/>
          <w:szCs w:val="26"/>
        </w:rPr>
        <w:t>, sólo a dicha autoridad corresponde la legitimación para impugnarla en lo atinente a tal declaración de nulidad y sus efectos.</w:t>
      </w:r>
    </w:p>
    <w:p w:rsidR="00B525A6" w:rsidRDefault="00B525A6" w:rsidP="00B525A6">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w:t>
      </w:r>
      <w:r>
        <w:rPr>
          <w:rFonts w:ascii="Arial" w:eastAsia="Times New Roman" w:hAnsi="Arial"/>
          <w:color w:val="000000"/>
          <w:sz w:val="26"/>
          <w:szCs w:val="26"/>
        </w:rPr>
        <w:lastRenderedPageBreak/>
        <w:t>página 1119, publicadas ambas en la Gaceta del Semanario Judicial de la Federación, cuyo rubro y texto es el siguiente:</w:t>
      </w:r>
    </w:p>
    <w:p w:rsidR="00B525A6" w:rsidRDefault="00B525A6" w:rsidP="00B525A6">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B525A6" w:rsidRPr="009632BE" w:rsidRDefault="00B525A6" w:rsidP="00B525A6">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 xml:space="preserve">VI.3o.C. J/67 que se encuentra publicada en el Semanario Judicial de la Federación y su </w:t>
      </w:r>
      <w:r w:rsidRPr="009632BE">
        <w:rPr>
          <w:rFonts w:ascii="Arial" w:hAnsi="Arial" w:cs="Arial"/>
          <w:sz w:val="26"/>
          <w:szCs w:val="26"/>
        </w:rPr>
        <w:lastRenderedPageBreak/>
        <w:t>Gaceta Tomo XXVIII, de Julio de 2008 y visible a página 1600 con el rubro y texto del tenor literal siguiente:</w:t>
      </w:r>
      <w:r>
        <w:rPr>
          <w:rFonts w:ascii="Arial" w:hAnsi="Arial" w:cs="Arial"/>
          <w:sz w:val="26"/>
          <w:szCs w:val="26"/>
        </w:rPr>
        <w:t xml:space="preserve"> </w:t>
      </w:r>
    </w:p>
    <w:p w:rsidR="00B525A6" w:rsidRPr="00807D70" w:rsidRDefault="00B525A6" w:rsidP="00B525A6">
      <w:pPr>
        <w:spacing w:after="0"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B525A6" w:rsidRPr="009632BE" w:rsidRDefault="00B525A6" w:rsidP="00B525A6">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B525A6" w:rsidRPr="00807D70" w:rsidRDefault="00B525A6" w:rsidP="00B525A6">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w:t>
      </w:r>
      <w:r w:rsidRPr="00807D70">
        <w:rPr>
          <w:rFonts w:ascii="Arial" w:hAnsi="Arial" w:cs="Arial"/>
          <w:i/>
          <w:sz w:val="24"/>
          <w:szCs w:val="24"/>
        </w:rPr>
        <w:lastRenderedPageBreak/>
        <w:t xml:space="preserve">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B525A6" w:rsidRDefault="00B525A6" w:rsidP="00B525A6">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lo </w:t>
      </w:r>
      <w:r>
        <w:rPr>
          <w:rFonts w:ascii="Arial" w:eastAsia="Calibri" w:hAnsi="Arial" w:cs="Arial"/>
          <w:b/>
          <w:bCs/>
          <w:sz w:val="26"/>
          <w:szCs w:val="26"/>
        </w:rPr>
        <w:t xml:space="preserve">inatendible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w:t>
      </w:r>
      <w:r w:rsidR="00872784">
        <w:rPr>
          <w:rFonts w:ascii="Arial" w:hAnsi="Arial" w:cs="Arial"/>
          <w:sz w:val="26"/>
          <w:szCs w:val="26"/>
        </w:rPr>
        <w:t xml:space="preserve">en los artículos 237 y 238 de la Ley de Procedimiento y Justicia Administrativa para el Estado de Oaxaca, </w:t>
      </w:r>
      <w:r>
        <w:rPr>
          <w:rFonts w:ascii="Arial" w:hAnsi="Arial" w:cs="Arial"/>
          <w:sz w:val="26"/>
          <w:szCs w:val="26"/>
        </w:rPr>
        <w:t xml:space="preserve"> se:</w:t>
      </w:r>
    </w:p>
    <w:p w:rsidR="00B525A6" w:rsidRDefault="00B525A6" w:rsidP="00B525A6">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B525A6" w:rsidRDefault="00B525A6" w:rsidP="00B525A6">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872784">
        <w:rPr>
          <w:rFonts w:ascii="Arial" w:hAnsi="Arial" w:cs="Arial"/>
          <w:sz w:val="26"/>
          <w:szCs w:val="26"/>
        </w:rPr>
        <w:t>Quint</w:t>
      </w:r>
      <w:r w:rsidR="00CD2E70">
        <w:rPr>
          <w:rFonts w:ascii="Arial" w:hAnsi="Arial" w:cs="Arial"/>
          <w:sz w:val="26"/>
          <w:szCs w:val="26"/>
        </w:rPr>
        <w:t>a</w:t>
      </w:r>
      <w:r w:rsidR="00EC2980">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453781" w:rsidRDefault="00453781" w:rsidP="0028420C">
      <w:pPr>
        <w:pStyle w:val="Sinespaciado"/>
        <w:spacing w:before="240" w:line="360" w:lineRule="auto"/>
        <w:ind w:firstLine="708"/>
        <w:jc w:val="both"/>
        <w:rPr>
          <w:rFonts w:ascii="Arial" w:hAnsi="Arial" w:cs="Arial"/>
          <w:sz w:val="26"/>
          <w:szCs w:val="26"/>
        </w:rPr>
      </w:pPr>
    </w:p>
    <w:p w:rsidR="00453781" w:rsidRPr="00D92955" w:rsidRDefault="00453781" w:rsidP="00453781">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53781" w:rsidRPr="00D92955" w:rsidRDefault="00453781" w:rsidP="00453781">
      <w:pPr>
        <w:tabs>
          <w:tab w:val="left" w:pos="1985"/>
        </w:tabs>
        <w:spacing w:after="0" w:line="360" w:lineRule="auto"/>
        <w:ind w:firstLine="708"/>
        <w:jc w:val="both"/>
        <w:rPr>
          <w:rFonts w:ascii="Arial" w:eastAsia="Times New Roman" w:hAnsi="Arial" w:cs="Arial"/>
          <w:sz w:val="26"/>
          <w:szCs w:val="26"/>
          <w:lang w:eastAsia="es-MX"/>
        </w:rPr>
      </w:pPr>
    </w:p>
    <w:p w:rsidR="00453781" w:rsidRPr="00D92955" w:rsidRDefault="00453781" w:rsidP="00453781">
      <w:pPr>
        <w:tabs>
          <w:tab w:val="left" w:pos="1985"/>
        </w:tabs>
        <w:spacing w:after="0" w:line="360" w:lineRule="auto"/>
        <w:ind w:firstLine="708"/>
        <w:jc w:val="both"/>
        <w:rPr>
          <w:rFonts w:ascii="Arial" w:eastAsia="Times New Roman" w:hAnsi="Arial" w:cs="Arial"/>
          <w:sz w:val="26"/>
          <w:szCs w:val="26"/>
          <w:lang w:eastAsia="es-MX"/>
        </w:rPr>
      </w:pPr>
    </w:p>
    <w:p w:rsidR="00453781" w:rsidRPr="00D92955" w:rsidRDefault="00453781" w:rsidP="00453781">
      <w:pPr>
        <w:tabs>
          <w:tab w:val="left" w:pos="1985"/>
        </w:tabs>
        <w:spacing w:after="0" w:line="360" w:lineRule="auto"/>
        <w:jc w:val="both"/>
        <w:rPr>
          <w:rFonts w:ascii="Arial" w:eastAsia="Times New Roman" w:hAnsi="Arial" w:cs="Arial"/>
          <w:sz w:val="26"/>
          <w:szCs w:val="26"/>
          <w:lang w:eastAsia="es-MX"/>
        </w:rPr>
      </w:pPr>
    </w:p>
    <w:p w:rsidR="00453781" w:rsidRPr="007433DD" w:rsidRDefault="00453781" w:rsidP="00453781">
      <w:pPr>
        <w:tabs>
          <w:tab w:val="left" w:pos="1985"/>
        </w:tabs>
        <w:spacing w:after="0" w:line="360" w:lineRule="auto"/>
        <w:ind w:firstLine="708"/>
        <w:jc w:val="both"/>
        <w:rPr>
          <w:rFonts w:ascii="Arial" w:hAnsi="Arial" w:cs="Arial"/>
          <w:bCs/>
          <w:sz w:val="26"/>
          <w:szCs w:val="26"/>
        </w:rPr>
      </w:pPr>
    </w:p>
    <w:p w:rsidR="00453781" w:rsidRPr="008E57C1" w:rsidRDefault="00453781" w:rsidP="00453781">
      <w:pPr>
        <w:spacing w:after="0"/>
        <w:jc w:val="center"/>
        <w:rPr>
          <w:rFonts w:ascii="Arial" w:hAnsi="Arial" w:cs="Arial"/>
          <w:sz w:val="26"/>
          <w:szCs w:val="26"/>
        </w:rPr>
      </w:pPr>
      <w:r w:rsidRPr="008E57C1">
        <w:rPr>
          <w:rFonts w:ascii="Arial" w:hAnsi="Arial" w:cs="Arial"/>
          <w:sz w:val="26"/>
          <w:szCs w:val="26"/>
        </w:rPr>
        <w:t>MAGISTRADO ADRIÁN QUIROGA AVENDAÑO.</w:t>
      </w:r>
    </w:p>
    <w:p w:rsidR="00453781" w:rsidRDefault="00453781" w:rsidP="00453781">
      <w:pPr>
        <w:spacing w:after="0"/>
        <w:jc w:val="center"/>
        <w:rPr>
          <w:rFonts w:ascii="Arial" w:hAnsi="Arial" w:cs="Arial"/>
          <w:sz w:val="26"/>
          <w:szCs w:val="26"/>
        </w:rPr>
      </w:pPr>
      <w:r w:rsidRPr="008E57C1">
        <w:rPr>
          <w:rFonts w:ascii="Arial" w:hAnsi="Arial" w:cs="Arial"/>
          <w:sz w:val="26"/>
          <w:szCs w:val="26"/>
        </w:rPr>
        <w:t>PRE</w:t>
      </w:r>
      <w:bookmarkStart w:id="0" w:name="_GoBack"/>
      <w:bookmarkEnd w:id="0"/>
      <w:r w:rsidRPr="008E57C1">
        <w:rPr>
          <w:rFonts w:ascii="Arial" w:hAnsi="Arial" w:cs="Arial"/>
          <w:sz w:val="26"/>
          <w:szCs w:val="26"/>
        </w:rPr>
        <w:t>SIDENTE</w:t>
      </w:r>
    </w:p>
    <w:p w:rsidR="00453781" w:rsidRDefault="00453781" w:rsidP="00453781">
      <w:pPr>
        <w:spacing w:line="360" w:lineRule="auto"/>
        <w:jc w:val="center"/>
        <w:rPr>
          <w:rFonts w:ascii="Arial" w:hAnsi="Arial" w:cs="Arial"/>
          <w:b/>
          <w:sz w:val="14"/>
          <w:szCs w:val="26"/>
        </w:rPr>
      </w:pPr>
    </w:p>
    <w:p w:rsidR="00453781" w:rsidRDefault="00453781" w:rsidP="00453781">
      <w:pPr>
        <w:spacing w:line="360" w:lineRule="auto"/>
        <w:rPr>
          <w:rFonts w:ascii="Arial" w:hAnsi="Arial" w:cs="Arial"/>
          <w:sz w:val="26"/>
          <w:szCs w:val="26"/>
        </w:rPr>
      </w:pPr>
    </w:p>
    <w:p w:rsidR="00453781" w:rsidRDefault="00453781" w:rsidP="00453781">
      <w:pPr>
        <w:spacing w:line="360" w:lineRule="auto"/>
        <w:jc w:val="center"/>
        <w:rPr>
          <w:rFonts w:ascii="Arial" w:hAnsi="Arial" w:cs="Arial"/>
          <w:sz w:val="26"/>
          <w:szCs w:val="26"/>
        </w:rPr>
      </w:pPr>
    </w:p>
    <w:p w:rsidR="00453781" w:rsidRDefault="00453781" w:rsidP="00453781">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453781" w:rsidRDefault="00453781" w:rsidP="00453781">
      <w:pPr>
        <w:spacing w:line="360" w:lineRule="auto"/>
        <w:jc w:val="center"/>
        <w:rPr>
          <w:rFonts w:ascii="Arial" w:hAnsi="Arial" w:cs="Arial"/>
          <w:sz w:val="26"/>
          <w:szCs w:val="26"/>
        </w:rPr>
      </w:pPr>
    </w:p>
    <w:p w:rsidR="00453781" w:rsidRDefault="00453781" w:rsidP="00453781">
      <w:pPr>
        <w:spacing w:line="360" w:lineRule="auto"/>
        <w:jc w:val="center"/>
        <w:rPr>
          <w:rFonts w:ascii="Arial" w:hAnsi="Arial" w:cs="Arial"/>
          <w:sz w:val="26"/>
          <w:szCs w:val="26"/>
        </w:rPr>
      </w:pPr>
    </w:p>
    <w:p w:rsidR="00453781" w:rsidRDefault="00453781" w:rsidP="00453781">
      <w:pPr>
        <w:spacing w:line="360" w:lineRule="auto"/>
        <w:jc w:val="center"/>
        <w:rPr>
          <w:rFonts w:ascii="Arial" w:hAnsi="Arial" w:cs="Arial"/>
          <w:b/>
          <w:sz w:val="14"/>
          <w:szCs w:val="26"/>
        </w:rPr>
      </w:pPr>
    </w:p>
    <w:p w:rsidR="00453781" w:rsidRPr="00845816" w:rsidRDefault="00453781" w:rsidP="00453781">
      <w:pPr>
        <w:spacing w:line="360" w:lineRule="auto"/>
        <w:jc w:val="center"/>
        <w:rPr>
          <w:rFonts w:ascii="Arial" w:hAnsi="Arial" w:cs="Arial"/>
          <w:b/>
          <w:sz w:val="14"/>
          <w:szCs w:val="26"/>
        </w:rPr>
      </w:pPr>
      <w:r w:rsidRPr="00845816">
        <w:rPr>
          <w:rFonts w:ascii="Arial" w:hAnsi="Arial" w:cs="Arial"/>
          <w:b/>
          <w:sz w:val="14"/>
          <w:szCs w:val="26"/>
        </w:rPr>
        <w:t>LAS PRESENTES FIRMAS CORRESP</w:t>
      </w:r>
      <w:r>
        <w:rPr>
          <w:rFonts w:ascii="Arial" w:hAnsi="Arial" w:cs="Arial"/>
          <w:b/>
          <w:sz w:val="14"/>
          <w:szCs w:val="26"/>
        </w:rPr>
        <w:t>ONDEN AL RECURSO DE REVISIÓN 303/2018</w:t>
      </w:r>
    </w:p>
    <w:p w:rsidR="00453781" w:rsidRDefault="00453781" w:rsidP="00453781">
      <w:pPr>
        <w:spacing w:line="360" w:lineRule="auto"/>
        <w:jc w:val="center"/>
        <w:rPr>
          <w:rFonts w:ascii="Arial" w:hAnsi="Arial" w:cs="Arial"/>
          <w:sz w:val="26"/>
          <w:szCs w:val="26"/>
        </w:rPr>
      </w:pPr>
    </w:p>
    <w:p w:rsidR="00453781" w:rsidRDefault="00453781" w:rsidP="00453781">
      <w:pPr>
        <w:spacing w:line="360" w:lineRule="auto"/>
        <w:rPr>
          <w:rFonts w:ascii="Arial" w:hAnsi="Arial" w:cs="Arial"/>
          <w:sz w:val="26"/>
          <w:szCs w:val="26"/>
        </w:rPr>
      </w:pPr>
    </w:p>
    <w:p w:rsidR="00453781" w:rsidRDefault="00453781" w:rsidP="00453781">
      <w:pPr>
        <w:spacing w:line="360" w:lineRule="auto"/>
        <w:jc w:val="center"/>
        <w:rPr>
          <w:rFonts w:ascii="Arial" w:hAnsi="Arial" w:cs="Arial"/>
          <w:sz w:val="26"/>
          <w:szCs w:val="26"/>
        </w:rPr>
      </w:pPr>
    </w:p>
    <w:p w:rsidR="00453781" w:rsidRDefault="00453781" w:rsidP="00453781">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453781" w:rsidRDefault="00453781" w:rsidP="00453781">
      <w:pPr>
        <w:spacing w:line="360" w:lineRule="auto"/>
        <w:rPr>
          <w:rFonts w:ascii="Arial" w:hAnsi="Arial" w:cs="Arial"/>
          <w:sz w:val="26"/>
          <w:szCs w:val="26"/>
        </w:rPr>
      </w:pPr>
    </w:p>
    <w:p w:rsidR="00453781" w:rsidRDefault="00453781" w:rsidP="00453781">
      <w:pPr>
        <w:spacing w:line="360" w:lineRule="auto"/>
        <w:rPr>
          <w:rFonts w:ascii="Arial" w:hAnsi="Arial" w:cs="Arial"/>
          <w:sz w:val="26"/>
          <w:szCs w:val="26"/>
        </w:rPr>
      </w:pPr>
    </w:p>
    <w:p w:rsidR="00453781" w:rsidRPr="008E57C1" w:rsidRDefault="00453781" w:rsidP="00453781">
      <w:pPr>
        <w:spacing w:line="360" w:lineRule="auto"/>
        <w:rPr>
          <w:rFonts w:ascii="Arial" w:hAnsi="Arial" w:cs="Arial"/>
          <w:sz w:val="26"/>
          <w:szCs w:val="26"/>
        </w:rPr>
      </w:pPr>
    </w:p>
    <w:p w:rsidR="00453781" w:rsidRPr="008E57C1" w:rsidRDefault="00453781" w:rsidP="00453781">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453781" w:rsidRPr="00D92955" w:rsidRDefault="00453781" w:rsidP="00453781">
      <w:pPr>
        <w:rPr>
          <w:rFonts w:ascii="Arial" w:eastAsia="Times New Roman" w:hAnsi="Arial" w:cs="Arial"/>
          <w:sz w:val="26"/>
          <w:szCs w:val="26"/>
          <w:lang w:eastAsia="es-MX"/>
        </w:rPr>
      </w:pPr>
    </w:p>
    <w:p w:rsidR="00453781" w:rsidRDefault="00453781" w:rsidP="00453781">
      <w:pPr>
        <w:jc w:val="center"/>
        <w:rPr>
          <w:rFonts w:ascii="Arial" w:eastAsia="Times New Roman" w:hAnsi="Arial" w:cs="Arial"/>
          <w:sz w:val="26"/>
          <w:szCs w:val="26"/>
          <w:lang w:eastAsia="es-MX"/>
        </w:rPr>
      </w:pPr>
    </w:p>
    <w:p w:rsidR="00453781" w:rsidRDefault="00453781" w:rsidP="00453781">
      <w:pPr>
        <w:jc w:val="center"/>
        <w:rPr>
          <w:rFonts w:ascii="Arial" w:eastAsia="Times New Roman" w:hAnsi="Arial" w:cs="Arial"/>
          <w:sz w:val="26"/>
          <w:szCs w:val="26"/>
          <w:lang w:eastAsia="es-MX"/>
        </w:rPr>
      </w:pPr>
    </w:p>
    <w:p w:rsidR="00453781" w:rsidRPr="00D92955" w:rsidRDefault="00453781" w:rsidP="00453781">
      <w:pPr>
        <w:jc w:val="center"/>
        <w:rPr>
          <w:rFonts w:ascii="Arial" w:eastAsia="Times New Roman" w:hAnsi="Arial" w:cs="Arial"/>
          <w:sz w:val="26"/>
          <w:szCs w:val="26"/>
          <w:lang w:eastAsia="es-MX"/>
        </w:rPr>
      </w:pPr>
    </w:p>
    <w:p w:rsidR="00453781" w:rsidRPr="008E57C1" w:rsidRDefault="00453781" w:rsidP="00453781">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453781" w:rsidRPr="008E57C1" w:rsidRDefault="00453781" w:rsidP="00453781">
      <w:pPr>
        <w:rPr>
          <w:rFonts w:ascii="Arial" w:hAnsi="Arial" w:cs="Arial"/>
          <w:sz w:val="26"/>
          <w:szCs w:val="26"/>
        </w:rPr>
      </w:pPr>
    </w:p>
    <w:p w:rsidR="00453781" w:rsidRDefault="00453781" w:rsidP="00453781">
      <w:pPr>
        <w:spacing w:after="0"/>
        <w:rPr>
          <w:rFonts w:ascii="Arial" w:hAnsi="Arial" w:cs="Arial"/>
          <w:sz w:val="26"/>
          <w:szCs w:val="26"/>
        </w:rPr>
      </w:pPr>
    </w:p>
    <w:p w:rsidR="00453781" w:rsidRDefault="00453781" w:rsidP="00453781">
      <w:pPr>
        <w:spacing w:after="0"/>
        <w:rPr>
          <w:rFonts w:ascii="Arial" w:hAnsi="Arial" w:cs="Arial"/>
          <w:sz w:val="26"/>
          <w:szCs w:val="26"/>
        </w:rPr>
      </w:pPr>
    </w:p>
    <w:p w:rsidR="00453781" w:rsidRDefault="00453781" w:rsidP="00453781">
      <w:pPr>
        <w:spacing w:after="0"/>
        <w:rPr>
          <w:rFonts w:ascii="Arial" w:hAnsi="Arial" w:cs="Arial"/>
          <w:sz w:val="26"/>
          <w:szCs w:val="26"/>
        </w:rPr>
      </w:pPr>
    </w:p>
    <w:p w:rsidR="00453781" w:rsidRDefault="00453781" w:rsidP="00453781">
      <w:pPr>
        <w:spacing w:after="0"/>
        <w:jc w:val="center"/>
        <w:rPr>
          <w:rFonts w:ascii="Arial" w:hAnsi="Arial" w:cs="Arial"/>
          <w:sz w:val="26"/>
          <w:szCs w:val="26"/>
        </w:rPr>
      </w:pPr>
    </w:p>
    <w:p w:rsidR="00453781" w:rsidRPr="008E57C1" w:rsidRDefault="00453781" w:rsidP="00453781">
      <w:pPr>
        <w:spacing w:after="0"/>
        <w:jc w:val="center"/>
        <w:rPr>
          <w:rFonts w:ascii="Arial" w:hAnsi="Arial" w:cs="Arial"/>
          <w:sz w:val="26"/>
          <w:szCs w:val="26"/>
        </w:rPr>
      </w:pPr>
      <w:r w:rsidRPr="008E57C1">
        <w:rPr>
          <w:rFonts w:ascii="Arial" w:hAnsi="Arial" w:cs="Arial"/>
          <w:sz w:val="26"/>
          <w:szCs w:val="26"/>
        </w:rPr>
        <w:t>LICENCIADA SANDRA PÉREZ CRUZ.</w:t>
      </w:r>
    </w:p>
    <w:p w:rsidR="00453781" w:rsidRPr="007E7CF9" w:rsidRDefault="00453781" w:rsidP="00453781">
      <w:pPr>
        <w:spacing w:after="0"/>
        <w:jc w:val="center"/>
        <w:rPr>
          <w:rFonts w:ascii="Arial" w:hAnsi="Arial" w:cs="Arial"/>
          <w:sz w:val="26"/>
          <w:szCs w:val="26"/>
        </w:rPr>
      </w:pPr>
      <w:r w:rsidRPr="008E57C1">
        <w:rPr>
          <w:rFonts w:ascii="Arial" w:hAnsi="Arial" w:cs="Arial"/>
          <w:sz w:val="26"/>
          <w:szCs w:val="26"/>
        </w:rPr>
        <w:t>SECRETARIA GENERAL DE ACUERDOS.</w:t>
      </w:r>
    </w:p>
    <w:p w:rsidR="00453781" w:rsidRDefault="00453781" w:rsidP="00453781">
      <w:pPr>
        <w:spacing w:before="240" w:line="360" w:lineRule="auto"/>
        <w:jc w:val="both"/>
        <w:rPr>
          <w:sz w:val="26"/>
          <w:szCs w:val="26"/>
        </w:rPr>
      </w:pPr>
    </w:p>
    <w:p w:rsidR="00453781" w:rsidRDefault="00453781" w:rsidP="00453781">
      <w:pPr>
        <w:jc w:val="center"/>
        <w:rPr>
          <w:sz w:val="26"/>
          <w:szCs w:val="26"/>
        </w:rPr>
      </w:pPr>
    </w:p>
    <w:p w:rsidR="00453781" w:rsidRDefault="00453781" w:rsidP="00453781">
      <w:pPr>
        <w:spacing w:before="240" w:line="360" w:lineRule="auto"/>
        <w:ind w:firstLine="708"/>
        <w:jc w:val="both"/>
        <w:rPr>
          <w:sz w:val="26"/>
          <w:szCs w:val="26"/>
        </w:rPr>
      </w:pPr>
    </w:p>
    <w:p w:rsidR="00453781" w:rsidRDefault="00453781" w:rsidP="00453781">
      <w:pPr>
        <w:spacing w:before="240" w:line="360" w:lineRule="auto"/>
        <w:ind w:firstLine="708"/>
        <w:jc w:val="both"/>
        <w:rPr>
          <w:sz w:val="26"/>
          <w:szCs w:val="26"/>
        </w:rPr>
      </w:pPr>
    </w:p>
    <w:p w:rsidR="00453781" w:rsidRDefault="00453781" w:rsidP="00453781">
      <w:pPr>
        <w:spacing w:line="360" w:lineRule="auto"/>
        <w:ind w:firstLine="708"/>
        <w:jc w:val="both"/>
        <w:rPr>
          <w:sz w:val="26"/>
          <w:szCs w:val="26"/>
        </w:rPr>
      </w:pPr>
    </w:p>
    <w:p w:rsidR="00453781" w:rsidRDefault="00453781" w:rsidP="00453781">
      <w:pPr>
        <w:spacing w:before="240" w:line="360" w:lineRule="auto"/>
        <w:ind w:firstLine="708"/>
        <w:jc w:val="both"/>
        <w:rPr>
          <w:sz w:val="26"/>
          <w:szCs w:val="26"/>
        </w:rPr>
      </w:pPr>
    </w:p>
    <w:p w:rsidR="00CD2E70" w:rsidRDefault="00CD2E70" w:rsidP="00453781">
      <w:pPr>
        <w:spacing w:before="240" w:line="360" w:lineRule="auto"/>
        <w:ind w:firstLine="708"/>
        <w:jc w:val="both"/>
        <w:rPr>
          <w:sz w:val="26"/>
          <w:szCs w:val="26"/>
        </w:rPr>
      </w:pPr>
    </w:p>
    <w:sectPr w:rsidR="00CD2E70" w:rsidSect="001D7FCD">
      <w:headerReference w:type="even" r:id="rId9"/>
      <w:headerReference w:type="default" r:id="rId10"/>
      <w:footerReference w:type="even"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7E" w:rsidRDefault="00573E7E">
      <w:pPr>
        <w:spacing w:after="0" w:line="240" w:lineRule="auto"/>
      </w:pPr>
      <w:r>
        <w:separator/>
      </w:r>
    </w:p>
  </w:endnote>
  <w:endnote w:type="continuationSeparator" w:id="0">
    <w:p w:rsidR="00573E7E" w:rsidRDefault="0057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A" w:rsidRDefault="00C7201A">
    <w:pPr>
      <w:pStyle w:val="Piedepgina"/>
    </w:pPr>
    <w:r>
      <w:rPr>
        <w:noProof/>
        <w:lang w:val="es-MX" w:eastAsia="es-MX"/>
      </w:rPr>
      <w:drawing>
        <wp:anchor distT="0" distB="0" distL="114300" distR="114300" simplePos="0" relativeHeight="251658240" behindDoc="0" locked="0" layoutInCell="1" allowOverlap="1" wp14:anchorId="666050DC" wp14:editId="180AF0F9">
          <wp:simplePos x="0" y="0"/>
          <wp:positionH relativeFrom="column">
            <wp:posOffset>5661660</wp:posOffset>
          </wp:positionH>
          <wp:positionV relativeFrom="paragraph">
            <wp:posOffset>-5627370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7E" w:rsidRDefault="00573E7E">
      <w:pPr>
        <w:spacing w:after="0" w:line="240" w:lineRule="auto"/>
      </w:pPr>
      <w:r>
        <w:separator/>
      </w:r>
    </w:p>
  </w:footnote>
  <w:footnote w:type="continuationSeparator" w:id="0">
    <w:p w:rsidR="00573E7E" w:rsidRDefault="00573E7E">
      <w:pPr>
        <w:spacing w:after="0" w:line="240" w:lineRule="auto"/>
      </w:pPr>
      <w:r>
        <w:continuationSeparator/>
      </w:r>
    </w:p>
  </w:footnote>
  <w:footnote w:id="1">
    <w:p w:rsidR="00B525A6" w:rsidRPr="009829E3" w:rsidRDefault="00B525A6" w:rsidP="00B525A6">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w:t>
      </w:r>
      <w:r w:rsidR="00CD2E70">
        <w:rPr>
          <w:rFonts w:ascii="Arial" w:hAnsi="Arial" w:cs="Arial"/>
          <w:sz w:val="18"/>
          <w:szCs w:val="18"/>
        </w:rPr>
        <w:t>3</w:t>
      </w:r>
      <w:r w:rsidRPr="009829E3">
        <w:rPr>
          <w:rFonts w:ascii="Arial" w:hAnsi="Arial" w:cs="Arial"/>
          <w:sz w:val="18"/>
          <w:szCs w:val="18"/>
        </w:rPr>
        <w:t>6.- Contra los acuerdos y resoluciones dictados por los Jueces de Primera Instancia, procede el recurso de revisión, cuyo conocimiento y resolución corresponde a la Sala Superior.</w:t>
      </w:r>
    </w:p>
    <w:p w:rsidR="00B525A6" w:rsidRPr="009829E3" w:rsidRDefault="00B525A6" w:rsidP="00B525A6">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B525A6" w:rsidRPr="009829E3" w:rsidRDefault="00B525A6" w:rsidP="00B525A6">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B525A6" w:rsidRPr="009829E3" w:rsidRDefault="00B525A6" w:rsidP="00B525A6">
      <w:pPr>
        <w:pStyle w:val="Sinespaciado"/>
        <w:rPr>
          <w:rFonts w:ascii="Arial" w:hAnsi="Arial" w:cs="Arial"/>
          <w:sz w:val="18"/>
          <w:szCs w:val="18"/>
        </w:rPr>
      </w:pPr>
      <w:r w:rsidRPr="009829E3">
        <w:rPr>
          <w:rStyle w:val="Refdenotaalpie"/>
          <w:rFonts w:ascii="Arial" w:hAnsi="Arial" w:cs="Arial"/>
          <w:sz w:val="18"/>
          <w:szCs w:val="18"/>
        </w:rPr>
        <w:footnoteRef/>
      </w:r>
      <w:r w:rsidR="00CD2E70">
        <w:rPr>
          <w:rFonts w:ascii="Arial" w:hAnsi="Arial" w:cs="Arial"/>
          <w:sz w:val="18"/>
          <w:szCs w:val="18"/>
        </w:rPr>
        <w:t xml:space="preserve">  “ARTICULO 16</w:t>
      </w:r>
      <w:r w:rsidRPr="009829E3">
        <w:rPr>
          <w:rFonts w:ascii="Arial" w:hAnsi="Arial" w:cs="Arial"/>
          <w:sz w:val="18"/>
          <w:szCs w:val="18"/>
        </w:rPr>
        <w:t>3.- Son partes en el juicio contencioso administrativo:</w:t>
      </w:r>
    </w:p>
    <w:p w:rsidR="00B525A6" w:rsidRPr="009829E3" w:rsidRDefault="00B525A6" w:rsidP="00B525A6">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w:t>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w:t>
      </w:r>
    </w:p>
    <w:p w:rsidR="00B525A6" w:rsidRPr="009829E3" w:rsidRDefault="00B525A6" w:rsidP="00B525A6">
      <w:pPr>
        <w:pStyle w:val="Sinespaciado"/>
        <w:rPr>
          <w:sz w:val="18"/>
          <w:szCs w:val="18"/>
        </w:rPr>
      </w:pPr>
      <w:r w:rsidRPr="009829E3">
        <w:rPr>
          <w:rFonts w:ascii="Arial" w:hAnsi="Arial" w:cs="Arial"/>
          <w:sz w:val="18"/>
          <w:szCs w:val="18"/>
        </w:rPr>
        <w:t xml:space="preserve">   III. El tercero afectado, …”</w:t>
      </w:r>
    </w:p>
  </w:footnote>
  <w:footnote w:id="3">
    <w:p w:rsidR="00CD2E70" w:rsidRDefault="00CD2E70" w:rsidP="00CD2E70">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CD2E70" w:rsidRDefault="00CD2E70" w:rsidP="00CD2E70">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CD2E70" w:rsidRDefault="00CD2E70" w:rsidP="00CD2E70">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E80402">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E80402">
          <w:rPr>
            <w:noProof/>
          </w:rPr>
          <w:t>7</w:t>
        </w:r>
        <w:r>
          <w:rPr>
            <w:noProof/>
          </w:rPr>
          <w:fldChar w:fldCharType="end"/>
        </w:r>
      </w:p>
      <w:p w:rsidR="00E61AB6" w:rsidRDefault="00573E7E" w:rsidP="008C74CA">
        <w:pPr>
          <w:pStyle w:val="Encabezado"/>
          <w:jc w:val="center"/>
        </w:pPr>
      </w:p>
    </w:sdtContent>
  </w:sdt>
  <w:p w:rsidR="00E61AB6" w:rsidRDefault="00E61AB6" w:rsidP="00256B01">
    <w:pPr>
      <w:pStyle w:val="Encabezado"/>
      <w:jc w:val="center"/>
    </w:pPr>
  </w:p>
  <w:p w:rsidR="00E61AB6" w:rsidRDefault="00C7201A"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-1209675</wp:posOffset>
          </wp:positionH>
          <wp:positionV relativeFrom="paragraph">
            <wp:posOffset>5577205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4B9"/>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43A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60C"/>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150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267FD"/>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528"/>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6D8"/>
    <w:rsid w:val="00444733"/>
    <w:rsid w:val="004503A6"/>
    <w:rsid w:val="00451BE8"/>
    <w:rsid w:val="00453781"/>
    <w:rsid w:val="00454494"/>
    <w:rsid w:val="004547D3"/>
    <w:rsid w:val="004567C7"/>
    <w:rsid w:val="00457CC7"/>
    <w:rsid w:val="004633DC"/>
    <w:rsid w:val="00470924"/>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036"/>
    <w:rsid w:val="005478F9"/>
    <w:rsid w:val="00551263"/>
    <w:rsid w:val="00551897"/>
    <w:rsid w:val="00553578"/>
    <w:rsid w:val="00557727"/>
    <w:rsid w:val="005609AA"/>
    <w:rsid w:val="00561910"/>
    <w:rsid w:val="00563B9C"/>
    <w:rsid w:val="00564C75"/>
    <w:rsid w:val="00565465"/>
    <w:rsid w:val="00567E8E"/>
    <w:rsid w:val="0057052D"/>
    <w:rsid w:val="005707BD"/>
    <w:rsid w:val="00571B02"/>
    <w:rsid w:val="005720EB"/>
    <w:rsid w:val="00573E7E"/>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13"/>
    <w:rsid w:val="005C414F"/>
    <w:rsid w:val="005C4F8D"/>
    <w:rsid w:val="005C770C"/>
    <w:rsid w:val="005C7C2F"/>
    <w:rsid w:val="005D1684"/>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6BF"/>
    <w:rsid w:val="00626B35"/>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7B0D"/>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5E68"/>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5F93"/>
    <w:rsid w:val="00747AB7"/>
    <w:rsid w:val="00752052"/>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414F"/>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2784"/>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2508"/>
    <w:rsid w:val="009233B3"/>
    <w:rsid w:val="00926FCD"/>
    <w:rsid w:val="00927607"/>
    <w:rsid w:val="00931E3D"/>
    <w:rsid w:val="0094005B"/>
    <w:rsid w:val="00943709"/>
    <w:rsid w:val="00943B62"/>
    <w:rsid w:val="009443A6"/>
    <w:rsid w:val="0094607A"/>
    <w:rsid w:val="00947785"/>
    <w:rsid w:val="00952ED2"/>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037"/>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14E2"/>
    <w:rsid w:val="009E2797"/>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7F60"/>
    <w:rsid w:val="00A61A6E"/>
    <w:rsid w:val="00A65B8D"/>
    <w:rsid w:val="00A67424"/>
    <w:rsid w:val="00A67E6B"/>
    <w:rsid w:val="00A703CE"/>
    <w:rsid w:val="00A7188F"/>
    <w:rsid w:val="00A7216C"/>
    <w:rsid w:val="00A7622C"/>
    <w:rsid w:val="00A76546"/>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C5EBC"/>
    <w:rsid w:val="00AD1E25"/>
    <w:rsid w:val="00AD38ED"/>
    <w:rsid w:val="00AD4282"/>
    <w:rsid w:val="00AD77FD"/>
    <w:rsid w:val="00AE1A7A"/>
    <w:rsid w:val="00AE4894"/>
    <w:rsid w:val="00AE5AC8"/>
    <w:rsid w:val="00AF15FC"/>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25A6"/>
    <w:rsid w:val="00B53176"/>
    <w:rsid w:val="00B55C20"/>
    <w:rsid w:val="00B5768B"/>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7BCF"/>
    <w:rsid w:val="00BC05E2"/>
    <w:rsid w:val="00BC0C9A"/>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01A"/>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7887"/>
    <w:rsid w:val="00CB27A4"/>
    <w:rsid w:val="00CB2F1C"/>
    <w:rsid w:val="00CB621B"/>
    <w:rsid w:val="00CB65EC"/>
    <w:rsid w:val="00CB6E8A"/>
    <w:rsid w:val="00CC1DB1"/>
    <w:rsid w:val="00CC1F58"/>
    <w:rsid w:val="00CC7CEF"/>
    <w:rsid w:val="00CD0468"/>
    <w:rsid w:val="00CD1491"/>
    <w:rsid w:val="00CD2E70"/>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B05"/>
    <w:rsid w:val="00E31D43"/>
    <w:rsid w:val="00E31EBB"/>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4817"/>
    <w:rsid w:val="00E75BB5"/>
    <w:rsid w:val="00E80402"/>
    <w:rsid w:val="00E808D6"/>
    <w:rsid w:val="00E80E37"/>
    <w:rsid w:val="00E83450"/>
    <w:rsid w:val="00E8389D"/>
    <w:rsid w:val="00E86739"/>
    <w:rsid w:val="00E90E54"/>
    <w:rsid w:val="00E91FF2"/>
    <w:rsid w:val="00E94929"/>
    <w:rsid w:val="00E94FF3"/>
    <w:rsid w:val="00E9514D"/>
    <w:rsid w:val="00E96B8B"/>
    <w:rsid w:val="00EA0F7F"/>
    <w:rsid w:val="00EA2C19"/>
    <w:rsid w:val="00EA379C"/>
    <w:rsid w:val="00EA37E1"/>
    <w:rsid w:val="00EA4780"/>
    <w:rsid w:val="00EA4997"/>
    <w:rsid w:val="00EA4DC3"/>
    <w:rsid w:val="00EA4F63"/>
    <w:rsid w:val="00EA5167"/>
    <w:rsid w:val="00EA7123"/>
    <w:rsid w:val="00EB37B1"/>
    <w:rsid w:val="00EB4DFF"/>
    <w:rsid w:val="00EB50B4"/>
    <w:rsid w:val="00EC2980"/>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21E1"/>
    <w:rsid w:val="00F3568E"/>
    <w:rsid w:val="00F35DBE"/>
    <w:rsid w:val="00F36D77"/>
    <w:rsid w:val="00F37880"/>
    <w:rsid w:val="00F42116"/>
    <w:rsid w:val="00F4377C"/>
    <w:rsid w:val="00F4392A"/>
    <w:rsid w:val="00F44524"/>
    <w:rsid w:val="00F448E0"/>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264"/>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47470558">
      <w:bodyDiv w:val="1"/>
      <w:marLeft w:val="0"/>
      <w:marRight w:val="0"/>
      <w:marTop w:val="0"/>
      <w:marBottom w:val="0"/>
      <w:divBdr>
        <w:top w:val="none" w:sz="0" w:space="0" w:color="auto"/>
        <w:left w:val="none" w:sz="0" w:space="0" w:color="auto"/>
        <w:bottom w:val="none" w:sz="0" w:space="0" w:color="auto"/>
        <w:right w:val="none" w:sz="0" w:space="0" w:color="auto"/>
      </w:divBdr>
    </w:div>
    <w:div w:id="19176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95B0-9FC3-4E71-B97A-BE3AA477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Pages>
  <Words>2223</Words>
  <Characters>12229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202</cp:revision>
  <cp:lastPrinted>2019-01-29T19:06:00Z</cp:lastPrinted>
  <dcterms:created xsi:type="dcterms:W3CDTF">2017-09-05T18:57:00Z</dcterms:created>
  <dcterms:modified xsi:type="dcterms:W3CDTF">2019-01-29T19:07:00Z</dcterms:modified>
</cp:coreProperties>
</file>