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2" w:type="dxa"/>
        <w:tblInd w:w="-781" w:type="dxa"/>
        <w:tblLayout w:type="fixed"/>
        <w:tblCellMar>
          <w:left w:w="70" w:type="dxa"/>
          <w:right w:w="70" w:type="dxa"/>
        </w:tblCellMar>
        <w:tblLook w:val="0000" w:firstRow="0" w:lastRow="0" w:firstColumn="0" w:lastColumn="0" w:noHBand="0" w:noVBand="0"/>
      </w:tblPr>
      <w:tblGrid>
        <w:gridCol w:w="2400"/>
        <w:gridCol w:w="6992"/>
      </w:tblGrid>
      <w:tr w:rsidR="000971DC" w:rsidRPr="00AC5004" w:rsidTr="00616DC9">
        <w:trPr>
          <w:trHeight w:val="2822"/>
        </w:trPr>
        <w:tc>
          <w:tcPr>
            <w:tcW w:w="2400" w:type="dxa"/>
          </w:tcPr>
          <w:p w:rsidR="000971DC" w:rsidRPr="00AC5004" w:rsidRDefault="000971DC" w:rsidP="0038737B">
            <w:pPr>
              <w:pStyle w:val="Ttulo1"/>
              <w:rPr>
                <w:rFonts w:ascii="Arial" w:hAnsi="Arial" w:cs="Arial"/>
                <w:sz w:val="26"/>
                <w:szCs w:val="26"/>
              </w:rPr>
            </w:pPr>
            <w:r>
              <w:tab/>
            </w:r>
          </w:p>
        </w:tc>
        <w:tc>
          <w:tcPr>
            <w:tcW w:w="6992" w:type="dxa"/>
          </w:tcPr>
          <w:p w:rsidR="000971DC" w:rsidRPr="00AC5004" w:rsidRDefault="000971DC" w:rsidP="0038737B">
            <w:pPr>
              <w:tabs>
                <w:tab w:val="left" w:pos="3103"/>
              </w:tabs>
              <w:ind w:left="1119"/>
              <w:jc w:val="both"/>
              <w:rPr>
                <w:rFonts w:ascii="Arial" w:hAnsi="Arial" w:cs="Arial"/>
                <w:b/>
                <w:iCs/>
                <w:caps/>
                <w:sz w:val="26"/>
                <w:szCs w:val="26"/>
              </w:rPr>
            </w:pPr>
            <w:r w:rsidRPr="00AC5004">
              <w:rPr>
                <w:rFonts w:ascii="Arial" w:hAnsi="Arial" w:cs="Arial"/>
                <w:b/>
                <w:iCs/>
                <w:caps/>
                <w:sz w:val="26"/>
                <w:szCs w:val="26"/>
              </w:rPr>
              <w:t xml:space="preserve">SALA SUPERIOR DEL TRIBUNAL DE </w:t>
            </w:r>
            <w:r>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Pr>
                <w:rFonts w:ascii="Arial" w:hAnsi="Arial" w:cs="Arial"/>
                <w:b/>
                <w:iCs/>
                <w:caps/>
                <w:sz w:val="26"/>
                <w:szCs w:val="26"/>
              </w:rPr>
              <w:t>.</w:t>
            </w:r>
          </w:p>
          <w:p w:rsidR="000971DC" w:rsidRPr="00AC5004" w:rsidRDefault="000971DC" w:rsidP="0038737B">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               </w:t>
            </w:r>
          </w:p>
          <w:p w:rsidR="000971DC" w:rsidRPr="004E0994" w:rsidRDefault="000971DC" w:rsidP="0038737B">
            <w:pPr>
              <w:pStyle w:val="Encabezado"/>
              <w:tabs>
                <w:tab w:val="clear" w:pos="4252"/>
              </w:tabs>
              <w:ind w:right="51"/>
              <w:jc w:val="both"/>
              <w:rPr>
                <w:rFonts w:ascii="Arial" w:hAnsi="Arial" w:cs="Arial"/>
                <w:b/>
                <w:iCs/>
                <w:caps/>
                <w:sz w:val="26"/>
                <w:szCs w:val="26"/>
              </w:rPr>
            </w:pPr>
            <w:r w:rsidRPr="00AC5004">
              <w:rPr>
                <w:rFonts w:ascii="Arial" w:hAnsi="Arial" w:cs="Arial"/>
                <w:b/>
                <w:iCs/>
                <w:caps/>
                <w:sz w:val="26"/>
                <w:szCs w:val="26"/>
              </w:rPr>
              <w:t xml:space="preserve">               RECURSO DE REVISIÓN: </w:t>
            </w:r>
            <w:r w:rsidR="00DE6719">
              <w:rPr>
                <w:rFonts w:ascii="Arial" w:hAnsi="Arial" w:cs="Arial"/>
                <w:b/>
                <w:iCs/>
                <w:caps/>
                <w:sz w:val="26"/>
                <w:szCs w:val="26"/>
              </w:rPr>
              <w:t>0</w:t>
            </w:r>
            <w:r w:rsidR="00FF6393">
              <w:rPr>
                <w:rFonts w:ascii="Arial" w:hAnsi="Arial" w:cs="Arial"/>
                <w:b/>
                <w:iCs/>
                <w:caps/>
                <w:sz w:val="26"/>
                <w:szCs w:val="26"/>
              </w:rPr>
              <w:t>298</w:t>
            </w:r>
            <w:r w:rsidRPr="004E0994">
              <w:rPr>
                <w:rFonts w:ascii="Arial" w:hAnsi="Arial" w:cs="Arial"/>
                <w:b/>
                <w:iCs/>
                <w:caps/>
                <w:sz w:val="26"/>
                <w:szCs w:val="26"/>
              </w:rPr>
              <w:t>/</w:t>
            </w:r>
            <w:r>
              <w:rPr>
                <w:rFonts w:ascii="Arial" w:hAnsi="Arial" w:cs="Arial"/>
                <w:b/>
                <w:iCs/>
                <w:caps/>
                <w:sz w:val="26"/>
                <w:szCs w:val="26"/>
              </w:rPr>
              <w:t>2018</w:t>
            </w:r>
          </w:p>
          <w:p w:rsidR="00BA681C" w:rsidRDefault="00BA681C" w:rsidP="0038737B">
            <w:pPr>
              <w:pStyle w:val="Encabezado"/>
              <w:tabs>
                <w:tab w:val="clear" w:pos="4252"/>
              </w:tabs>
              <w:ind w:left="1119" w:right="51"/>
              <w:jc w:val="both"/>
              <w:rPr>
                <w:rFonts w:ascii="Arial" w:hAnsi="Arial" w:cs="Arial"/>
                <w:b/>
                <w:iCs/>
                <w:caps/>
                <w:sz w:val="26"/>
                <w:szCs w:val="26"/>
              </w:rPr>
            </w:pPr>
          </w:p>
          <w:p w:rsidR="000971DC" w:rsidRPr="00AC5004" w:rsidRDefault="000971DC" w:rsidP="0038737B">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EXPEDIENTE: </w:t>
            </w:r>
            <w:r w:rsidRPr="004E0994">
              <w:rPr>
                <w:rFonts w:ascii="Arial" w:hAnsi="Arial" w:cs="Arial"/>
                <w:b/>
                <w:iCs/>
                <w:caps/>
                <w:sz w:val="26"/>
                <w:szCs w:val="26"/>
              </w:rPr>
              <w:t>0</w:t>
            </w:r>
            <w:r w:rsidR="00FF6393">
              <w:rPr>
                <w:rFonts w:ascii="Arial" w:hAnsi="Arial" w:cs="Arial"/>
                <w:b/>
                <w:iCs/>
                <w:caps/>
                <w:sz w:val="26"/>
                <w:szCs w:val="26"/>
              </w:rPr>
              <w:t>118/2017 DE LA sEXt</w:t>
            </w:r>
            <w:r>
              <w:rPr>
                <w:rFonts w:ascii="Arial" w:hAnsi="Arial" w:cs="Arial"/>
                <w:b/>
                <w:iCs/>
                <w:caps/>
                <w:sz w:val="26"/>
                <w:szCs w:val="26"/>
              </w:rPr>
              <w:t>a</w:t>
            </w:r>
            <w:r w:rsidRPr="004E0994">
              <w:rPr>
                <w:rFonts w:ascii="Arial" w:hAnsi="Arial" w:cs="Arial"/>
                <w:b/>
                <w:iCs/>
                <w:caps/>
                <w:sz w:val="26"/>
                <w:szCs w:val="26"/>
              </w:rPr>
              <w:t xml:space="preserve"> SALA UNITARIA DE PRIMERA INSTANCIA</w:t>
            </w:r>
            <w:r w:rsidRPr="00AC5004">
              <w:rPr>
                <w:rFonts w:ascii="Arial" w:hAnsi="Arial" w:cs="Arial"/>
                <w:b/>
                <w:iCs/>
                <w:caps/>
                <w:sz w:val="26"/>
                <w:szCs w:val="26"/>
              </w:rPr>
              <w:t xml:space="preserve"> </w:t>
            </w:r>
          </w:p>
          <w:p w:rsidR="000971DC" w:rsidRPr="00AC5004" w:rsidRDefault="000971DC" w:rsidP="0038737B">
            <w:pPr>
              <w:pStyle w:val="Encabezado"/>
              <w:tabs>
                <w:tab w:val="clear" w:pos="4252"/>
              </w:tabs>
              <w:ind w:left="1119" w:right="51"/>
              <w:jc w:val="both"/>
              <w:rPr>
                <w:rFonts w:ascii="Arial" w:hAnsi="Arial" w:cs="Arial"/>
                <w:b/>
                <w:iCs/>
                <w:caps/>
                <w:sz w:val="26"/>
                <w:szCs w:val="26"/>
              </w:rPr>
            </w:pPr>
          </w:p>
          <w:p w:rsidR="000971DC" w:rsidRPr="00AC5004" w:rsidRDefault="000971DC" w:rsidP="0038737B">
            <w:pPr>
              <w:pStyle w:val="Encabezado"/>
              <w:tabs>
                <w:tab w:val="clear" w:pos="4252"/>
              </w:tabs>
              <w:ind w:left="1119" w:right="51"/>
              <w:jc w:val="both"/>
              <w:rPr>
                <w:rFonts w:ascii="Arial" w:hAnsi="Arial" w:cs="Arial"/>
                <w:b/>
                <w:iCs/>
                <w:caps/>
                <w:sz w:val="26"/>
                <w:szCs w:val="26"/>
              </w:rPr>
            </w:pPr>
            <w:r w:rsidRPr="00AC5004">
              <w:rPr>
                <w:rFonts w:ascii="Arial" w:hAnsi="Arial" w:cs="Arial"/>
                <w:b/>
                <w:iCs/>
                <w:caps/>
                <w:sz w:val="26"/>
                <w:szCs w:val="26"/>
              </w:rPr>
              <w:t xml:space="preserve">MAGISTRADO ponente: </w:t>
            </w:r>
            <w:r>
              <w:rPr>
                <w:rFonts w:ascii="Arial" w:hAnsi="Arial" w:cs="Arial"/>
                <w:b/>
                <w:iCs/>
                <w:caps/>
                <w:sz w:val="26"/>
                <w:szCs w:val="26"/>
              </w:rPr>
              <w:t>ADRIÁ</w:t>
            </w:r>
            <w:r w:rsidRPr="004E0994">
              <w:rPr>
                <w:rFonts w:ascii="Arial" w:hAnsi="Arial" w:cs="Arial"/>
                <w:b/>
                <w:iCs/>
                <w:caps/>
                <w:sz w:val="26"/>
                <w:szCs w:val="26"/>
              </w:rPr>
              <w:t>N QUIROGA AVENDAÑO.</w:t>
            </w:r>
          </w:p>
        </w:tc>
      </w:tr>
      <w:tr w:rsidR="000971DC" w:rsidRPr="00AC5004" w:rsidTr="00616DC9">
        <w:trPr>
          <w:trHeight w:val="282"/>
        </w:trPr>
        <w:tc>
          <w:tcPr>
            <w:tcW w:w="2400" w:type="dxa"/>
          </w:tcPr>
          <w:p w:rsidR="000971DC" w:rsidRPr="00AC5004" w:rsidRDefault="000971DC" w:rsidP="0038737B">
            <w:pPr>
              <w:rPr>
                <w:rFonts w:ascii="Arial" w:hAnsi="Arial" w:cs="Arial"/>
                <w:b/>
                <w:sz w:val="26"/>
                <w:szCs w:val="26"/>
              </w:rPr>
            </w:pPr>
          </w:p>
        </w:tc>
        <w:tc>
          <w:tcPr>
            <w:tcW w:w="6992" w:type="dxa"/>
          </w:tcPr>
          <w:p w:rsidR="000971DC" w:rsidRPr="00B86A29" w:rsidRDefault="000971DC" w:rsidP="0038737B">
            <w:pPr>
              <w:tabs>
                <w:tab w:val="left" w:pos="3103"/>
              </w:tabs>
              <w:ind w:left="2961" w:hanging="2961"/>
              <w:jc w:val="both"/>
              <w:rPr>
                <w:rFonts w:ascii="Arial" w:hAnsi="Arial" w:cs="Arial"/>
                <w:b/>
                <w:i/>
                <w:iCs/>
                <w:caps/>
                <w:sz w:val="26"/>
                <w:szCs w:val="26"/>
              </w:rPr>
            </w:pPr>
            <w:r w:rsidRPr="00AC5004">
              <w:rPr>
                <w:rFonts w:ascii="Arial" w:hAnsi="Arial" w:cs="Arial"/>
                <w:b/>
                <w:i/>
                <w:iCs/>
                <w:caps/>
                <w:sz w:val="26"/>
                <w:szCs w:val="26"/>
              </w:rPr>
              <w:t xml:space="preserve">                                   </w:t>
            </w:r>
          </w:p>
        </w:tc>
      </w:tr>
      <w:tr w:rsidR="000971DC" w:rsidRPr="00AC5004" w:rsidTr="00616DC9">
        <w:trPr>
          <w:trHeight w:val="80"/>
        </w:trPr>
        <w:tc>
          <w:tcPr>
            <w:tcW w:w="2400" w:type="dxa"/>
          </w:tcPr>
          <w:p w:rsidR="000971DC" w:rsidRPr="00AC5004" w:rsidRDefault="000971DC" w:rsidP="0038737B">
            <w:pPr>
              <w:rPr>
                <w:rFonts w:ascii="Arial" w:hAnsi="Arial" w:cs="Arial"/>
                <w:b/>
                <w:sz w:val="26"/>
                <w:szCs w:val="26"/>
              </w:rPr>
            </w:pPr>
          </w:p>
        </w:tc>
        <w:tc>
          <w:tcPr>
            <w:tcW w:w="6992" w:type="dxa"/>
          </w:tcPr>
          <w:p w:rsidR="000971DC" w:rsidRPr="00AC5004" w:rsidRDefault="000971DC" w:rsidP="0038737B">
            <w:pPr>
              <w:tabs>
                <w:tab w:val="left" w:pos="3103"/>
              </w:tabs>
              <w:ind w:left="2961" w:hanging="2961"/>
              <w:jc w:val="both"/>
              <w:rPr>
                <w:rFonts w:ascii="Arial" w:hAnsi="Arial" w:cs="Arial"/>
                <w:b/>
                <w:i/>
                <w:iCs/>
                <w:caps/>
                <w:sz w:val="26"/>
                <w:szCs w:val="26"/>
              </w:rPr>
            </w:pPr>
          </w:p>
        </w:tc>
      </w:tr>
    </w:tbl>
    <w:p w:rsidR="00CC45B4" w:rsidRDefault="000971DC" w:rsidP="000971DC">
      <w:pPr>
        <w:spacing w:line="360" w:lineRule="auto"/>
        <w:jc w:val="both"/>
        <w:rPr>
          <w:rFonts w:ascii="Arial" w:eastAsia="Calibri" w:hAnsi="Arial" w:cs="Arial"/>
          <w:b/>
          <w:sz w:val="26"/>
          <w:szCs w:val="26"/>
        </w:rPr>
      </w:pPr>
      <w:r w:rsidRPr="00AC5004">
        <w:rPr>
          <w:rFonts w:ascii="Arial" w:eastAsia="Calibri" w:hAnsi="Arial" w:cs="Arial"/>
          <w:b/>
          <w:sz w:val="26"/>
          <w:szCs w:val="26"/>
        </w:rPr>
        <w:t>OAXACA DE JUÁREZ</w:t>
      </w:r>
      <w:r w:rsidR="00CC45B4">
        <w:rPr>
          <w:rFonts w:ascii="Arial" w:eastAsia="Calibri" w:hAnsi="Arial" w:cs="Arial"/>
          <w:b/>
          <w:sz w:val="26"/>
          <w:szCs w:val="26"/>
        </w:rPr>
        <w:t xml:space="preserve">, OAXACA, VEINTIUNO DE FEBRERO DE </w:t>
      </w:r>
      <w:r w:rsidRPr="00AC5004">
        <w:rPr>
          <w:rFonts w:ascii="Arial" w:eastAsia="Calibri" w:hAnsi="Arial" w:cs="Arial"/>
          <w:b/>
          <w:sz w:val="26"/>
          <w:szCs w:val="26"/>
        </w:rPr>
        <w:t>DOS MIL DIECI</w:t>
      </w:r>
      <w:r w:rsidR="00FB428D">
        <w:rPr>
          <w:rFonts w:ascii="Arial" w:eastAsia="Calibri" w:hAnsi="Arial" w:cs="Arial"/>
          <w:b/>
          <w:sz w:val="26"/>
          <w:szCs w:val="26"/>
        </w:rPr>
        <w:t>NUEVE.</w:t>
      </w:r>
    </w:p>
    <w:p w:rsidR="00CC45B4" w:rsidRDefault="00CC45B4" w:rsidP="000971DC">
      <w:pPr>
        <w:spacing w:line="360" w:lineRule="auto"/>
        <w:jc w:val="both"/>
        <w:rPr>
          <w:rFonts w:ascii="Arial" w:hAnsi="Arial" w:cs="Arial"/>
          <w:sz w:val="26"/>
          <w:szCs w:val="26"/>
        </w:rPr>
      </w:pPr>
      <w:r>
        <w:rPr>
          <w:rFonts w:ascii="Arial" w:eastAsia="Calibri" w:hAnsi="Arial" w:cs="Arial"/>
          <w:b/>
          <w:sz w:val="26"/>
          <w:szCs w:val="26"/>
        </w:rPr>
        <w:tab/>
      </w:r>
      <w:r w:rsidR="000971DC" w:rsidRPr="00AC5004">
        <w:rPr>
          <w:rFonts w:ascii="Arial" w:eastAsia="Calibri" w:hAnsi="Arial" w:cs="Arial"/>
          <w:sz w:val="26"/>
          <w:szCs w:val="26"/>
        </w:rPr>
        <w:t xml:space="preserve">Por recibido el Cuaderno de Revisión </w:t>
      </w:r>
      <w:r w:rsidR="00FF6393">
        <w:rPr>
          <w:rFonts w:ascii="Arial" w:eastAsia="Calibri" w:hAnsi="Arial" w:cs="Arial"/>
          <w:b/>
          <w:sz w:val="26"/>
          <w:szCs w:val="26"/>
        </w:rPr>
        <w:t>0298</w:t>
      </w:r>
      <w:r w:rsidR="000971DC">
        <w:rPr>
          <w:rFonts w:ascii="Arial" w:eastAsia="Calibri" w:hAnsi="Arial" w:cs="Arial"/>
          <w:b/>
          <w:sz w:val="26"/>
          <w:szCs w:val="26"/>
        </w:rPr>
        <w:t>/2018</w:t>
      </w:r>
      <w:r w:rsidR="000971DC" w:rsidRPr="00AC5004">
        <w:rPr>
          <w:rFonts w:ascii="Arial" w:eastAsia="Calibri" w:hAnsi="Arial" w:cs="Arial"/>
          <w:sz w:val="26"/>
          <w:szCs w:val="26"/>
        </w:rPr>
        <w:t>, que remite la Secretaría General de Acuerdos, con motivo del recu</w:t>
      </w:r>
      <w:r w:rsidR="00FF6393">
        <w:rPr>
          <w:rFonts w:ascii="Arial" w:eastAsia="Calibri" w:hAnsi="Arial" w:cs="Arial"/>
          <w:sz w:val="26"/>
          <w:szCs w:val="26"/>
        </w:rPr>
        <w:t xml:space="preserve">rso de revisión interpuesto por </w:t>
      </w:r>
      <w:r w:rsidR="00A74B15">
        <w:rPr>
          <w:rFonts w:ascii="Arial" w:eastAsia="Calibri" w:hAnsi="Arial" w:cs="Arial"/>
          <w:b/>
          <w:sz w:val="26"/>
          <w:szCs w:val="26"/>
        </w:rPr>
        <w:t>**********</w:t>
      </w:r>
      <w:r w:rsidR="00FF6393" w:rsidRPr="00FF6393">
        <w:rPr>
          <w:rFonts w:ascii="Arial" w:eastAsia="Calibri" w:hAnsi="Arial" w:cs="Arial"/>
          <w:sz w:val="26"/>
          <w:szCs w:val="26"/>
        </w:rPr>
        <w:t xml:space="preserve">representante legal de </w:t>
      </w:r>
      <w:r w:rsidR="00FF6393">
        <w:rPr>
          <w:rFonts w:ascii="Arial" w:eastAsia="Calibri" w:hAnsi="Arial" w:cs="Arial"/>
          <w:b/>
          <w:sz w:val="26"/>
          <w:szCs w:val="26"/>
        </w:rPr>
        <w:t>TRANSPORTES HUAXPALTEPEC S.A DE C.V</w:t>
      </w:r>
      <w:r w:rsidR="00BC5B6F">
        <w:rPr>
          <w:rFonts w:ascii="Arial" w:eastAsia="Calibri" w:hAnsi="Arial" w:cs="Arial"/>
          <w:b/>
          <w:sz w:val="26"/>
          <w:szCs w:val="26"/>
        </w:rPr>
        <w:t>.</w:t>
      </w:r>
      <w:r w:rsidR="000971DC" w:rsidRPr="00AC5004">
        <w:rPr>
          <w:rFonts w:ascii="Arial" w:hAnsi="Arial" w:cs="Arial"/>
          <w:b/>
          <w:bCs/>
          <w:color w:val="000000"/>
          <w:sz w:val="26"/>
          <w:szCs w:val="26"/>
        </w:rPr>
        <w:t xml:space="preserve">, </w:t>
      </w:r>
      <w:r w:rsidR="00FF6393">
        <w:rPr>
          <w:rFonts w:ascii="Arial" w:eastAsia="Calibri" w:hAnsi="Arial" w:cs="Arial"/>
          <w:sz w:val="26"/>
          <w:szCs w:val="26"/>
        </w:rPr>
        <w:t xml:space="preserve">en contra  de la </w:t>
      </w:r>
      <w:r w:rsidR="0010625E">
        <w:rPr>
          <w:rFonts w:ascii="Arial" w:eastAsia="Calibri" w:hAnsi="Arial" w:cs="Arial"/>
          <w:sz w:val="26"/>
          <w:szCs w:val="26"/>
        </w:rPr>
        <w:t xml:space="preserve">sentencia </w:t>
      </w:r>
      <w:r w:rsidR="00FF6393">
        <w:rPr>
          <w:rFonts w:ascii="Arial" w:eastAsia="Calibri" w:hAnsi="Arial" w:cs="Arial"/>
          <w:sz w:val="26"/>
          <w:szCs w:val="26"/>
        </w:rPr>
        <w:t>de</w:t>
      </w:r>
      <w:r w:rsidR="000971DC" w:rsidRPr="00AC5004">
        <w:rPr>
          <w:rFonts w:ascii="Arial" w:eastAsia="Calibri" w:hAnsi="Arial" w:cs="Arial"/>
          <w:sz w:val="26"/>
          <w:szCs w:val="26"/>
        </w:rPr>
        <w:t xml:space="preserve"> </w:t>
      </w:r>
      <w:r w:rsidR="00FF6393">
        <w:rPr>
          <w:rFonts w:ascii="Arial" w:eastAsia="Calibri" w:hAnsi="Arial" w:cs="Arial"/>
          <w:sz w:val="26"/>
          <w:szCs w:val="26"/>
        </w:rPr>
        <w:t>22 veintidós de junio</w:t>
      </w:r>
      <w:r w:rsidR="000971DC">
        <w:rPr>
          <w:rFonts w:ascii="Arial" w:eastAsia="Calibri" w:hAnsi="Arial" w:cs="Arial"/>
          <w:sz w:val="26"/>
          <w:szCs w:val="26"/>
        </w:rPr>
        <w:t xml:space="preserve"> de 2018 dos mil dieciocho</w:t>
      </w:r>
      <w:r w:rsidR="00FF6393">
        <w:rPr>
          <w:rFonts w:ascii="Arial" w:eastAsia="Calibri" w:hAnsi="Arial" w:cs="Arial"/>
          <w:sz w:val="26"/>
          <w:szCs w:val="26"/>
        </w:rPr>
        <w:t>, dictada por el</w:t>
      </w:r>
      <w:r w:rsidR="000971DC" w:rsidRPr="00AC5004">
        <w:rPr>
          <w:rFonts w:ascii="Arial" w:eastAsia="Calibri" w:hAnsi="Arial" w:cs="Arial"/>
          <w:sz w:val="26"/>
          <w:szCs w:val="26"/>
        </w:rPr>
        <w:t xml:space="preserve"> </w:t>
      </w:r>
      <w:r w:rsidR="00FF6393">
        <w:rPr>
          <w:rFonts w:ascii="Arial" w:eastAsia="Calibri" w:hAnsi="Arial" w:cs="Arial"/>
          <w:sz w:val="26"/>
          <w:szCs w:val="26"/>
        </w:rPr>
        <w:t>Magistrado de la Sexta</w:t>
      </w:r>
      <w:r w:rsidR="000971DC" w:rsidRPr="00AC5004">
        <w:rPr>
          <w:rFonts w:ascii="Arial" w:eastAsia="Calibri" w:hAnsi="Arial" w:cs="Arial"/>
          <w:sz w:val="26"/>
          <w:szCs w:val="26"/>
        </w:rPr>
        <w:t xml:space="preserve"> Sala Unitaria de Primera Instancia de este T</w:t>
      </w:r>
      <w:r w:rsidR="000971DC">
        <w:rPr>
          <w:rFonts w:ascii="Arial" w:eastAsia="Calibri" w:hAnsi="Arial" w:cs="Arial"/>
          <w:sz w:val="26"/>
          <w:szCs w:val="26"/>
        </w:rPr>
        <w:t xml:space="preserve">ribunal en el juicio de nulidad </w:t>
      </w:r>
      <w:r w:rsidR="00FF6393">
        <w:rPr>
          <w:rFonts w:ascii="Arial" w:eastAsia="Calibri" w:hAnsi="Arial" w:cs="Arial"/>
          <w:b/>
          <w:sz w:val="26"/>
          <w:szCs w:val="26"/>
        </w:rPr>
        <w:t>0118/2017</w:t>
      </w:r>
      <w:r w:rsidR="000971DC" w:rsidRPr="00B86A29">
        <w:rPr>
          <w:rFonts w:ascii="Arial" w:eastAsia="Calibri" w:hAnsi="Arial" w:cs="Arial"/>
          <w:b/>
          <w:sz w:val="26"/>
          <w:szCs w:val="26"/>
        </w:rPr>
        <w:t>,</w:t>
      </w:r>
      <w:r w:rsidR="000971DC">
        <w:rPr>
          <w:rFonts w:ascii="Arial" w:eastAsia="Calibri" w:hAnsi="Arial" w:cs="Arial"/>
          <w:b/>
          <w:sz w:val="26"/>
          <w:szCs w:val="26"/>
        </w:rPr>
        <w:t xml:space="preserve"> </w:t>
      </w:r>
      <w:r w:rsidR="000971DC" w:rsidRPr="00AC5004">
        <w:rPr>
          <w:rFonts w:ascii="Arial" w:eastAsia="Calibri" w:hAnsi="Arial" w:cs="Arial"/>
          <w:sz w:val="26"/>
          <w:szCs w:val="26"/>
        </w:rPr>
        <w:t xml:space="preserve">relativo al juicio promovido por </w:t>
      </w:r>
      <w:r w:rsidR="000971DC" w:rsidRPr="00C73940">
        <w:rPr>
          <w:rFonts w:ascii="Arial" w:eastAsia="Calibri" w:hAnsi="Arial" w:cs="Arial"/>
          <w:sz w:val="26"/>
          <w:szCs w:val="26"/>
        </w:rPr>
        <w:t xml:space="preserve">el </w:t>
      </w:r>
      <w:r w:rsidR="000971DC" w:rsidRPr="00AC5004">
        <w:rPr>
          <w:rFonts w:ascii="Arial" w:eastAsia="Calibri" w:hAnsi="Arial" w:cs="Arial"/>
          <w:b/>
          <w:sz w:val="26"/>
          <w:szCs w:val="26"/>
        </w:rPr>
        <w:t xml:space="preserve">RECURRENTE </w:t>
      </w:r>
      <w:r w:rsidR="000971DC" w:rsidRPr="00AC5004">
        <w:rPr>
          <w:rFonts w:ascii="Arial" w:eastAsia="Calibri" w:hAnsi="Arial" w:cs="Arial"/>
          <w:sz w:val="26"/>
          <w:szCs w:val="26"/>
        </w:rPr>
        <w:t xml:space="preserve">en contra del </w:t>
      </w:r>
      <w:r w:rsidR="000971DC">
        <w:rPr>
          <w:rFonts w:ascii="Arial" w:eastAsia="Calibri" w:hAnsi="Arial" w:cs="Arial"/>
          <w:b/>
          <w:sz w:val="26"/>
          <w:szCs w:val="26"/>
        </w:rPr>
        <w:t>SECRETARIO DE VIALIDAD Y TRANSPORTE DEL</w:t>
      </w:r>
      <w:r w:rsidR="00FF6393">
        <w:rPr>
          <w:rFonts w:ascii="Arial" w:eastAsia="Calibri" w:hAnsi="Arial" w:cs="Arial"/>
          <w:b/>
          <w:sz w:val="26"/>
          <w:szCs w:val="26"/>
        </w:rPr>
        <w:t xml:space="preserve"> GO</w:t>
      </w:r>
      <w:r w:rsidR="00C73940">
        <w:rPr>
          <w:rFonts w:ascii="Arial" w:eastAsia="Calibri" w:hAnsi="Arial" w:cs="Arial"/>
          <w:b/>
          <w:sz w:val="26"/>
          <w:szCs w:val="26"/>
        </w:rPr>
        <w:t xml:space="preserve">BIERNO DEL ESTADO Y </w:t>
      </w:r>
      <w:r w:rsidR="00FF6393">
        <w:rPr>
          <w:rFonts w:ascii="Arial" w:eastAsia="Calibri" w:hAnsi="Arial" w:cs="Arial"/>
          <w:b/>
          <w:sz w:val="26"/>
          <w:szCs w:val="26"/>
        </w:rPr>
        <w:t>DIRECTOR DE LA POLICÍA VIAL ESTATAL</w:t>
      </w:r>
      <w:r w:rsidR="00C73940">
        <w:rPr>
          <w:rFonts w:ascii="Arial" w:eastAsia="Calibri" w:hAnsi="Arial" w:cs="Arial"/>
          <w:b/>
          <w:sz w:val="26"/>
          <w:szCs w:val="26"/>
        </w:rPr>
        <w:t xml:space="preserve">; </w:t>
      </w:r>
      <w:r w:rsidR="00C73940">
        <w:rPr>
          <w:rFonts w:ascii="Arial" w:hAnsi="Arial" w:cs="Arial"/>
          <w:sz w:val="26"/>
          <w:szCs w:val="26"/>
        </w:rPr>
        <w:t>p</w:t>
      </w:r>
      <w:r w:rsidR="00C73940">
        <w:rPr>
          <w:rFonts w:ascii="Arial" w:eastAsia="Calibri" w:hAnsi="Arial" w:cs="Arial"/>
          <w:sz w:val="26"/>
          <w:szCs w:val="26"/>
        </w:rPr>
        <w:t>or lo que</w:t>
      </w:r>
      <w:r w:rsidR="00F0797C">
        <w:rPr>
          <w:rFonts w:ascii="Arial" w:eastAsia="Calibri" w:hAnsi="Arial" w:cs="Arial"/>
          <w:sz w:val="26"/>
          <w:szCs w:val="26"/>
        </w:rPr>
        <w:t>,</w:t>
      </w:r>
      <w:r w:rsidR="00C73940">
        <w:rPr>
          <w:rFonts w:ascii="Arial" w:eastAsia="Calibri" w:hAnsi="Arial" w:cs="Arial"/>
          <w:sz w:val="26"/>
          <w:szCs w:val="26"/>
        </w:rPr>
        <w:t xml:space="preserve"> con fundamento en los artículos 237 y 238 de la Ley de Procedimiento y Justicia Administrativa para el Estado de Oaxaca, se admite.</w:t>
      </w:r>
      <w:r w:rsidR="00C73940">
        <w:rPr>
          <w:rFonts w:ascii="Arial" w:hAnsi="Arial" w:cs="Arial"/>
          <w:sz w:val="26"/>
          <w:szCs w:val="26"/>
        </w:rPr>
        <w:t xml:space="preserve"> En consecuencia, se procede a dictar resolución en los siguientes términos: </w:t>
      </w:r>
    </w:p>
    <w:p w:rsidR="00CC45B4" w:rsidRDefault="00CC45B4" w:rsidP="000971DC">
      <w:pPr>
        <w:spacing w:line="360" w:lineRule="auto"/>
        <w:jc w:val="both"/>
        <w:rPr>
          <w:rFonts w:ascii="Arial" w:hAnsi="Arial" w:cs="Arial"/>
          <w:sz w:val="26"/>
          <w:szCs w:val="26"/>
        </w:rPr>
      </w:pPr>
    </w:p>
    <w:p w:rsidR="00CC45B4" w:rsidRDefault="000971DC" w:rsidP="00CC45B4">
      <w:pPr>
        <w:spacing w:line="360" w:lineRule="auto"/>
        <w:jc w:val="center"/>
        <w:rPr>
          <w:rFonts w:ascii="Arial" w:eastAsia="Calibri" w:hAnsi="Arial" w:cs="Arial"/>
          <w:b/>
          <w:bCs/>
          <w:sz w:val="26"/>
          <w:szCs w:val="26"/>
        </w:rPr>
      </w:pPr>
      <w:r w:rsidRPr="00AC5004">
        <w:rPr>
          <w:rFonts w:ascii="Arial" w:eastAsia="Calibri" w:hAnsi="Arial" w:cs="Arial"/>
          <w:b/>
          <w:bCs/>
          <w:sz w:val="26"/>
          <w:szCs w:val="26"/>
        </w:rPr>
        <w:t>R E S U L T A N D O</w:t>
      </w:r>
    </w:p>
    <w:p w:rsidR="00DE6719" w:rsidRDefault="00CC45B4" w:rsidP="000971DC">
      <w:pPr>
        <w:spacing w:line="360" w:lineRule="auto"/>
        <w:jc w:val="both"/>
        <w:rPr>
          <w:rFonts w:ascii="Arial" w:eastAsia="Calibri" w:hAnsi="Arial" w:cs="Arial"/>
          <w:sz w:val="26"/>
          <w:szCs w:val="26"/>
        </w:rPr>
      </w:pPr>
      <w:r>
        <w:rPr>
          <w:rFonts w:ascii="Arial" w:eastAsia="Calibri" w:hAnsi="Arial" w:cs="Arial"/>
          <w:b/>
          <w:bCs/>
          <w:sz w:val="26"/>
          <w:szCs w:val="26"/>
        </w:rPr>
        <w:tab/>
      </w:r>
      <w:r w:rsidR="000971DC" w:rsidRPr="00AC5004">
        <w:rPr>
          <w:rFonts w:ascii="Arial" w:eastAsia="Calibri" w:hAnsi="Arial" w:cs="Arial"/>
          <w:b/>
          <w:bCs/>
          <w:sz w:val="26"/>
          <w:szCs w:val="26"/>
        </w:rPr>
        <w:t xml:space="preserve">PRIMERO. </w:t>
      </w:r>
      <w:r w:rsidR="000971DC" w:rsidRPr="00AC5004">
        <w:rPr>
          <w:rFonts w:ascii="Arial" w:eastAsia="Calibri" w:hAnsi="Arial" w:cs="Arial"/>
          <w:sz w:val="26"/>
          <w:szCs w:val="26"/>
        </w:rPr>
        <w:t>Inconforme con</w:t>
      </w:r>
      <w:r w:rsidR="00DE6719">
        <w:rPr>
          <w:rFonts w:ascii="Arial" w:eastAsia="Calibri" w:hAnsi="Arial" w:cs="Arial"/>
          <w:sz w:val="26"/>
          <w:szCs w:val="26"/>
        </w:rPr>
        <w:t xml:space="preserve"> la resolución</w:t>
      </w:r>
      <w:r w:rsidR="000971DC" w:rsidRPr="00AC5004">
        <w:rPr>
          <w:rFonts w:ascii="Arial" w:eastAsia="Calibri" w:hAnsi="Arial" w:cs="Arial"/>
          <w:sz w:val="26"/>
          <w:szCs w:val="26"/>
        </w:rPr>
        <w:t xml:space="preserve"> de</w:t>
      </w:r>
      <w:r w:rsidR="00DE6719">
        <w:rPr>
          <w:rFonts w:ascii="Arial" w:eastAsia="Calibri" w:hAnsi="Arial" w:cs="Arial"/>
          <w:sz w:val="26"/>
          <w:szCs w:val="26"/>
        </w:rPr>
        <w:t xml:space="preserve"> 22 veintidós de junio</w:t>
      </w:r>
      <w:r w:rsidR="000971DC">
        <w:rPr>
          <w:rFonts w:ascii="Arial" w:eastAsia="Calibri" w:hAnsi="Arial" w:cs="Arial"/>
          <w:sz w:val="26"/>
          <w:szCs w:val="26"/>
        </w:rPr>
        <w:t xml:space="preserve"> de 2018 dos mil dieciocho</w:t>
      </w:r>
      <w:r w:rsidR="000971DC" w:rsidRPr="00AC5004">
        <w:rPr>
          <w:rFonts w:ascii="Arial" w:eastAsia="Calibri" w:hAnsi="Arial" w:cs="Arial"/>
          <w:sz w:val="26"/>
          <w:szCs w:val="26"/>
        </w:rPr>
        <w:t>, dictada</w:t>
      </w:r>
      <w:r w:rsidR="00DE6719">
        <w:rPr>
          <w:rFonts w:ascii="Arial" w:eastAsia="Calibri" w:hAnsi="Arial" w:cs="Arial"/>
          <w:sz w:val="26"/>
          <w:szCs w:val="26"/>
        </w:rPr>
        <w:t xml:space="preserve"> por el Magistrado de la Sexta</w:t>
      </w:r>
      <w:r w:rsidR="000971DC" w:rsidRPr="00AC5004">
        <w:rPr>
          <w:rFonts w:ascii="Arial" w:eastAsia="Calibri" w:hAnsi="Arial" w:cs="Arial"/>
          <w:sz w:val="26"/>
          <w:szCs w:val="26"/>
        </w:rPr>
        <w:t xml:space="preserve"> Sala Unitaria de Primera Instancia de este Tribunal, </w:t>
      </w:r>
      <w:r w:rsidR="00A74B15">
        <w:rPr>
          <w:rFonts w:ascii="Arial" w:eastAsia="Calibri" w:hAnsi="Arial" w:cs="Arial"/>
          <w:b/>
          <w:sz w:val="26"/>
          <w:szCs w:val="26"/>
        </w:rPr>
        <w:t>**********</w:t>
      </w:r>
      <w:r w:rsidR="00DE6719" w:rsidRPr="00FF6393">
        <w:rPr>
          <w:rFonts w:ascii="Arial" w:eastAsia="Calibri" w:hAnsi="Arial" w:cs="Arial"/>
          <w:sz w:val="26"/>
          <w:szCs w:val="26"/>
        </w:rPr>
        <w:t xml:space="preserve">representante legal de </w:t>
      </w:r>
      <w:r w:rsidR="00DE6719">
        <w:rPr>
          <w:rFonts w:ascii="Arial" w:eastAsia="Calibri" w:hAnsi="Arial" w:cs="Arial"/>
          <w:b/>
          <w:sz w:val="26"/>
          <w:szCs w:val="26"/>
        </w:rPr>
        <w:t>TRANSPORTES HUAXPALTEPEC S.A DE C.V</w:t>
      </w:r>
      <w:r w:rsidR="000971DC" w:rsidRPr="001D6D72">
        <w:rPr>
          <w:rFonts w:ascii="Arial" w:hAnsi="Arial" w:cs="Arial"/>
          <w:b/>
          <w:bCs/>
          <w:color w:val="000000"/>
          <w:sz w:val="26"/>
          <w:szCs w:val="26"/>
        </w:rPr>
        <w:t>,</w:t>
      </w:r>
      <w:r w:rsidR="000971DC" w:rsidRPr="00AC5004">
        <w:rPr>
          <w:rFonts w:ascii="Arial" w:hAnsi="Arial" w:cs="Arial"/>
          <w:b/>
          <w:bCs/>
          <w:color w:val="000000"/>
          <w:sz w:val="26"/>
          <w:szCs w:val="26"/>
        </w:rPr>
        <w:t xml:space="preserve"> </w:t>
      </w:r>
      <w:r w:rsidR="000971DC" w:rsidRPr="00AC5004">
        <w:rPr>
          <w:rFonts w:ascii="Arial" w:eastAsia="Calibri" w:hAnsi="Arial" w:cs="Arial"/>
          <w:sz w:val="26"/>
          <w:szCs w:val="26"/>
        </w:rPr>
        <w:t>interpone en su contra recurso de rev</w:t>
      </w:r>
      <w:r w:rsidR="000971DC">
        <w:rPr>
          <w:rFonts w:ascii="Arial" w:eastAsia="Calibri" w:hAnsi="Arial" w:cs="Arial"/>
          <w:sz w:val="26"/>
          <w:szCs w:val="26"/>
        </w:rPr>
        <w:t>isión</w:t>
      </w:r>
      <w:r>
        <w:rPr>
          <w:rFonts w:ascii="Arial" w:eastAsia="Calibri" w:hAnsi="Arial" w:cs="Arial"/>
          <w:sz w:val="26"/>
          <w:szCs w:val="26"/>
        </w:rPr>
        <w:t>.</w:t>
      </w:r>
    </w:p>
    <w:p w:rsidR="00CC45B4" w:rsidRDefault="00CC45B4" w:rsidP="000971DC">
      <w:pPr>
        <w:spacing w:line="360" w:lineRule="auto"/>
        <w:jc w:val="both"/>
        <w:rPr>
          <w:rFonts w:ascii="Arial" w:eastAsia="Calibri" w:hAnsi="Arial" w:cs="Arial"/>
          <w:sz w:val="26"/>
          <w:szCs w:val="26"/>
        </w:rPr>
      </w:pPr>
    </w:p>
    <w:p w:rsidR="00CC45B4" w:rsidRDefault="00CC45B4" w:rsidP="00124044">
      <w:pPr>
        <w:spacing w:line="360" w:lineRule="auto"/>
        <w:jc w:val="both"/>
        <w:rPr>
          <w:rFonts w:ascii="Arial" w:hAnsi="Arial" w:cs="Arial"/>
          <w:sz w:val="26"/>
          <w:szCs w:val="26"/>
        </w:rPr>
      </w:pPr>
      <w:r>
        <w:rPr>
          <w:rFonts w:ascii="Arial" w:hAnsi="Arial" w:cs="Arial"/>
          <w:b/>
          <w:bCs/>
          <w:sz w:val="26"/>
          <w:szCs w:val="26"/>
        </w:rPr>
        <w:tab/>
      </w:r>
      <w:r w:rsidR="00DE6719">
        <w:rPr>
          <w:rFonts w:ascii="Arial" w:hAnsi="Arial" w:cs="Arial"/>
          <w:b/>
          <w:bCs/>
          <w:sz w:val="26"/>
          <w:szCs w:val="26"/>
        </w:rPr>
        <w:t xml:space="preserve">SEGUNDO. </w:t>
      </w:r>
      <w:r w:rsidR="00DE6719">
        <w:rPr>
          <w:rFonts w:ascii="Arial" w:hAnsi="Arial" w:cs="Arial"/>
          <w:sz w:val="26"/>
          <w:szCs w:val="26"/>
        </w:rPr>
        <w:t xml:space="preserve">Los puntos resolutivos de la sentencia </w:t>
      </w:r>
      <w:r>
        <w:rPr>
          <w:rFonts w:ascii="Arial" w:hAnsi="Arial" w:cs="Arial"/>
          <w:sz w:val="26"/>
          <w:szCs w:val="26"/>
        </w:rPr>
        <w:t>recurrida son los siguientes:</w:t>
      </w:r>
    </w:p>
    <w:p w:rsidR="00CC45B4" w:rsidRDefault="00CC45B4" w:rsidP="00124044">
      <w:pPr>
        <w:spacing w:line="360" w:lineRule="auto"/>
        <w:ind w:left="851" w:right="758"/>
        <w:jc w:val="both"/>
        <w:rPr>
          <w:rFonts w:ascii="Arial" w:hAnsi="Arial" w:cs="Arial"/>
          <w:sz w:val="26"/>
          <w:szCs w:val="26"/>
        </w:rPr>
      </w:pPr>
    </w:p>
    <w:p w:rsidR="00DE6719" w:rsidRDefault="00CC45B4" w:rsidP="00124044">
      <w:pPr>
        <w:spacing w:line="360" w:lineRule="auto"/>
        <w:ind w:left="851" w:right="758"/>
        <w:jc w:val="both"/>
        <w:rPr>
          <w:rFonts w:ascii="Arial" w:eastAsia="Calibri" w:hAnsi="Arial" w:cs="Arial"/>
          <w:bCs/>
          <w:i/>
          <w:color w:val="000000" w:themeColor="text1"/>
        </w:rPr>
      </w:pPr>
      <w:r>
        <w:rPr>
          <w:rFonts w:ascii="Arial" w:eastAsia="Calibri" w:hAnsi="Arial" w:cs="Arial"/>
          <w:bCs/>
          <w:color w:val="000000" w:themeColor="text1"/>
        </w:rPr>
        <w:t xml:space="preserve"> </w:t>
      </w:r>
      <w:r w:rsidR="00DE6719">
        <w:rPr>
          <w:rFonts w:ascii="Arial" w:eastAsia="Calibri" w:hAnsi="Arial" w:cs="Arial"/>
          <w:bCs/>
          <w:color w:val="000000" w:themeColor="text1"/>
        </w:rPr>
        <w:t>“</w:t>
      </w:r>
      <w:r w:rsidR="00DE6719">
        <w:rPr>
          <w:rFonts w:ascii="Arial" w:eastAsia="Calibri" w:hAnsi="Arial" w:cs="Arial"/>
          <w:b/>
          <w:bCs/>
          <w:i/>
          <w:color w:val="000000" w:themeColor="text1"/>
        </w:rPr>
        <w:t xml:space="preserve">PRIMERO.- </w:t>
      </w:r>
      <w:r w:rsidR="00DE6719">
        <w:rPr>
          <w:rFonts w:ascii="Arial" w:eastAsia="Calibri" w:hAnsi="Arial" w:cs="Arial"/>
          <w:bCs/>
          <w:i/>
          <w:color w:val="000000" w:themeColor="text1"/>
        </w:rPr>
        <w:t>Esta Sexta Sala Unitaria fue competente para conocer y resolver del presente asunto. - - - - - - -</w:t>
      </w:r>
      <w:r w:rsidR="00ED7337">
        <w:rPr>
          <w:rFonts w:ascii="Arial" w:eastAsia="Calibri" w:hAnsi="Arial" w:cs="Arial"/>
          <w:bCs/>
          <w:i/>
          <w:color w:val="000000" w:themeColor="text1"/>
        </w:rPr>
        <w:t xml:space="preserve"> - - - - - - - - - - - </w:t>
      </w:r>
      <w:r w:rsidR="0059117F">
        <w:rPr>
          <w:rFonts w:ascii="Arial" w:eastAsia="Calibri" w:hAnsi="Arial" w:cs="Arial"/>
          <w:bCs/>
          <w:i/>
          <w:color w:val="000000" w:themeColor="text1"/>
        </w:rPr>
        <w:t xml:space="preserve"> - - - - -</w:t>
      </w:r>
      <w:r w:rsidR="00DE6719" w:rsidRPr="0028071E">
        <w:rPr>
          <w:rFonts w:ascii="Arial" w:eastAsia="Calibri" w:hAnsi="Arial" w:cs="Arial"/>
          <w:b/>
          <w:bCs/>
          <w:color w:val="000000" w:themeColor="text1"/>
        </w:rPr>
        <w:t>SEGUNDO.</w:t>
      </w:r>
      <w:r w:rsidR="00DE6719" w:rsidRPr="0028071E">
        <w:rPr>
          <w:rFonts w:ascii="Arial" w:eastAsia="Calibri" w:hAnsi="Arial" w:cs="Arial"/>
          <w:b/>
          <w:bCs/>
          <w:i/>
          <w:color w:val="000000" w:themeColor="text1"/>
        </w:rPr>
        <w:t>-</w:t>
      </w:r>
      <w:r w:rsidR="00ED7337">
        <w:rPr>
          <w:rFonts w:ascii="Arial" w:eastAsia="Calibri" w:hAnsi="Arial" w:cs="Arial"/>
          <w:b/>
          <w:bCs/>
          <w:i/>
          <w:color w:val="000000" w:themeColor="text1"/>
        </w:rPr>
        <w:t xml:space="preserve"> </w:t>
      </w:r>
      <w:r w:rsidR="00ED7337">
        <w:rPr>
          <w:rFonts w:ascii="Arial" w:eastAsia="Calibri" w:hAnsi="Arial" w:cs="Arial"/>
          <w:bCs/>
          <w:i/>
          <w:color w:val="000000" w:themeColor="text1"/>
        </w:rPr>
        <w:t>La personalidad y personería de las partes quedó acreditada en autos</w:t>
      </w:r>
      <w:r w:rsidR="00DE6719">
        <w:rPr>
          <w:rFonts w:ascii="Arial" w:eastAsia="Calibri" w:hAnsi="Arial" w:cs="Arial"/>
          <w:bCs/>
          <w:i/>
          <w:color w:val="000000" w:themeColor="text1"/>
        </w:rPr>
        <w:t xml:space="preserve">. - - - - - - - - - - - - - - - - - - - - - - - </w:t>
      </w:r>
      <w:r w:rsidR="00ED7337">
        <w:rPr>
          <w:rFonts w:ascii="Arial" w:eastAsia="Calibri" w:hAnsi="Arial" w:cs="Arial"/>
          <w:bCs/>
          <w:i/>
          <w:color w:val="000000" w:themeColor="text1"/>
        </w:rPr>
        <w:t xml:space="preserve">- - - - - - - - - </w:t>
      </w:r>
      <w:r w:rsidR="00DE6719" w:rsidRPr="0028071E">
        <w:rPr>
          <w:rFonts w:ascii="Arial" w:eastAsia="Calibri" w:hAnsi="Arial" w:cs="Arial"/>
          <w:b/>
          <w:bCs/>
          <w:i/>
          <w:color w:val="000000" w:themeColor="text1"/>
        </w:rPr>
        <w:t>TERCERO.-</w:t>
      </w:r>
      <w:r w:rsidR="00ED7337">
        <w:rPr>
          <w:rFonts w:ascii="Arial" w:eastAsia="Calibri" w:hAnsi="Arial" w:cs="Arial"/>
          <w:b/>
          <w:bCs/>
          <w:i/>
          <w:color w:val="000000" w:themeColor="text1"/>
        </w:rPr>
        <w:t xml:space="preserve"> </w:t>
      </w:r>
      <w:r w:rsidR="00ED7337">
        <w:rPr>
          <w:rFonts w:ascii="Arial" w:eastAsia="Calibri" w:hAnsi="Arial" w:cs="Arial"/>
          <w:bCs/>
          <w:i/>
          <w:color w:val="000000" w:themeColor="text1"/>
        </w:rPr>
        <w:t xml:space="preserve">No se actualizaron causales de improcedencia y </w:t>
      </w:r>
      <w:r w:rsidR="00ED7337">
        <w:rPr>
          <w:rFonts w:ascii="Arial" w:eastAsia="Calibri" w:hAnsi="Arial" w:cs="Arial"/>
          <w:bCs/>
          <w:i/>
          <w:color w:val="000000" w:themeColor="text1"/>
        </w:rPr>
        <w:lastRenderedPageBreak/>
        <w:t xml:space="preserve">sobreseimiento hechas valer por la autoridad demandada.- - - - - </w:t>
      </w:r>
      <w:r w:rsidR="00DE6719">
        <w:rPr>
          <w:rFonts w:ascii="Arial" w:eastAsia="Calibri" w:hAnsi="Arial" w:cs="Arial"/>
          <w:bCs/>
          <w:i/>
          <w:color w:val="000000" w:themeColor="text1"/>
        </w:rPr>
        <w:t xml:space="preserve"> </w:t>
      </w:r>
      <w:r w:rsidR="00ED7337" w:rsidRPr="00ED7337">
        <w:rPr>
          <w:rFonts w:ascii="Arial" w:eastAsia="Calibri" w:hAnsi="Arial" w:cs="Arial"/>
          <w:b/>
          <w:bCs/>
          <w:i/>
          <w:color w:val="000000" w:themeColor="text1"/>
        </w:rPr>
        <w:t>CUARTO.-</w:t>
      </w:r>
      <w:r w:rsidR="00ED7337">
        <w:rPr>
          <w:rFonts w:ascii="Arial" w:eastAsia="Calibri" w:hAnsi="Arial" w:cs="Arial"/>
          <w:b/>
          <w:bCs/>
          <w:i/>
          <w:color w:val="000000" w:themeColor="text1"/>
        </w:rPr>
        <w:t xml:space="preserve"> </w:t>
      </w:r>
      <w:r w:rsidR="00ED7337">
        <w:rPr>
          <w:rFonts w:ascii="Arial" w:eastAsia="Calibri" w:hAnsi="Arial" w:cs="Arial"/>
          <w:bCs/>
          <w:i/>
          <w:color w:val="000000" w:themeColor="text1"/>
        </w:rPr>
        <w:t xml:space="preserve">Por lo expuesto en el considerando Sexto de la presente sentencia se declara la </w:t>
      </w:r>
      <w:r w:rsidR="00ED7337" w:rsidRPr="00634C9B">
        <w:rPr>
          <w:rFonts w:ascii="Arial" w:eastAsia="Calibri" w:hAnsi="Arial" w:cs="Arial"/>
          <w:b/>
          <w:bCs/>
          <w:i/>
          <w:color w:val="000000" w:themeColor="text1"/>
        </w:rPr>
        <w:t>VALIDEZ</w:t>
      </w:r>
      <w:r w:rsidR="00ED7337">
        <w:rPr>
          <w:rFonts w:ascii="Arial" w:eastAsia="Calibri" w:hAnsi="Arial" w:cs="Arial"/>
          <w:bCs/>
          <w:i/>
          <w:color w:val="000000" w:themeColor="text1"/>
        </w:rPr>
        <w:t xml:space="preserve"> de la resolución de fecha 31 treinta y uno de agosto del 2017 dos mil diecisiete emitida por el Secretario de Vialidad y Transporte del Estado de Oaxaca. - -</w:t>
      </w:r>
      <w:r w:rsidR="0076798C">
        <w:rPr>
          <w:rFonts w:ascii="Arial" w:eastAsia="Calibri" w:hAnsi="Arial" w:cs="Arial"/>
          <w:bCs/>
          <w:i/>
          <w:color w:val="000000" w:themeColor="text1"/>
        </w:rPr>
        <w:t xml:space="preserve"> - - - - - - - -</w:t>
      </w:r>
      <w:r w:rsidR="00ED7337">
        <w:rPr>
          <w:rFonts w:ascii="Arial" w:eastAsia="Calibri" w:hAnsi="Arial" w:cs="Arial"/>
          <w:bCs/>
          <w:i/>
          <w:color w:val="000000" w:themeColor="text1"/>
        </w:rPr>
        <w:t xml:space="preserve">  </w:t>
      </w:r>
      <w:r w:rsidR="00ED7337" w:rsidRPr="00ED7337">
        <w:rPr>
          <w:rFonts w:ascii="Arial" w:eastAsia="Calibri" w:hAnsi="Arial" w:cs="Arial"/>
          <w:b/>
          <w:bCs/>
          <w:color w:val="000000" w:themeColor="text1"/>
        </w:rPr>
        <w:t>QUINTO.</w:t>
      </w:r>
      <w:r w:rsidR="00ED7337" w:rsidRPr="00ED7337">
        <w:rPr>
          <w:rFonts w:ascii="Arial" w:eastAsia="Calibri" w:hAnsi="Arial" w:cs="Arial"/>
          <w:b/>
          <w:bCs/>
          <w:i/>
          <w:color w:val="000000" w:themeColor="text1"/>
        </w:rPr>
        <w:t>-</w:t>
      </w:r>
      <w:r w:rsidR="00ED7337">
        <w:rPr>
          <w:rFonts w:ascii="Arial" w:eastAsia="Calibri" w:hAnsi="Arial" w:cs="Arial"/>
          <w:b/>
          <w:bCs/>
          <w:i/>
          <w:color w:val="000000" w:themeColor="text1"/>
        </w:rPr>
        <w:t xml:space="preserve"> </w:t>
      </w:r>
      <w:r w:rsidR="00ED7337" w:rsidRPr="00ED7337">
        <w:rPr>
          <w:rFonts w:ascii="Arial" w:eastAsia="Calibri" w:hAnsi="Arial" w:cs="Arial"/>
          <w:b/>
          <w:bCs/>
          <w:i/>
          <w:color w:val="000000" w:themeColor="text1"/>
        </w:rPr>
        <w:t>NOTIFÍQUESE PERSONALMENTE A</w:t>
      </w:r>
      <w:r w:rsidR="00ED7337">
        <w:rPr>
          <w:rFonts w:ascii="Arial" w:eastAsia="Calibri" w:hAnsi="Arial" w:cs="Arial"/>
          <w:b/>
          <w:bCs/>
          <w:i/>
          <w:color w:val="000000" w:themeColor="text1"/>
        </w:rPr>
        <w:t xml:space="preserve">L ACTOR Y POR OFICIO A LAS AUTORIDADES DEMANDADAS Y AL TERCERO AFECTADO,  </w:t>
      </w:r>
      <w:r w:rsidR="00ED7337">
        <w:rPr>
          <w:rFonts w:ascii="Arial" w:eastAsia="Calibri" w:hAnsi="Arial" w:cs="Arial"/>
          <w:bCs/>
          <w:i/>
          <w:color w:val="000000" w:themeColor="text1"/>
        </w:rPr>
        <w:t xml:space="preserve">con fundamento en los </w:t>
      </w:r>
      <w:r w:rsidR="00DE6719">
        <w:rPr>
          <w:rFonts w:ascii="Arial" w:eastAsia="Calibri" w:hAnsi="Arial" w:cs="Arial"/>
          <w:bCs/>
          <w:i/>
          <w:color w:val="000000" w:themeColor="text1"/>
        </w:rPr>
        <w:t>artículo</w:t>
      </w:r>
      <w:r w:rsidR="00ED7337">
        <w:rPr>
          <w:rFonts w:ascii="Arial" w:eastAsia="Calibri" w:hAnsi="Arial" w:cs="Arial"/>
          <w:bCs/>
          <w:i/>
          <w:color w:val="000000" w:themeColor="text1"/>
        </w:rPr>
        <w:t>s 142 fracción I y 143 fraccio</w:t>
      </w:r>
      <w:r w:rsidR="00DE6719">
        <w:rPr>
          <w:rFonts w:ascii="Arial" w:eastAsia="Calibri" w:hAnsi="Arial" w:cs="Arial"/>
          <w:bCs/>
          <w:i/>
          <w:color w:val="000000" w:themeColor="text1"/>
        </w:rPr>
        <w:t>n</w:t>
      </w:r>
      <w:r w:rsidR="00ED7337">
        <w:rPr>
          <w:rFonts w:ascii="Arial" w:eastAsia="Calibri" w:hAnsi="Arial" w:cs="Arial"/>
          <w:bCs/>
          <w:i/>
          <w:color w:val="000000" w:themeColor="text1"/>
        </w:rPr>
        <w:t>es</w:t>
      </w:r>
      <w:r w:rsidR="00DE6719">
        <w:rPr>
          <w:rFonts w:ascii="Arial" w:eastAsia="Calibri" w:hAnsi="Arial" w:cs="Arial"/>
          <w:bCs/>
          <w:i/>
          <w:color w:val="000000" w:themeColor="text1"/>
        </w:rPr>
        <w:t xml:space="preserve"> I</w:t>
      </w:r>
      <w:r w:rsidR="00ED7337">
        <w:rPr>
          <w:rFonts w:ascii="Arial" w:eastAsia="Calibri" w:hAnsi="Arial" w:cs="Arial"/>
          <w:bCs/>
          <w:i/>
          <w:color w:val="000000" w:themeColor="text1"/>
        </w:rPr>
        <w:t xml:space="preserve"> y II</w:t>
      </w:r>
      <w:r w:rsidR="00DE6719">
        <w:rPr>
          <w:rFonts w:ascii="Arial" w:eastAsia="Calibri" w:hAnsi="Arial" w:cs="Arial"/>
          <w:bCs/>
          <w:i/>
          <w:color w:val="000000" w:themeColor="text1"/>
        </w:rPr>
        <w:t>, de la Ley de Justicia Administrativa</w:t>
      </w:r>
      <w:r w:rsidR="00ED7337">
        <w:rPr>
          <w:rFonts w:ascii="Arial" w:eastAsia="Calibri" w:hAnsi="Arial" w:cs="Arial"/>
          <w:bCs/>
          <w:i/>
          <w:color w:val="000000" w:themeColor="text1"/>
        </w:rPr>
        <w:t xml:space="preserve"> y de Cuentas</w:t>
      </w:r>
      <w:r w:rsidR="00DE6719">
        <w:rPr>
          <w:rFonts w:ascii="Arial" w:eastAsia="Calibri" w:hAnsi="Arial" w:cs="Arial"/>
          <w:bCs/>
          <w:i/>
          <w:color w:val="000000" w:themeColor="text1"/>
        </w:rPr>
        <w:t xml:space="preserve"> para el Estado</w:t>
      </w:r>
      <w:r w:rsidR="00ED7337">
        <w:rPr>
          <w:rFonts w:ascii="Arial" w:eastAsia="Calibri" w:hAnsi="Arial" w:cs="Arial"/>
          <w:bCs/>
          <w:i/>
          <w:color w:val="000000" w:themeColor="text1"/>
        </w:rPr>
        <w:t xml:space="preserve"> de Oaxaca.-</w:t>
      </w:r>
      <w:r w:rsidR="00DE6719" w:rsidRPr="0028071E">
        <w:rPr>
          <w:rFonts w:ascii="Arial" w:eastAsia="Calibri" w:hAnsi="Arial" w:cs="Arial"/>
          <w:b/>
          <w:bCs/>
          <w:i/>
          <w:color w:val="000000" w:themeColor="text1"/>
        </w:rPr>
        <w:t xml:space="preserve"> CÚMPLASE</w:t>
      </w:r>
      <w:r w:rsidR="00DE6719">
        <w:rPr>
          <w:rFonts w:ascii="Arial" w:eastAsia="Calibri" w:hAnsi="Arial" w:cs="Arial"/>
          <w:bCs/>
          <w:i/>
          <w:color w:val="000000" w:themeColor="text1"/>
        </w:rPr>
        <w:t>.-</w:t>
      </w:r>
      <w:r w:rsidR="00ED7337">
        <w:rPr>
          <w:rFonts w:ascii="Arial" w:eastAsia="Calibri" w:hAnsi="Arial" w:cs="Arial"/>
          <w:bCs/>
          <w:i/>
          <w:color w:val="000000" w:themeColor="text1"/>
        </w:rPr>
        <w:t xml:space="preserve"> - - - - - - - - - - - - - - - - - - - </w:t>
      </w:r>
    </w:p>
    <w:p w:rsidR="00CC45B4" w:rsidRPr="00ED7337" w:rsidRDefault="00CC45B4" w:rsidP="00124044">
      <w:pPr>
        <w:spacing w:line="360" w:lineRule="auto"/>
        <w:ind w:left="851" w:right="758"/>
        <w:jc w:val="both"/>
        <w:rPr>
          <w:rFonts w:ascii="Arial" w:eastAsia="Calibri" w:hAnsi="Arial" w:cs="Arial"/>
          <w:b/>
          <w:bCs/>
          <w:i/>
          <w:color w:val="000000" w:themeColor="text1"/>
        </w:rPr>
      </w:pPr>
    </w:p>
    <w:p w:rsidR="00CC45B4" w:rsidRDefault="000971DC" w:rsidP="00CC45B4">
      <w:pPr>
        <w:spacing w:line="360" w:lineRule="auto"/>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p>
    <w:p w:rsidR="00CC45B4" w:rsidRDefault="00CC45B4" w:rsidP="00CC45B4">
      <w:pPr>
        <w:spacing w:line="360" w:lineRule="auto"/>
        <w:jc w:val="center"/>
        <w:rPr>
          <w:rFonts w:ascii="Arial" w:eastAsia="Times New Roman" w:hAnsi="Arial" w:cs="Arial"/>
          <w:b/>
          <w:bCs/>
          <w:sz w:val="26"/>
          <w:szCs w:val="26"/>
          <w:lang w:eastAsia="es-ES"/>
        </w:rPr>
      </w:pPr>
    </w:p>
    <w:p w:rsidR="00CC45B4" w:rsidRDefault="00CC45B4" w:rsidP="00897661">
      <w:pPr>
        <w:spacing w:line="360" w:lineRule="auto"/>
        <w:jc w:val="both"/>
        <w:rPr>
          <w:rFonts w:ascii="Arial" w:hAnsi="Arial" w:cs="Arial"/>
          <w:bCs/>
          <w:iCs/>
          <w:sz w:val="26"/>
          <w:szCs w:val="26"/>
          <w:lang w:eastAsia="es-ES"/>
        </w:rPr>
      </w:pPr>
      <w:r>
        <w:rPr>
          <w:rFonts w:ascii="Arial" w:hAnsi="Arial" w:cs="Arial"/>
          <w:b/>
          <w:bCs/>
          <w:iCs/>
          <w:sz w:val="26"/>
          <w:szCs w:val="26"/>
          <w:lang w:eastAsia="es-ES"/>
        </w:rPr>
        <w:tab/>
      </w:r>
      <w:r w:rsidR="000971DC" w:rsidRPr="008A5628">
        <w:rPr>
          <w:rFonts w:ascii="Arial" w:hAnsi="Arial" w:cs="Arial"/>
          <w:b/>
          <w:bCs/>
          <w:iCs/>
          <w:sz w:val="26"/>
          <w:szCs w:val="26"/>
          <w:lang w:eastAsia="es-ES"/>
        </w:rPr>
        <w:t xml:space="preserve">PRIMERO. </w:t>
      </w:r>
      <w:r w:rsidR="000971DC">
        <w:rPr>
          <w:rFonts w:ascii="Arial" w:hAnsi="Arial" w:cs="Arial"/>
          <w:bCs/>
          <w:iCs/>
          <w:sz w:val="26"/>
          <w:szCs w:val="26"/>
        </w:rPr>
        <w:t xml:space="preserve">Esta Sala Superior es competente para conocer del presente asunto, de </w:t>
      </w:r>
      <w:r w:rsidR="000971DC">
        <w:rPr>
          <w:rFonts w:ascii="Arial" w:hAnsi="Arial" w:cs="Arial"/>
          <w:bCs/>
          <w:iCs/>
          <w:sz w:val="26"/>
          <w:szCs w:val="26"/>
          <w:lang w:eastAsia="es-ES"/>
        </w:rPr>
        <w:t xml:space="preserve">conformidad con lo dispuesto por </w:t>
      </w:r>
      <w:r w:rsidR="0065500D">
        <w:rPr>
          <w:rFonts w:ascii="Arial" w:hAnsi="Arial" w:cs="Arial"/>
          <w:bCs/>
          <w:iCs/>
          <w:sz w:val="26"/>
          <w:szCs w:val="26"/>
          <w:lang w:eastAsia="es-ES"/>
        </w:rPr>
        <w:t xml:space="preserve">el artículo 114 QUÁTER, párrafo tercero de la Constitución Política del Estado Libre y Soberano de Oaxaca, así como en los artículos 125, 127, 129, 130 fracción I, 131, 231, 236 y 238 </w:t>
      </w:r>
      <w:r w:rsidR="0065500D">
        <w:rPr>
          <w:rFonts w:ascii="Arial" w:hAnsi="Arial" w:cs="Arial"/>
          <w:bCs/>
          <w:iCs/>
          <w:sz w:val="26"/>
          <w:szCs w:val="26"/>
        </w:rPr>
        <w:t>de la Ley de Procedimiento y Justicia Administrativa para el Estado de Oaxaca,</w:t>
      </w:r>
      <w:r w:rsidR="000971DC">
        <w:rPr>
          <w:rFonts w:ascii="Arial" w:hAnsi="Arial" w:cs="Arial"/>
          <w:bCs/>
          <w:iCs/>
          <w:sz w:val="26"/>
          <w:szCs w:val="26"/>
          <w:lang w:eastAsia="es-ES"/>
        </w:rPr>
        <w:t xml:space="preserve"> </w:t>
      </w:r>
      <w:r w:rsidR="000971DC" w:rsidRPr="008A5628">
        <w:rPr>
          <w:rFonts w:ascii="Arial" w:hAnsi="Arial" w:cs="Arial"/>
          <w:bCs/>
          <w:iCs/>
          <w:sz w:val="26"/>
          <w:szCs w:val="26"/>
          <w:lang w:eastAsia="es-ES"/>
        </w:rPr>
        <w:t>dado que se trata de un Recurso de R</w:t>
      </w:r>
      <w:r w:rsidR="000971DC">
        <w:rPr>
          <w:rFonts w:ascii="Arial" w:hAnsi="Arial" w:cs="Arial"/>
          <w:bCs/>
          <w:iCs/>
          <w:sz w:val="26"/>
          <w:szCs w:val="26"/>
          <w:lang w:eastAsia="es-ES"/>
        </w:rPr>
        <w:t>evisión interpuesto en contra d</w:t>
      </w:r>
      <w:r w:rsidR="009A7D75">
        <w:rPr>
          <w:rFonts w:ascii="Arial" w:hAnsi="Arial" w:cs="Arial"/>
          <w:bCs/>
          <w:iCs/>
          <w:sz w:val="26"/>
          <w:szCs w:val="26"/>
          <w:lang w:eastAsia="es-ES"/>
        </w:rPr>
        <w:t>e la resolución de 22 veintidós de junio</w:t>
      </w:r>
      <w:r w:rsidR="000971DC">
        <w:rPr>
          <w:rFonts w:ascii="Arial" w:hAnsi="Arial" w:cs="Arial"/>
          <w:bCs/>
          <w:iCs/>
          <w:sz w:val="26"/>
          <w:szCs w:val="26"/>
          <w:lang w:eastAsia="es-ES"/>
        </w:rPr>
        <w:t xml:space="preserve"> de 2018 dos mil dieciocho,</w:t>
      </w:r>
      <w:r w:rsidR="009A7D75">
        <w:rPr>
          <w:rFonts w:ascii="Arial" w:hAnsi="Arial" w:cs="Arial"/>
          <w:bCs/>
          <w:iCs/>
          <w:sz w:val="26"/>
          <w:szCs w:val="26"/>
          <w:lang w:eastAsia="es-ES"/>
        </w:rPr>
        <w:t xml:space="preserve"> dictada por el Magistrado de la Sexta</w:t>
      </w:r>
      <w:r w:rsidR="000971DC" w:rsidRPr="008A5628">
        <w:rPr>
          <w:rFonts w:ascii="Arial" w:hAnsi="Arial" w:cs="Arial"/>
          <w:bCs/>
          <w:iCs/>
          <w:sz w:val="26"/>
          <w:szCs w:val="26"/>
          <w:lang w:eastAsia="es-ES"/>
        </w:rPr>
        <w:t xml:space="preserve"> Sala Unitaria de Primera Instancia de este Tribunal en el juicio </w:t>
      </w:r>
      <w:r w:rsidR="009A7D75">
        <w:rPr>
          <w:rFonts w:ascii="Arial" w:hAnsi="Arial" w:cs="Arial"/>
          <w:b/>
          <w:bCs/>
          <w:iCs/>
          <w:sz w:val="26"/>
          <w:szCs w:val="26"/>
          <w:lang w:eastAsia="es-ES"/>
        </w:rPr>
        <w:t>0118/2017</w:t>
      </w:r>
      <w:r w:rsidR="000971DC" w:rsidRPr="008A5628">
        <w:rPr>
          <w:rFonts w:ascii="Arial" w:hAnsi="Arial" w:cs="Arial"/>
          <w:b/>
          <w:bCs/>
          <w:iCs/>
          <w:sz w:val="26"/>
          <w:szCs w:val="26"/>
          <w:lang w:eastAsia="es-ES"/>
        </w:rPr>
        <w:t>.</w:t>
      </w:r>
    </w:p>
    <w:p w:rsidR="00CC45B4" w:rsidRDefault="00CC45B4" w:rsidP="00897661">
      <w:pPr>
        <w:spacing w:line="360" w:lineRule="auto"/>
        <w:jc w:val="both"/>
        <w:rPr>
          <w:rFonts w:ascii="Arial" w:hAnsi="Arial" w:cs="Arial"/>
          <w:bCs/>
          <w:color w:val="000000" w:themeColor="text1"/>
          <w:sz w:val="26"/>
          <w:szCs w:val="26"/>
        </w:rPr>
      </w:pPr>
      <w:r>
        <w:rPr>
          <w:rFonts w:ascii="Arial" w:hAnsi="Arial" w:cs="Arial"/>
          <w:b/>
          <w:bCs/>
          <w:sz w:val="26"/>
          <w:szCs w:val="26"/>
        </w:rPr>
        <w:tab/>
      </w:r>
      <w:r w:rsidR="000971DC" w:rsidRPr="008A5628">
        <w:rPr>
          <w:rFonts w:ascii="Arial" w:hAnsi="Arial" w:cs="Arial"/>
          <w:b/>
          <w:bCs/>
          <w:sz w:val="26"/>
          <w:szCs w:val="26"/>
        </w:rPr>
        <w:t>SEGUNDO.</w:t>
      </w:r>
      <w:r w:rsidR="000971DC" w:rsidRPr="008A5628">
        <w:rPr>
          <w:rFonts w:ascii="Arial" w:hAnsi="Arial" w:cs="Arial"/>
          <w:bCs/>
          <w:sz w:val="26"/>
          <w:szCs w:val="26"/>
        </w:rPr>
        <w:t xml:space="preserve"> </w:t>
      </w:r>
      <w:r w:rsidR="0059117F">
        <w:rPr>
          <w:rFonts w:ascii="Arial" w:hAnsi="Arial" w:cs="Arial"/>
          <w:bCs/>
          <w:color w:val="000000" w:themeColor="text1"/>
          <w:sz w:val="26"/>
          <w:szCs w:val="26"/>
        </w:rPr>
        <w:t>Previo al análisis de los motivos de inconformidad alegados, cabe resaltar que en el juicio contencioso administrativo es regla elemental, la consistente en examinar en primer lugar las violaciones alegadas o aquellas que se adv</w:t>
      </w:r>
      <w:r w:rsidR="00DC02D5">
        <w:rPr>
          <w:rFonts w:ascii="Arial" w:hAnsi="Arial" w:cs="Arial"/>
          <w:bCs/>
          <w:color w:val="000000" w:themeColor="text1"/>
          <w:sz w:val="26"/>
          <w:szCs w:val="26"/>
        </w:rPr>
        <w:t>iertan de oficio por el Tribuna,</w:t>
      </w:r>
      <w:r w:rsidR="0059117F">
        <w:rPr>
          <w:rFonts w:ascii="Arial" w:hAnsi="Arial" w:cs="Arial"/>
          <w:bCs/>
          <w:color w:val="000000" w:themeColor="text1"/>
          <w:sz w:val="26"/>
          <w:szCs w:val="26"/>
        </w:rPr>
        <w:t xml:space="preserve"> acorde a lo dispuesto por el artículo 2</w:t>
      </w:r>
      <w:r w:rsidR="00DC02D5">
        <w:rPr>
          <w:rFonts w:ascii="Arial" w:hAnsi="Arial" w:cs="Arial"/>
          <w:bCs/>
          <w:color w:val="000000" w:themeColor="text1"/>
          <w:sz w:val="26"/>
          <w:szCs w:val="26"/>
        </w:rPr>
        <w:t>3</w:t>
      </w:r>
      <w:r w:rsidR="0059117F">
        <w:rPr>
          <w:rFonts w:ascii="Arial" w:hAnsi="Arial" w:cs="Arial"/>
          <w:bCs/>
          <w:color w:val="000000" w:themeColor="text1"/>
          <w:sz w:val="26"/>
          <w:szCs w:val="26"/>
        </w:rPr>
        <w:t>6, fracción VI</w:t>
      </w:r>
      <w:r w:rsidR="00DC02D5">
        <w:rPr>
          <w:rFonts w:ascii="Arial" w:hAnsi="Arial" w:cs="Arial"/>
          <w:bCs/>
          <w:color w:val="000000" w:themeColor="text1"/>
          <w:sz w:val="26"/>
          <w:szCs w:val="26"/>
        </w:rPr>
        <w:t>I</w:t>
      </w:r>
      <w:r w:rsidR="0059117F">
        <w:rPr>
          <w:rFonts w:ascii="Arial" w:hAnsi="Arial" w:cs="Arial"/>
          <w:bCs/>
          <w:color w:val="000000" w:themeColor="text1"/>
          <w:sz w:val="26"/>
          <w:szCs w:val="26"/>
        </w:rPr>
        <w:t xml:space="preserve">I de la Ley de </w:t>
      </w:r>
      <w:r w:rsidR="00DC02D5">
        <w:rPr>
          <w:rFonts w:ascii="Arial" w:hAnsi="Arial" w:cs="Arial"/>
          <w:bCs/>
          <w:color w:val="000000" w:themeColor="text1"/>
          <w:sz w:val="26"/>
          <w:szCs w:val="26"/>
        </w:rPr>
        <w:t xml:space="preserve">Procedimiento y </w:t>
      </w:r>
      <w:r w:rsidR="0059117F">
        <w:rPr>
          <w:rFonts w:ascii="Arial" w:hAnsi="Arial" w:cs="Arial"/>
          <w:bCs/>
          <w:color w:val="000000" w:themeColor="text1"/>
          <w:sz w:val="26"/>
          <w:szCs w:val="26"/>
        </w:rPr>
        <w:t>Justicia Administrativa para el Estado de Oaxaca</w:t>
      </w:r>
      <w:r>
        <w:rPr>
          <w:rFonts w:ascii="Arial" w:hAnsi="Arial" w:cs="Arial"/>
          <w:bCs/>
          <w:color w:val="000000" w:themeColor="text1"/>
          <w:sz w:val="26"/>
          <w:szCs w:val="26"/>
        </w:rPr>
        <w:t>.</w:t>
      </w:r>
    </w:p>
    <w:p w:rsidR="00CC45B4" w:rsidRDefault="00CC45B4" w:rsidP="00897661">
      <w:pPr>
        <w:spacing w:line="360" w:lineRule="auto"/>
        <w:jc w:val="both"/>
        <w:rPr>
          <w:rFonts w:ascii="Arial" w:hAnsi="Arial" w:cs="Arial"/>
          <w:bCs/>
          <w:color w:val="000000" w:themeColor="text1"/>
          <w:sz w:val="26"/>
          <w:szCs w:val="26"/>
        </w:rPr>
      </w:pPr>
    </w:p>
    <w:p w:rsidR="00CC45B4" w:rsidRDefault="00CC45B4" w:rsidP="00897661">
      <w:pPr>
        <w:spacing w:line="360" w:lineRule="auto"/>
        <w:jc w:val="both"/>
        <w:rPr>
          <w:rFonts w:ascii="Arial" w:hAnsi="Arial" w:cs="Arial"/>
          <w:bCs/>
          <w:sz w:val="26"/>
          <w:szCs w:val="26"/>
        </w:rPr>
      </w:pPr>
      <w:r>
        <w:rPr>
          <w:rFonts w:ascii="Arial" w:hAnsi="Arial" w:cs="Arial"/>
          <w:bCs/>
          <w:color w:val="000000" w:themeColor="text1"/>
          <w:sz w:val="26"/>
          <w:szCs w:val="26"/>
        </w:rPr>
        <w:tab/>
      </w:r>
      <w:r w:rsidR="0059117F">
        <w:rPr>
          <w:rFonts w:ascii="Arial" w:hAnsi="Arial" w:cs="Arial"/>
          <w:bCs/>
          <w:sz w:val="26"/>
          <w:szCs w:val="26"/>
        </w:rPr>
        <w:t>En el mismo sentido se basa el criterio contenido en la jurisprudencia XIX.1o.P.T. J/14, que por identidad jurídica resulta aplicable, la cual es sostenida por el Primer Tribunal Colegiado en materias Penal y de Trabajo del Décimo Noveno Circuito, publicada en el Semanario Judicial de la Federación y su Gaceta, Novena Época, página 3103, Tomo XXXIII,  enero de 2011, materia común,</w:t>
      </w:r>
      <w:r>
        <w:rPr>
          <w:rFonts w:ascii="Arial" w:hAnsi="Arial" w:cs="Arial"/>
          <w:bCs/>
          <w:sz w:val="26"/>
          <w:szCs w:val="26"/>
        </w:rPr>
        <w:t xml:space="preserve"> de rubro y texto siguientes: </w:t>
      </w:r>
    </w:p>
    <w:p w:rsidR="0059117F" w:rsidRDefault="0059117F" w:rsidP="00897661">
      <w:pPr>
        <w:spacing w:line="360" w:lineRule="auto"/>
        <w:jc w:val="both"/>
        <w:rPr>
          <w:rFonts w:ascii="Arial" w:hAnsi="Arial" w:cs="Arial"/>
          <w:bCs/>
          <w:sz w:val="26"/>
          <w:szCs w:val="26"/>
        </w:rPr>
      </w:pPr>
      <w:r>
        <w:rPr>
          <w:rFonts w:ascii="Arial" w:hAnsi="Arial" w:cs="Arial"/>
          <w:bCs/>
          <w:sz w:val="26"/>
          <w:szCs w:val="26"/>
        </w:rPr>
        <w:t xml:space="preserve"> </w:t>
      </w:r>
    </w:p>
    <w:p w:rsidR="0059117F" w:rsidRPr="00273BD8" w:rsidRDefault="0059117F" w:rsidP="00407D84">
      <w:pPr>
        <w:spacing w:after="120" w:line="360" w:lineRule="auto"/>
        <w:ind w:left="709" w:right="616"/>
        <w:jc w:val="both"/>
        <w:rPr>
          <w:rFonts w:ascii="Arial" w:hAnsi="Arial" w:cs="Arial"/>
          <w:b/>
          <w:bCs/>
          <w:i/>
        </w:rPr>
      </w:pPr>
      <w:r w:rsidRPr="00273BD8">
        <w:rPr>
          <w:rFonts w:ascii="Arial" w:hAnsi="Arial" w:cs="Arial"/>
          <w:b/>
          <w:bCs/>
          <w:i/>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273BD8">
        <w:rPr>
          <w:rFonts w:ascii="Arial" w:hAnsi="Arial" w:cs="Arial"/>
          <w:bCs/>
          <w:i/>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00CC45B4">
        <w:rPr>
          <w:rFonts w:ascii="Arial" w:hAnsi="Arial" w:cs="Arial"/>
          <w:bCs/>
          <w:i/>
        </w:rPr>
        <w:t xml:space="preserve"> </w:t>
      </w:r>
    </w:p>
    <w:p w:rsidR="00CC45B4" w:rsidRDefault="00CC45B4" w:rsidP="00616DC9">
      <w:pPr>
        <w:spacing w:line="360" w:lineRule="auto"/>
        <w:jc w:val="both"/>
        <w:rPr>
          <w:rFonts w:ascii="Arial" w:hAnsi="Arial" w:cs="Arial"/>
          <w:bCs/>
          <w:sz w:val="26"/>
          <w:szCs w:val="26"/>
        </w:rPr>
      </w:pPr>
      <w:r>
        <w:rPr>
          <w:rFonts w:ascii="Arial" w:hAnsi="Arial" w:cs="Arial"/>
          <w:bCs/>
          <w:color w:val="000000"/>
          <w:sz w:val="26"/>
          <w:szCs w:val="26"/>
        </w:rPr>
        <w:tab/>
      </w:r>
      <w:r w:rsidR="0059117F">
        <w:rPr>
          <w:rFonts w:ascii="Arial" w:hAnsi="Arial" w:cs="Arial"/>
          <w:bCs/>
          <w:color w:val="000000"/>
          <w:sz w:val="26"/>
          <w:szCs w:val="26"/>
        </w:rPr>
        <w:t xml:space="preserve">Del estudio a las constancias que integran el expediente de primera instancia, que merecen pleno valor probatorio de conformidad con lo dispuesto en la fracción I del artículo </w:t>
      </w:r>
      <w:r w:rsidR="007B2768">
        <w:rPr>
          <w:rFonts w:ascii="Arial" w:hAnsi="Arial" w:cs="Arial"/>
          <w:bCs/>
          <w:color w:val="000000"/>
          <w:sz w:val="26"/>
          <w:szCs w:val="26"/>
        </w:rPr>
        <w:t>20</w:t>
      </w:r>
      <w:r w:rsidR="0059117F">
        <w:rPr>
          <w:rFonts w:ascii="Arial" w:hAnsi="Arial" w:cs="Arial"/>
          <w:bCs/>
          <w:color w:val="000000"/>
          <w:sz w:val="26"/>
          <w:szCs w:val="26"/>
        </w:rPr>
        <w:t xml:space="preserve">3 de la Ley de </w:t>
      </w:r>
      <w:r w:rsidR="007B2768">
        <w:rPr>
          <w:rFonts w:ascii="Arial" w:hAnsi="Arial" w:cs="Arial"/>
          <w:bCs/>
          <w:color w:val="000000"/>
          <w:sz w:val="26"/>
          <w:szCs w:val="26"/>
        </w:rPr>
        <w:t xml:space="preserve">Procedimiento y </w:t>
      </w:r>
      <w:r w:rsidR="0059117F">
        <w:rPr>
          <w:rFonts w:ascii="Arial" w:hAnsi="Arial" w:cs="Arial"/>
          <w:bCs/>
          <w:color w:val="000000"/>
          <w:sz w:val="26"/>
          <w:szCs w:val="26"/>
        </w:rPr>
        <w:t xml:space="preserve">Justicia Administrativa para el Estado de Oaxaca, por tratarse de actuaciones judiciales, </w:t>
      </w:r>
      <w:r w:rsidR="0059117F">
        <w:rPr>
          <w:rFonts w:ascii="Arial" w:hAnsi="Arial" w:cs="Arial"/>
          <w:bCs/>
          <w:sz w:val="26"/>
          <w:szCs w:val="26"/>
        </w:rPr>
        <w:t>se advierte violación a las normas fundamentales que regulan el procedimiento</w:t>
      </w:r>
      <w:r w:rsidR="00850568">
        <w:rPr>
          <w:rFonts w:ascii="Arial" w:hAnsi="Arial" w:cs="Arial"/>
          <w:bCs/>
          <w:sz w:val="26"/>
          <w:szCs w:val="26"/>
        </w:rPr>
        <w:t>, d</w:t>
      </w:r>
      <w:r w:rsidR="0059117F">
        <w:rPr>
          <w:rFonts w:ascii="Arial" w:hAnsi="Arial" w:cs="Arial"/>
          <w:bCs/>
          <w:sz w:val="26"/>
          <w:szCs w:val="26"/>
        </w:rPr>
        <w:t xml:space="preserve">ebido </w:t>
      </w:r>
      <w:r w:rsidR="00850568">
        <w:rPr>
          <w:rFonts w:ascii="Arial" w:hAnsi="Arial" w:cs="Arial"/>
          <w:bCs/>
          <w:sz w:val="26"/>
          <w:szCs w:val="26"/>
        </w:rPr>
        <w:t xml:space="preserve">a </w:t>
      </w:r>
      <w:r>
        <w:rPr>
          <w:rFonts w:ascii="Arial" w:hAnsi="Arial" w:cs="Arial"/>
          <w:bCs/>
          <w:sz w:val="26"/>
          <w:szCs w:val="26"/>
        </w:rPr>
        <w:t>las siguientes consideraciones:</w:t>
      </w:r>
    </w:p>
    <w:p w:rsidR="00850568" w:rsidRDefault="00850568" w:rsidP="00616DC9">
      <w:pPr>
        <w:spacing w:line="360" w:lineRule="auto"/>
        <w:jc w:val="both"/>
        <w:rPr>
          <w:rFonts w:ascii="Arial" w:hAnsi="Arial" w:cs="Arial"/>
          <w:bCs/>
          <w:sz w:val="26"/>
          <w:szCs w:val="26"/>
        </w:rPr>
      </w:pPr>
      <w:r>
        <w:rPr>
          <w:rFonts w:ascii="Arial" w:hAnsi="Arial" w:cs="Arial"/>
          <w:bCs/>
          <w:sz w:val="26"/>
          <w:szCs w:val="26"/>
        </w:rPr>
        <w:t xml:space="preserve"> </w:t>
      </w:r>
    </w:p>
    <w:p w:rsidR="00850568" w:rsidRDefault="00850568" w:rsidP="00616DC9">
      <w:pPr>
        <w:pStyle w:val="Prrafodelista"/>
        <w:numPr>
          <w:ilvl w:val="0"/>
          <w:numId w:val="5"/>
        </w:numPr>
        <w:spacing w:line="360" w:lineRule="auto"/>
        <w:ind w:firstLine="840"/>
        <w:jc w:val="both"/>
        <w:rPr>
          <w:rFonts w:ascii="Arial" w:hAnsi="Arial" w:cs="Arial"/>
          <w:bCs/>
          <w:sz w:val="26"/>
          <w:szCs w:val="26"/>
        </w:rPr>
      </w:pPr>
      <w:r>
        <w:rPr>
          <w:rFonts w:ascii="Arial" w:hAnsi="Arial" w:cs="Arial"/>
          <w:bCs/>
          <w:sz w:val="26"/>
          <w:szCs w:val="26"/>
        </w:rPr>
        <w:t>M</w:t>
      </w:r>
      <w:r w:rsidR="0059117F" w:rsidRPr="00850568">
        <w:rPr>
          <w:rFonts w:ascii="Arial" w:hAnsi="Arial" w:cs="Arial"/>
          <w:bCs/>
          <w:sz w:val="26"/>
          <w:szCs w:val="26"/>
        </w:rPr>
        <w:t xml:space="preserve">ediante acuerdo de </w:t>
      </w:r>
      <w:r w:rsidR="007B2768" w:rsidRPr="00850568">
        <w:rPr>
          <w:rFonts w:ascii="Arial" w:hAnsi="Arial" w:cs="Arial"/>
          <w:bCs/>
          <w:sz w:val="26"/>
          <w:szCs w:val="26"/>
        </w:rPr>
        <w:t>27 veintisiete de marzo de 2018 dos mil dieciocho, se tuvo al tercero afectado apersonándose al juicio</w:t>
      </w:r>
      <w:r w:rsidR="0001639A" w:rsidRPr="00850568">
        <w:rPr>
          <w:rFonts w:ascii="Arial" w:hAnsi="Arial" w:cs="Arial"/>
          <w:bCs/>
          <w:sz w:val="26"/>
          <w:szCs w:val="26"/>
        </w:rPr>
        <w:t>, en dicho proveído se ordenó reservar sobre la admisión de</w:t>
      </w:r>
      <w:r w:rsidR="00AC3B64" w:rsidRPr="00850568">
        <w:rPr>
          <w:rFonts w:ascii="Arial" w:hAnsi="Arial" w:cs="Arial"/>
          <w:bCs/>
          <w:sz w:val="26"/>
          <w:szCs w:val="26"/>
        </w:rPr>
        <w:t xml:space="preserve"> la prueba testimonial ofrecida, y se</w:t>
      </w:r>
      <w:r w:rsidR="007B2768" w:rsidRPr="00850568">
        <w:rPr>
          <w:rFonts w:ascii="Arial" w:hAnsi="Arial" w:cs="Arial"/>
          <w:bCs/>
          <w:sz w:val="26"/>
          <w:szCs w:val="26"/>
        </w:rPr>
        <w:t xml:space="preserve"> le requirió </w:t>
      </w:r>
      <w:r w:rsidR="00AC3B64" w:rsidRPr="00850568">
        <w:rPr>
          <w:rFonts w:ascii="Arial" w:hAnsi="Arial" w:cs="Arial"/>
          <w:bCs/>
          <w:sz w:val="26"/>
          <w:szCs w:val="26"/>
        </w:rPr>
        <w:t>para que exhibiera el interrogatorio correspondiente</w:t>
      </w:r>
      <w:r w:rsidR="007A6FBE" w:rsidRPr="00850568">
        <w:rPr>
          <w:rFonts w:ascii="Arial" w:hAnsi="Arial" w:cs="Arial"/>
          <w:bCs/>
          <w:sz w:val="26"/>
          <w:szCs w:val="26"/>
        </w:rPr>
        <w:t>,</w:t>
      </w:r>
      <w:r w:rsidR="00AC3B64" w:rsidRPr="00850568">
        <w:rPr>
          <w:rFonts w:ascii="Arial" w:hAnsi="Arial" w:cs="Arial"/>
          <w:bCs/>
          <w:sz w:val="26"/>
          <w:szCs w:val="26"/>
        </w:rPr>
        <w:t xml:space="preserve"> debidamente firmado y copia para cada una de las partes en el juicio</w:t>
      </w:r>
      <w:r w:rsidR="00A70A38" w:rsidRPr="00850568">
        <w:rPr>
          <w:rFonts w:ascii="Arial" w:hAnsi="Arial" w:cs="Arial"/>
          <w:bCs/>
          <w:sz w:val="26"/>
          <w:szCs w:val="26"/>
        </w:rPr>
        <w:t xml:space="preserve"> </w:t>
      </w:r>
    </w:p>
    <w:p w:rsidR="00850568" w:rsidRDefault="00850568" w:rsidP="00850568">
      <w:pPr>
        <w:pStyle w:val="Prrafodelista"/>
        <w:numPr>
          <w:ilvl w:val="0"/>
          <w:numId w:val="5"/>
        </w:numPr>
        <w:spacing w:after="120" w:line="360" w:lineRule="auto"/>
        <w:ind w:firstLine="840"/>
        <w:jc w:val="both"/>
        <w:rPr>
          <w:rFonts w:ascii="Arial" w:hAnsi="Arial" w:cs="Arial"/>
          <w:bCs/>
          <w:sz w:val="26"/>
          <w:szCs w:val="26"/>
        </w:rPr>
      </w:pPr>
      <w:r>
        <w:rPr>
          <w:rFonts w:ascii="Arial" w:hAnsi="Arial" w:cs="Arial"/>
          <w:bCs/>
          <w:sz w:val="26"/>
          <w:szCs w:val="26"/>
        </w:rPr>
        <w:t>E</w:t>
      </w:r>
      <w:r w:rsidR="00A70A38" w:rsidRPr="00850568">
        <w:rPr>
          <w:rFonts w:ascii="Arial" w:hAnsi="Arial" w:cs="Arial"/>
          <w:bCs/>
          <w:sz w:val="26"/>
          <w:szCs w:val="26"/>
        </w:rPr>
        <w:t xml:space="preserve">n </w:t>
      </w:r>
      <w:r>
        <w:rPr>
          <w:rFonts w:ascii="Arial" w:hAnsi="Arial" w:cs="Arial"/>
          <w:bCs/>
          <w:sz w:val="26"/>
          <w:szCs w:val="26"/>
        </w:rPr>
        <w:t xml:space="preserve">dicho acuerdo, </w:t>
      </w:r>
      <w:r w:rsidRPr="00850568">
        <w:rPr>
          <w:rFonts w:ascii="Arial" w:hAnsi="Arial" w:cs="Arial"/>
          <w:bCs/>
          <w:sz w:val="26"/>
          <w:szCs w:val="26"/>
        </w:rPr>
        <w:t>se determinó procedente</w:t>
      </w:r>
      <w:r>
        <w:rPr>
          <w:rFonts w:ascii="Arial" w:hAnsi="Arial" w:cs="Arial"/>
          <w:bCs/>
          <w:sz w:val="26"/>
          <w:szCs w:val="26"/>
        </w:rPr>
        <w:t xml:space="preserve"> </w:t>
      </w:r>
      <w:r w:rsidR="00A70A38" w:rsidRPr="00850568">
        <w:rPr>
          <w:rFonts w:ascii="Arial" w:hAnsi="Arial" w:cs="Arial"/>
          <w:bCs/>
          <w:sz w:val="26"/>
          <w:szCs w:val="26"/>
        </w:rPr>
        <w:t>la objeción de pruebas que efectúo el tercero perjudicad</w:t>
      </w:r>
      <w:r>
        <w:rPr>
          <w:rFonts w:ascii="Arial" w:hAnsi="Arial" w:cs="Arial"/>
          <w:bCs/>
          <w:sz w:val="26"/>
          <w:szCs w:val="26"/>
        </w:rPr>
        <w:t>o</w:t>
      </w:r>
      <w:r w:rsidR="00A70A38" w:rsidRPr="00850568">
        <w:rPr>
          <w:rFonts w:ascii="Arial" w:hAnsi="Arial" w:cs="Arial"/>
          <w:bCs/>
          <w:sz w:val="26"/>
          <w:szCs w:val="26"/>
        </w:rPr>
        <w:t xml:space="preserve"> y se acordó que se reservaba dicha objeción al momento del citado de la sentencia; lo anterior, con fundamento </w:t>
      </w:r>
      <w:r w:rsidR="00481370" w:rsidRPr="00850568">
        <w:rPr>
          <w:rFonts w:ascii="Arial" w:hAnsi="Arial" w:cs="Arial"/>
          <w:bCs/>
          <w:sz w:val="26"/>
          <w:szCs w:val="26"/>
        </w:rPr>
        <w:t>en los artículos 193 y 194 de la Ley de Procedimiento y Justicia Administrativa para el Estado de Oaxaca</w:t>
      </w:r>
      <w:r w:rsidR="00CC45B4">
        <w:rPr>
          <w:rFonts w:ascii="Arial" w:hAnsi="Arial" w:cs="Arial"/>
          <w:bCs/>
          <w:sz w:val="26"/>
          <w:szCs w:val="26"/>
        </w:rPr>
        <w:t>.</w:t>
      </w:r>
      <w:r>
        <w:rPr>
          <w:rFonts w:ascii="Arial" w:hAnsi="Arial" w:cs="Arial"/>
          <w:bCs/>
          <w:sz w:val="26"/>
          <w:szCs w:val="26"/>
        </w:rPr>
        <w:t xml:space="preserve"> </w:t>
      </w:r>
    </w:p>
    <w:p w:rsidR="0059117F" w:rsidRDefault="00850568" w:rsidP="00616DC9">
      <w:pPr>
        <w:pStyle w:val="Prrafodelista"/>
        <w:numPr>
          <w:ilvl w:val="0"/>
          <w:numId w:val="5"/>
        </w:numPr>
        <w:spacing w:line="360" w:lineRule="auto"/>
        <w:ind w:firstLine="839"/>
        <w:jc w:val="both"/>
        <w:rPr>
          <w:rFonts w:ascii="Arial" w:hAnsi="Arial" w:cs="Arial"/>
          <w:bCs/>
          <w:sz w:val="26"/>
          <w:szCs w:val="26"/>
        </w:rPr>
      </w:pPr>
      <w:r>
        <w:rPr>
          <w:rFonts w:ascii="Arial" w:hAnsi="Arial" w:cs="Arial"/>
          <w:bCs/>
          <w:sz w:val="26"/>
          <w:szCs w:val="26"/>
        </w:rPr>
        <w:t>E</w:t>
      </w:r>
      <w:r w:rsidR="00E517A6" w:rsidRPr="00850568">
        <w:rPr>
          <w:rFonts w:ascii="Arial" w:hAnsi="Arial" w:cs="Arial"/>
          <w:bCs/>
          <w:sz w:val="26"/>
          <w:szCs w:val="26"/>
        </w:rPr>
        <w:t xml:space="preserve">l 27 veintisiete de abril de 2018 dos mil dieciocho, se emitió acuerdo en el cual se indicó que había fenecido el término de tres días concedido al tercero perjudicado, </w:t>
      </w:r>
      <w:r w:rsidR="00F67A47">
        <w:rPr>
          <w:rFonts w:ascii="Arial" w:hAnsi="Arial" w:cs="Arial"/>
          <w:bCs/>
          <w:sz w:val="26"/>
          <w:szCs w:val="26"/>
        </w:rPr>
        <w:t>para que precisara para que efectos o los actos que pretende demostrar con la prueba testimonial que ofreció, debiendo exhibir el interrogatorio correspondiente debidamente firmado y con copias para cada una de las partes; por lo que, se determinó no a</w:t>
      </w:r>
      <w:r w:rsidR="00CC45B4">
        <w:rPr>
          <w:rFonts w:ascii="Arial" w:hAnsi="Arial" w:cs="Arial"/>
          <w:bCs/>
          <w:sz w:val="26"/>
          <w:szCs w:val="26"/>
        </w:rPr>
        <w:t>dmitir la referida prueba.</w:t>
      </w:r>
    </w:p>
    <w:p w:rsidR="00F67A47" w:rsidRDefault="00015970" w:rsidP="00616DC9">
      <w:pPr>
        <w:pStyle w:val="Prrafodelista"/>
        <w:numPr>
          <w:ilvl w:val="0"/>
          <w:numId w:val="5"/>
        </w:numPr>
        <w:spacing w:line="360" w:lineRule="auto"/>
        <w:ind w:firstLine="839"/>
        <w:jc w:val="both"/>
        <w:rPr>
          <w:rFonts w:ascii="Arial" w:hAnsi="Arial" w:cs="Arial"/>
          <w:bCs/>
          <w:sz w:val="26"/>
          <w:szCs w:val="26"/>
        </w:rPr>
      </w:pPr>
      <w:r>
        <w:rPr>
          <w:rFonts w:ascii="Arial" w:hAnsi="Arial" w:cs="Arial"/>
          <w:bCs/>
          <w:sz w:val="26"/>
          <w:szCs w:val="26"/>
        </w:rPr>
        <w:t>En dicho proveído se cerró la etapa de instrucción al no haber más diligencias que desahogar en el juicio</w:t>
      </w:r>
      <w:r w:rsidR="00AC5CF7">
        <w:rPr>
          <w:rFonts w:ascii="Arial" w:hAnsi="Arial" w:cs="Arial"/>
          <w:bCs/>
          <w:sz w:val="26"/>
          <w:szCs w:val="26"/>
        </w:rPr>
        <w:t>, y se señaló fecha y hora para la celebr</w:t>
      </w:r>
      <w:r w:rsidR="00CC45B4">
        <w:rPr>
          <w:rFonts w:ascii="Arial" w:hAnsi="Arial" w:cs="Arial"/>
          <w:bCs/>
          <w:sz w:val="26"/>
          <w:szCs w:val="26"/>
        </w:rPr>
        <w:t>ación de la audiencia final.</w:t>
      </w:r>
    </w:p>
    <w:p w:rsidR="00AC5CF7" w:rsidRDefault="00AC5CF7" w:rsidP="001A424F">
      <w:pPr>
        <w:pStyle w:val="Prrafodelista"/>
        <w:numPr>
          <w:ilvl w:val="0"/>
          <w:numId w:val="5"/>
        </w:numPr>
        <w:spacing w:line="360" w:lineRule="auto"/>
        <w:ind w:firstLine="840"/>
        <w:jc w:val="both"/>
        <w:rPr>
          <w:rFonts w:ascii="Arial" w:hAnsi="Arial" w:cs="Arial"/>
          <w:bCs/>
          <w:sz w:val="26"/>
          <w:szCs w:val="26"/>
        </w:rPr>
      </w:pPr>
      <w:r>
        <w:rPr>
          <w:rFonts w:ascii="Arial" w:hAnsi="Arial" w:cs="Arial"/>
          <w:bCs/>
          <w:sz w:val="26"/>
          <w:szCs w:val="26"/>
        </w:rPr>
        <w:t xml:space="preserve">El 22 veintidós de junio de 2018 dos mil dieciocho, se emitió sentencia en la que declaró la validez de la resolución de fecha 31 treinta y uno de agosto de 2017 dos mil diecisiete, emitida por el Secretario de Vialidad y </w:t>
      </w:r>
      <w:r w:rsidR="0000675E">
        <w:rPr>
          <w:rFonts w:ascii="Arial" w:hAnsi="Arial" w:cs="Arial"/>
          <w:bCs/>
          <w:sz w:val="26"/>
          <w:szCs w:val="26"/>
        </w:rPr>
        <w:t>Transporte</w:t>
      </w:r>
      <w:r>
        <w:rPr>
          <w:rFonts w:ascii="Arial" w:hAnsi="Arial" w:cs="Arial"/>
          <w:bCs/>
          <w:sz w:val="26"/>
          <w:szCs w:val="26"/>
        </w:rPr>
        <w:t xml:space="preserve"> del Estado de Oaxaca</w:t>
      </w:r>
      <w:r w:rsidR="0000675E">
        <w:rPr>
          <w:rFonts w:ascii="Arial" w:hAnsi="Arial" w:cs="Arial"/>
          <w:bCs/>
          <w:sz w:val="26"/>
          <w:szCs w:val="26"/>
        </w:rPr>
        <w:t xml:space="preserve">, </w:t>
      </w:r>
      <w:r w:rsidR="00DF5632">
        <w:rPr>
          <w:rFonts w:ascii="Arial" w:hAnsi="Arial" w:cs="Arial"/>
          <w:bCs/>
          <w:sz w:val="26"/>
          <w:szCs w:val="26"/>
        </w:rPr>
        <w:t xml:space="preserve">sin que </w:t>
      </w:r>
      <w:r w:rsidR="00A0391D">
        <w:rPr>
          <w:rFonts w:ascii="Arial" w:hAnsi="Arial" w:cs="Arial"/>
          <w:bCs/>
          <w:sz w:val="26"/>
          <w:szCs w:val="26"/>
        </w:rPr>
        <w:t xml:space="preserve">se dijera nada respecto a la objeción de pruebas, efectuada por el tercero perjudicado </w:t>
      </w:r>
      <w:r w:rsidR="00A74B15">
        <w:rPr>
          <w:rFonts w:ascii="Arial" w:hAnsi="Arial" w:cs="Arial"/>
          <w:bCs/>
          <w:sz w:val="26"/>
          <w:szCs w:val="26"/>
        </w:rPr>
        <w:t>**********</w:t>
      </w:r>
      <w:r w:rsidR="00A0391D">
        <w:rPr>
          <w:rFonts w:ascii="Arial" w:hAnsi="Arial" w:cs="Arial"/>
          <w:bCs/>
          <w:sz w:val="26"/>
          <w:szCs w:val="26"/>
        </w:rPr>
        <w:t>, e</w:t>
      </w:r>
      <w:r w:rsidR="000276B4">
        <w:rPr>
          <w:rFonts w:ascii="Arial" w:hAnsi="Arial" w:cs="Arial"/>
          <w:bCs/>
          <w:sz w:val="26"/>
          <w:szCs w:val="26"/>
        </w:rPr>
        <w:t xml:space="preserve">n su escrito de apersonamiento. Objeción que se </w:t>
      </w:r>
      <w:r w:rsidR="00A0391D">
        <w:rPr>
          <w:rFonts w:ascii="Arial" w:hAnsi="Arial" w:cs="Arial"/>
          <w:bCs/>
          <w:sz w:val="26"/>
          <w:szCs w:val="26"/>
        </w:rPr>
        <w:t>acordó reservar su resolución hasta el dictado de la sentencia final.</w:t>
      </w:r>
    </w:p>
    <w:p w:rsidR="00CC45B4" w:rsidRPr="00850568" w:rsidRDefault="00CC45B4" w:rsidP="00CC45B4">
      <w:pPr>
        <w:pStyle w:val="Prrafodelista"/>
        <w:spacing w:line="360" w:lineRule="auto"/>
        <w:ind w:left="1560"/>
        <w:jc w:val="both"/>
        <w:rPr>
          <w:rFonts w:ascii="Arial" w:hAnsi="Arial" w:cs="Arial"/>
          <w:bCs/>
          <w:sz w:val="26"/>
          <w:szCs w:val="26"/>
        </w:rPr>
      </w:pPr>
    </w:p>
    <w:p w:rsidR="00CC45B4" w:rsidRDefault="00CC45B4" w:rsidP="00503E4D">
      <w:pPr>
        <w:pStyle w:val="Sinespaciado"/>
        <w:spacing w:line="360" w:lineRule="auto"/>
        <w:jc w:val="both"/>
        <w:rPr>
          <w:rFonts w:ascii="Arial" w:hAnsi="Arial" w:cs="Arial"/>
          <w:bCs/>
          <w:sz w:val="26"/>
          <w:szCs w:val="26"/>
          <w:lang w:val="es-MX"/>
        </w:rPr>
      </w:pPr>
      <w:r>
        <w:rPr>
          <w:rFonts w:ascii="Arial" w:hAnsi="Arial" w:cs="Arial"/>
          <w:bCs/>
          <w:sz w:val="26"/>
          <w:szCs w:val="26"/>
          <w:lang w:val="es-MX"/>
        </w:rPr>
        <w:tab/>
      </w:r>
      <w:r w:rsidR="001A424F">
        <w:rPr>
          <w:rFonts w:ascii="Arial" w:hAnsi="Arial" w:cs="Arial"/>
          <w:bCs/>
          <w:sz w:val="26"/>
          <w:szCs w:val="26"/>
          <w:lang w:val="es-MX"/>
        </w:rPr>
        <w:t>Como se advierte de lo anterior, al haber</w:t>
      </w:r>
      <w:r w:rsidR="007014AE">
        <w:rPr>
          <w:rFonts w:ascii="Arial" w:hAnsi="Arial" w:cs="Arial"/>
          <w:bCs/>
          <w:sz w:val="26"/>
          <w:szCs w:val="26"/>
          <w:lang w:val="es-MX"/>
        </w:rPr>
        <w:t>se</w:t>
      </w:r>
      <w:r w:rsidR="001A424F">
        <w:rPr>
          <w:rFonts w:ascii="Arial" w:hAnsi="Arial" w:cs="Arial"/>
          <w:bCs/>
          <w:sz w:val="26"/>
          <w:szCs w:val="26"/>
          <w:lang w:val="es-MX"/>
        </w:rPr>
        <w:t xml:space="preserve"> tenido por no admitida la prueba testimonial ofrecida por el tercero perjudicado</w:t>
      </w:r>
      <w:r w:rsidR="00D12992">
        <w:rPr>
          <w:rFonts w:ascii="Arial" w:hAnsi="Arial" w:cs="Arial"/>
          <w:bCs/>
          <w:sz w:val="26"/>
          <w:szCs w:val="26"/>
          <w:lang w:val="es-MX"/>
        </w:rPr>
        <w:t xml:space="preserve"> </w:t>
      </w:r>
      <w:r w:rsidR="00A74B15">
        <w:rPr>
          <w:rFonts w:ascii="Arial" w:hAnsi="Arial" w:cs="Arial"/>
          <w:bCs/>
          <w:sz w:val="26"/>
          <w:szCs w:val="26"/>
        </w:rPr>
        <w:t>**********</w:t>
      </w:r>
      <w:r w:rsidR="001A424F">
        <w:rPr>
          <w:rFonts w:ascii="Arial" w:hAnsi="Arial" w:cs="Arial"/>
          <w:bCs/>
          <w:sz w:val="26"/>
          <w:szCs w:val="26"/>
          <w:lang w:val="es-MX"/>
        </w:rPr>
        <w:t xml:space="preserve">, </w:t>
      </w:r>
      <w:r w:rsidR="007014AE">
        <w:rPr>
          <w:rFonts w:ascii="Arial" w:hAnsi="Arial" w:cs="Arial"/>
          <w:bCs/>
          <w:sz w:val="26"/>
          <w:szCs w:val="26"/>
          <w:lang w:val="es-MX"/>
        </w:rPr>
        <w:t xml:space="preserve">por no haber cumplido con el requerimiento </w:t>
      </w:r>
      <w:r w:rsidR="007014AE">
        <w:rPr>
          <w:rFonts w:ascii="Arial" w:hAnsi="Arial" w:cs="Arial"/>
          <w:bCs/>
          <w:sz w:val="26"/>
          <w:szCs w:val="26"/>
        </w:rPr>
        <w:t xml:space="preserve">efectuado </w:t>
      </w:r>
      <w:r w:rsidR="007014AE" w:rsidRPr="00850568">
        <w:rPr>
          <w:rFonts w:ascii="Arial" w:hAnsi="Arial" w:cs="Arial"/>
          <w:bCs/>
          <w:sz w:val="26"/>
          <w:szCs w:val="26"/>
        </w:rPr>
        <w:t>para que exhibiera el interrogatorio correspondiente, debidamente firmado y copia para cada una de las partes en el juicio</w:t>
      </w:r>
      <w:r w:rsidR="007014AE">
        <w:rPr>
          <w:rFonts w:ascii="Arial" w:hAnsi="Arial" w:cs="Arial"/>
          <w:bCs/>
          <w:sz w:val="26"/>
          <w:szCs w:val="26"/>
        </w:rPr>
        <w:t xml:space="preserve">, </w:t>
      </w:r>
      <w:r w:rsidR="001A424F">
        <w:rPr>
          <w:rFonts w:ascii="Arial" w:hAnsi="Arial" w:cs="Arial"/>
          <w:bCs/>
          <w:sz w:val="26"/>
          <w:szCs w:val="26"/>
          <w:lang w:val="es-MX"/>
        </w:rPr>
        <w:t>sin que previamente se le haya efectuado apercibimiento alguno</w:t>
      </w:r>
      <w:r w:rsidR="007014AE">
        <w:rPr>
          <w:rFonts w:ascii="Arial" w:hAnsi="Arial" w:cs="Arial"/>
          <w:bCs/>
          <w:sz w:val="26"/>
          <w:szCs w:val="26"/>
          <w:lang w:val="es-MX"/>
        </w:rPr>
        <w:t xml:space="preserve">; </w:t>
      </w:r>
      <w:r w:rsidR="001A424F">
        <w:rPr>
          <w:rFonts w:ascii="Arial" w:hAnsi="Arial" w:cs="Arial"/>
          <w:bCs/>
          <w:sz w:val="26"/>
          <w:szCs w:val="26"/>
          <w:lang w:val="es-MX"/>
        </w:rPr>
        <w:t>así como</w:t>
      </w:r>
      <w:r w:rsidR="007014AE">
        <w:rPr>
          <w:rFonts w:ascii="Arial" w:hAnsi="Arial" w:cs="Arial"/>
          <w:bCs/>
          <w:sz w:val="26"/>
          <w:szCs w:val="26"/>
          <w:lang w:val="es-MX"/>
        </w:rPr>
        <w:t>,</w:t>
      </w:r>
      <w:r w:rsidR="001A424F">
        <w:rPr>
          <w:rFonts w:ascii="Arial" w:hAnsi="Arial" w:cs="Arial"/>
          <w:bCs/>
          <w:sz w:val="26"/>
          <w:szCs w:val="26"/>
          <w:lang w:val="es-MX"/>
        </w:rPr>
        <w:t xml:space="preserve"> el hecho de </w:t>
      </w:r>
      <w:r w:rsidR="007014AE">
        <w:rPr>
          <w:rFonts w:ascii="Arial" w:hAnsi="Arial" w:cs="Arial"/>
          <w:bCs/>
          <w:sz w:val="26"/>
          <w:szCs w:val="26"/>
          <w:lang w:val="es-MX"/>
        </w:rPr>
        <w:t xml:space="preserve">que en la sentencia no se entró al </w:t>
      </w:r>
      <w:r w:rsidR="001A424F">
        <w:rPr>
          <w:rFonts w:ascii="Arial" w:hAnsi="Arial" w:cs="Arial"/>
          <w:bCs/>
          <w:sz w:val="26"/>
          <w:szCs w:val="26"/>
          <w:lang w:val="es-MX"/>
        </w:rPr>
        <w:t>estudio de la objeción de pruebas</w:t>
      </w:r>
      <w:r w:rsidR="00D12992">
        <w:rPr>
          <w:rFonts w:ascii="Arial" w:hAnsi="Arial" w:cs="Arial"/>
          <w:bCs/>
          <w:sz w:val="26"/>
          <w:szCs w:val="26"/>
          <w:lang w:val="es-MX"/>
        </w:rPr>
        <w:t xml:space="preserve"> efectuada por dicho tercero afectado</w:t>
      </w:r>
      <w:r w:rsidR="001A424F">
        <w:rPr>
          <w:rFonts w:ascii="Arial" w:hAnsi="Arial" w:cs="Arial"/>
          <w:bCs/>
          <w:sz w:val="26"/>
          <w:szCs w:val="26"/>
          <w:lang w:val="es-MX"/>
        </w:rPr>
        <w:t xml:space="preserve">, </w:t>
      </w:r>
      <w:r w:rsidR="0059117F">
        <w:rPr>
          <w:rFonts w:ascii="Arial" w:hAnsi="Arial" w:cs="Arial"/>
          <w:bCs/>
          <w:sz w:val="26"/>
          <w:szCs w:val="26"/>
          <w:lang w:val="es-MX"/>
        </w:rPr>
        <w:t xml:space="preserve">genera </w:t>
      </w:r>
      <w:r w:rsidR="007014AE">
        <w:rPr>
          <w:rFonts w:ascii="Arial" w:hAnsi="Arial" w:cs="Arial"/>
          <w:bCs/>
          <w:sz w:val="26"/>
          <w:szCs w:val="26"/>
          <w:lang w:val="es-MX"/>
        </w:rPr>
        <w:t xml:space="preserve">violaciones </w:t>
      </w:r>
      <w:r w:rsidR="0059117F">
        <w:rPr>
          <w:rFonts w:ascii="Arial" w:hAnsi="Arial" w:cs="Arial"/>
          <w:bCs/>
          <w:sz w:val="26"/>
          <w:szCs w:val="26"/>
          <w:lang w:val="es-MX"/>
        </w:rPr>
        <w:t>a las normas del procedimiento</w:t>
      </w:r>
      <w:r>
        <w:rPr>
          <w:rFonts w:ascii="Arial" w:hAnsi="Arial" w:cs="Arial"/>
          <w:bCs/>
          <w:sz w:val="26"/>
          <w:szCs w:val="26"/>
          <w:lang w:val="es-MX"/>
        </w:rPr>
        <w:t>.</w:t>
      </w:r>
    </w:p>
    <w:p w:rsidR="00CC45B4" w:rsidRDefault="00CC45B4" w:rsidP="00503E4D">
      <w:pPr>
        <w:pStyle w:val="Sinespaciado"/>
        <w:spacing w:line="360" w:lineRule="auto"/>
        <w:jc w:val="both"/>
        <w:rPr>
          <w:rFonts w:ascii="Arial" w:hAnsi="Arial" w:cs="Arial"/>
          <w:bCs/>
          <w:sz w:val="26"/>
          <w:szCs w:val="26"/>
        </w:rPr>
      </w:pPr>
      <w:r>
        <w:rPr>
          <w:rFonts w:ascii="Arial" w:hAnsi="Arial" w:cs="Arial"/>
          <w:bCs/>
          <w:sz w:val="26"/>
          <w:szCs w:val="26"/>
          <w:lang w:val="es-MX"/>
        </w:rPr>
        <w:tab/>
      </w:r>
      <w:r w:rsidR="00503E4D">
        <w:rPr>
          <w:rFonts w:ascii="Arial" w:hAnsi="Arial" w:cs="Arial"/>
          <w:bCs/>
          <w:sz w:val="26"/>
          <w:szCs w:val="26"/>
          <w:lang w:val="es-MX"/>
        </w:rPr>
        <w:t xml:space="preserve">Lo anterior, en virtud que con dicha violación procesal se dejó a </w:t>
      </w:r>
      <w:r w:rsidR="0059117F">
        <w:rPr>
          <w:rFonts w:ascii="Arial" w:hAnsi="Arial" w:cs="Arial"/>
          <w:bCs/>
          <w:sz w:val="26"/>
          <w:szCs w:val="26"/>
          <w:lang w:val="es-MX"/>
        </w:rPr>
        <w:t>la</w:t>
      </w:r>
      <w:r w:rsidR="00503E4D">
        <w:rPr>
          <w:rFonts w:ascii="Arial" w:hAnsi="Arial" w:cs="Arial"/>
          <w:bCs/>
          <w:sz w:val="26"/>
          <w:szCs w:val="26"/>
          <w:lang w:val="es-MX"/>
        </w:rPr>
        <w:t xml:space="preserve"> parte ter</w:t>
      </w:r>
      <w:r w:rsidR="004723DA">
        <w:rPr>
          <w:rFonts w:ascii="Arial" w:hAnsi="Arial" w:cs="Arial"/>
          <w:bCs/>
          <w:sz w:val="26"/>
          <w:szCs w:val="26"/>
          <w:lang w:val="es-MX"/>
        </w:rPr>
        <w:t>c</w:t>
      </w:r>
      <w:r w:rsidR="00503E4D">
        <w:rPr>
          <w:rFonts w:ascii="Arial" w:hAnsi="Arial" w:cs="Arial"/>
          <w:bCs/>
          <w:sz w:val="26"/>
          <w:szCs w:val="26"/>
          <w:lang w:val="es-MX"/>
        </w:rPr>
        <w:t>ero perjudicada en estado de indefensión</w:t>
      </w:r>
      <w:r w:rsidR="000863C4">
        <w:rPr>
          <w:rFonts w:ascii="Arial" w:hAnsi="Arial" w:cs="Arial"/>
          <w:bCs/>
          <w:sz w:val="26"/>
          <w:szCs w:val="26"/>
          <w:lang w:val="es-MX"/>
        </w:rPr>
        <w:t xml:space="preserve">, al no tener conocimiento que en caso de no exhibir </w:t>
      </w:r>
      <w:r w:rsidR="000863C4" w:rsidRPr="00850568">
        <w:rPr>
          <w:rFonts w:ascii="Arial" w:hAnsi="Arial" w:cs="Arial"/>
          <w:bCs/>
          <w:sz w:val="26"/>
          <w:szCs w:val="26"/>
        </w:rPr>
        <w:t>e</w:t>
      </w:r>
      <w:r w:rsidR="000863C4">
        <w:rPr>
          <w:rFonts w:ascii="Arial" w:hAnsi="Arial" w:cs="Arial"/>
          <w:bCs/>
          <w:sz w:val="26"/>
          <w:szCs w:val="26"/>
        </w:rPr>
        <w:t xml:space="preserve">l interrogatorio correspondiente a la prueba testimonial que ofreció en su escrito de apersonamiento a juicio, </w:t>
      </w:r>
      <w:r w:rsidR="00826496">
        <w:rPr>
          <w:rFonts w:ascii="Arial" w:hAnsi="Arial" w:cs="Arial"/>
          <w:bCs/>
          <w:sz w:val="26"/>
          <w:szCs w:val="26"/>
        </w:rPr>
        <w:t xml:space="preserve">se procedería a tener dicha probanza por no ofrecida, </w:t>
      </w:r>
      <w:r w:rsidR="00726896">
        <w:rPr>
          <w:rFonts w:ascii="Arial" w:hAnsi="Arial" w:cs="Arial"/>
          <w:bCs/>
          <w:sz w:val="26"/>
          <w:szCs w:val="26"/>
        </w:rPr>
        <w:t>toda vez que el requerimiento efectuado no se encuentra debidamente fundado y motivado, pues en ning</w:t>
      </w:r>
      <w:r w:rsidR="009930A5">
        <w:rPr>
          <w:rFonts w:ascii="Arial" w:hAnsi="Arial" w:cs="Arial"/>
          <w:bCs/>
          <w:sz w:val="26"/>
          <w:szCs w:val="26"/>
        </w:rPr>
        <w:t xml:space="preserve">una parte del acuerdo de fecha 27 veintisiete  de marzo de  20128 dos mil dieciocho, </w:t>
      </w:r>
      <w:r w:rsidR="00726896">
        <w:rPr>
          <w:rFonts w:ascii="Arial" w:hAnsi="Arial" w:cs="Arial"/>
          <w:bCs/>
          <w:sz w:val="26"/>
          <w:szCs w:val="26"/>
        </w:rPr>
        <w:t xml:space="preserve">se señaló en precepto legal en el que </w:t>
      </w:r>
      <w:r w:rsidR="009930A5">
        <w:rPr>
          <w:rFonts w:ascii="Arial" w:hAnsi="Arial" w:cs="Arial"/>
          <w:bCs/>
          <w:sz w:val="26"/>
          <w:szCs w:val="26"/>
        </w:rPr>
        <w:t>el</w:t>
      </w:r>
      <w:r w:rsidR="00726896">
        <w:rPr>
          <w:rFonts w:ascii="Arial" w:hAnsi="Arial" w:cs="Arial"/>
          <w:bCs/>
          <w:sz w:val="26"/>
          <w:szCs w:val="26"/>
        </w:rPr>
        <w:t xml:space="preserve"> Magistrad</w:t>
      </w:r>
      <w:r w:rsidR="009930A5">
        <w:rPr>
          <w:rFonts w:ascii="Arial" w:hAnsi="Arial" w:cs="Arial"/>
          <w:bCs/>
          <w:sz w:val="26"/>
          <w:szCs w:val="26"/>
        </w:rPr>
        <w:t xml:space="preserve">o </w:t>
      </w:r>
      <w:r w:rsidR="00290B34">
        <w:rPr>
          <w:rFonts w:ascii="Arial" w:hAnsi="Arial" w:cs="Arial"/>
          <w:bCs/>
          <w:sz w:val="26"/>
          <w:szCs w:val="26"/>
        </w:rPr>
        <w:t>de la Sexta Sala Unitaria de Primera Instancia, se apoyaba para efectuar dicho requerimiento, ni los motivos por los cuales se efectuaba, así como el apercibimiento respectivo en caso de incumplimiento.</w:t>
      </w:r>
      <w:r w:rsidR="00726896">
        <w:rPr>
          <w:rFonts w:ascii="Arial" w:hAnsi="Arial" w:cs="Arial"/>
          <w:bCs/>
          <w:sz w:val="26"/>
          <w:szCs w:val="26"/>
        </w:rPr>
        <w:t xml:space="preserve"> </w:t>
      </w:r>
    </w:p>
    <w:p w:rsidR="00CC45B4" w:rsidRDefault="00CC45B4" w:rsidP="00503E4D">
      <w:pPr>
        <w:pStyle w:val="Sinespaciado"/>
        <w:spacing w:line="360" w:lineRule="auto"/>
        <w:jc w:val="both"/>
        <w:rPr>
          <w:rFonts w:ascii="Arial" w:hAnsi="Arial" w:cs="Arial"/>
          <w:bCs/>
          <w:sz w:val="26"/>
          <w:szCs w:val="26"/>
        </w:rPr>
      </w:pPr>
      <w:r>
        <w:rPr>
          <w:rFonts w:ascii="Arial" w:hAnsi="Arial" w:cs="Arial"/>
          <w:bCs/>
          <w:sz w:val="26"/>
          <w:szCs w:val="26"/>
        </w:rPr>
        <w:tab/>
      </w:r>
      <w:r w:rsidR="00F83AE6">
        <w:rPr>
          <w:rFonts w:ascii="Arial" w:hAnsi="Arial" w:cs="Arial"/>
          <w:bCs/>
          <w:sz w:val="26"/>
          <w:szCs w:val="26"/>
        </w:rPr>
        <w:t xml:space="preserve">Por otra parte, también se dejó en estado de indefensión al tercero perjudicado, puesto que al momento de emitir la sentencia de fecha 22 veintidós de junio de 2018 dos mil dieciocho, no se entró al estudio de la objeción de pruebas </w:t>
      </w:r>
      <w:r w:rsidR="00CD5589">
        <w:rPr>
          <w:rFonts w:ascii="Arial" w:hAnsi="Arial" w:cs="Arial"/>
          <w:bCs/>
          <w:sz w:val="26"/>
          <w:szCs w:val="26"/>
        </w:rPr>
        <w:t>que realizó;</w:t>
      </w:r>
      <w:r w:rsidR="00F83AE6">
        <w:rPr>
          <w:rFonts w:ascii="Arial" w:hAnsi="Arial" w:cs="Arial"/>
          <w:bCs/>
          <w:sz w:val="26"/>
          <w:szCs w:val="26"/>
        </w:rPr>
        <w:t xml:space="preserve"> </w:t>
      </w:r>
      <w:r w:rsidR="00CD5589">
        <w:rPr>
          <w:rFonts w:ascii="Arial" w:hAnsi="Arial" w:cs="Arial"/>
          <w:bCs/>
          <w:sz w:val="26"/>
          <w:szCs w:val="26"/>
        </w:rPr>
        <w:t>pues con dicha objeción</w:t>
      </w:r>
      <w:r w:rsidR="007F3B21">
        <w:rPr>
          <w:rFonts w:ascii="Arial" w:hAnsi="Arial" w:cs="Arial"/>
          <w:bCs/>
          <w:sz w:val="26"/>
          <w:szCs w:val="26"/>
        </w:rPr>
        <w:t>,</w:t>
      </w:r>
      <w:r w:rsidR="00CD5589">
        <w:rPr>
          <w:rFonts w:ascii="Arial" w:hAnsi="Arial" w:cs="Arial"/>
          <w:bCs/>
          <w:sz w:val="26"/>
          <w:szCs w:val="26"/>
        </w:rPr>
        <w:t xml:space="preserve"> </w:t>
      </w:r>
      <w:r w:rsidR="00385C1E">
        <w:rPr>
          <w:rFonts w:ascii="Arial" w:hAnsi="Arial" w:cs="Arial"/>
          <w:bCs/>
          <w:sz w:val="26"/>
          <w:szCs w:val="26"/>
        </w:rPr>
        <w:t>pretendía acreditar hechos que refiere</w:t>
      </w:r>
      <w:r w:rsidR="007F3B21">
        <w:rPr>
          <w:rFonts w:ascii="Arial" w:hAnsi="Arial" w:cs="Arial"/>
          <w:bCs/>
          <w:sz w:val="26"/>
          <w:szCs w:val="26"/>
        </w:rPr>
        <w:t>,</w:t>
      </w:r>
      <w:r w:rsidR="00385C1E">
        <w:rPr>
          <w:rFonts w:ascii="Arial" w:hAnsi="Arial" w:cs="Arial"/>
          <w:bCs/>
          <w:sz w:val="26"/>
          <w:szCs w:val="26"/>
        </w:rPr>
        <w:t xml:space="preserve"> fueron cometidos en f</w:t>
      </w:r>
      <w:r w:rsidR="007F3B21">
        <w:rPr>
          <w:rFonts w:ascii="Arial" w:hAnsi="Arial" w:cs="Arial"/>
          <w:bCs/>
          <w:sz w:val="26"/>
          <w:szCs w:val="26"/>
        </w:rPr>
        <w:t>orma dolosa por la parte actora</w:t>
      </w:r>
      <w:r w:rsidR="00385C1E">
        <w:rPr>
          <w:rFonts w:ascii="Arial" w:hAnsi="Arial" w:cs="Arial"/>
          <w:bCs/>
          <w:sz w:val="26"/>
          <w:szCs w:val="26"/>
        </w:rPr>
        <w:t xml:space="preserve"> en contra de los intereses de su representada </w:t>
      </w:r>
      <w:r w:rsidR="007B6933">
        <w:rPr>
          <w:rFonts w:ascii="Arial" w:hAnsi="Arial" w:cs="Arial"/>
          <w:bCs/>
          <w:sz w:val="26"/>
          <w:szCs w:val="26"/>
        </w:rPr>
        <w:t xml:space="preserve"> Autotransportes del </w:t>
      </w:r>
      <w:proofErr w:type="spellStart"/>
      <w:r w:rsidR="007B6933">
        <w:rPr>
          <w:rFonts w:ascii="Arial" w:hAnsi="Arial" w:cs="Arial"/>
          <w:bCs/>
          <w:sz w:val="26"/>
          <w:szCs w:val="26"/>
        </w:rPr>
        <w:t>Tesechoacan</w:t>
      </w:r>
      <w:proofErr w:type="spellEnd"/>
      <w:r w:rsidR="007B6933">
        <w:rPr>
          <w:rFonts w:ascii="Arial" w:hAnsi="Arial" w:cs="Arial"/>
          <w:bCs/>
          <w:sz w:val="26"/>
          <w:szCs w:val="26"/>
        </w:rPr>
        <w:t xml:space="preserve">, Sociedad Anónima de Capital Variable, </w:t>
      </w:r>
      <w:r w:rsidR="007F3B21">
        <w:rPr>
          <w:rFonts w:ascii="Arial" w:hAnsi="Arial" w:cs="Arial"/>
          <w:bCs/>
          <w:sz w:val="26"/>
          <w:szCs w:val="26"/>
        </w:rPr>
        <w:t>ya que</w:t>
      </w:r>
      <w:r w:rsidR="000A211D">
        <w:rPr>
          <w:rFonts w:ascii="Arial" w:hAnsi="Arial" w:cs="Arial"/>
          <w:bCs/>
          <w:sz w:val="26"/>
          <w:szCs w:val="26"/>
        </w:rPr>
        <w:t xml:space="preserve"> refiere que al realizarse la transferencia de su concesión a favor de Transportes </w:t>
      </w:r>
      <w:proofErr w:type="spellStart"/>
      <w:r w:rsidR="000A211D">
        <w:rPr>
          <w:rFonts w:ascii="Arial" w:hAnsi="Arial" w:cs="Arial"/>
          <w:bCs/>
          <w:sz w:val="26"/>
          <w:szCs w:val="26"/>
        </w:rPr>
        <w:t>Huaxpaltepec</w:t>
      </w:r>
      <w:proofErr w:type="spellEnd"/>
      <w:r w:rsidR="000A211D">
        <w:rPr>
          <w:rFonts w:ascii="Arial" w:hAnsi="Arial" w:cs="Arial"/>
          <w:bCs/>
          <w:sz w:val="26"/>
          <w:szCs w:val="26"/>
        </w:rPr>
        <w:t xml:space="preserve"> S.A. de C.V., se </w:t>
      </w:r>
      <w:r w:rsidR="007F3B21">
        <w:rPr>
          <w:rFonts w:ascii="Arial" w:hAnsi="Arial" w:cs="Arial"/>
          <w:bCs/>
          <w:sz w:val="26"/>
          <w:szCs w:val="26"/>
        </w:rPr>
        <w:t>hizo</w:t>
      </w:r>
      <w:r w:rsidR="000A211D">
        <w:rPr>
          <w:rFonts w:ascii="Arial" w:hAnsi="Arial" w:cs="Arial"/>
          <w:bCs/>
          <w:sz w:val="26"/>
          <w:szCs w:val="26"/>
        </w:rPr>
        <w:t xml:space="preserve"> con personas ajenas a la Secretaría de Vialidad y Transporte del Estado,  tal y como quedó demostrado en la resolución de fecha 31 treinta y uno de agosto de 2017 dos mil diecisiete, con la cual se cancela la transferencia realizada a Transportes </w:t>
      </w:r>
      <w:proofErr w:type="spellStart"/>
      <w:r w:rsidR="000A211D">
        <w:rPr>
          <w:rFonts w:ascii="Arial" w:hAnsi="Arial" w:cs="Arial"/>
          <w:bCs/>
          <w:sz w:val="26"/>
          <w:szCs w:val="26"/>
        </w:rPr>
        <w:t>Huaxpaltepec</w:t>
      </w:r>
      <w:proofErr w:type="spellEnd"/>
      <w:r w:rsidR="000A211D">
        <w:rPr>
          <w:rFonts w:ascii="Arial" w:hAnsi="Arial" w:cs="Arial"/>
          <w:bCs/>
          <w:sz w:val="26"/>
          <w:szCs w:val="26"/>
        </w:rPr>
        <w:t xml:space="preserve"> S.A. de C.V., quedando a nombre de Autotransportes del </w:t>
      </w:r>
      <w:proofErr w:type="spellStart"/>
      <w:r w:rsidR="000A211D">
        <w:rPr>
          <w:rFonts w:ascii="Arial" w:hAnsi="Arial" w:cs="Arial"/>
          <w:bCs/>
          <w:sz w:val="26"/>
          <w:szCs w:val="26"/>
        </w:rPr>
        <w:t>Tesechoacan</w:t>
      </w:r>
      <w:proofErr w:type="spellEnd"/>
      <w:r w:rsidR="000A211D">
        <w:rPr>
          <w:rFonts w:ascii="Arial" w:hAnsi="Arial" w:cs="Arial"/>
          <w:bCs/>
          <w:sz w:val="26"/>
          <w:szCs w:val="26"/>
        </w:rPr>
        <w:t>, Sociedad An</w:t>
      </w:r>
      <w:r>
        <w:rPr>
          <w:rFonts w:ascii="Arial" w:hAnsi="Arial" w:cs="Arial"/>
          <w:bCs/>
          <w:sz w:val="26"/>
          <w:szCs w:val="26"/>
        </w:rPr>
        <w:t>ónima de Capital Variable.</w:t>
      </w:r>
    </w:p>
    <w:p w:rsidR="008A27D8" w:rsidRDefault="00CC45B4" w:rsidP="00503E4D">
      <w:pPr>
        <w:pStyle w:val="Sinespaciado"/>
        <w:spacing w:line="360" w:lineRule="auto"/>
        <w:jc w:val="both"/>
        <w:rPr>
          <w:rFonts w:ascii="Arial" w:hAnsi="Arial" w:cs="Arial"/>
          <w:bCs/>
          <w:sz w:val="26"/>
          <w:szCs w:val="26"/>
          <w:lang w:val="es-MX"/>
        </w:rPr>
      </w:pPr>
      <w:r>
        <w:rPr>
          <w:rFonts w:ascii="Arial" w:hAnsi="Arial" w:cs="Arial"/>
          <w:bCs/>
          <w:sz w:val="26"/>
          <w:szCs w:val="26"/>
        </w:rPr>
        <w:tab/>
      </w:r>
      <w:r w:rsidR="004D0058">
        <w:rPr>
          <w:rFonts w:ascii="Arial" w:hAnsi="Arial" w:cs="Arial"/>
          <w:bCs/>
          <w:sz w:val="26"/>
          <w:szCs w:val="26"/>
        </w:rPr>
        <w:t xml:space="preserve">Por consiguiente, puesto que </w:t>
      </w:r>
      <w:r w:rsidR="004D5366">
        <w:rPr>
          <w:rFonts w:ascii="Arial" w:hAnsi="Arial" w:cs="Arial"/>
          <w:bCs/>
          <w:sz w:val="26"/>
          <w:szCs w:val="26"/>
        </w:rPr>
        <w:t xml:space="preserve">la  resolución impugnada es precisamente la de fecha 31 treinta y uno de agosto de 2017 dos mil diecisiete, emitida por la Secretaría de Vialidad y Transporte del Estado, </w:t>
      </w:r>
      <w:r w:rsidR="00CB05CC">
        <w:rPr>
          <w:rFonts w:ascii="Arial" w:hAnsi="Arial" w:cs="Arial"/>
          <w:bCs/>
          <w:sz w:val="26"/>
          <w:szCs w:val="26"/>
        </w:rPr>
        <w:t xml:space="preserve">en donde se ordena revocar la transferencia de la concesión a Transportes </w:t>
      </w:r>
      <w:proofErr w:type="spellStart"/>
      <w:r w:rsidR="00CB05CC">
        <w:rPr>
          <w:rFonts w:ascii="Arial" w:hAnsi="Arial" w:cs="Arial"/>
          <w:bCs/>
          <w:sz w:val="26"/>
          <w:szCs w:val="26"/>
        </w:rPr>
        <w:t>Huaxpaltepec</w:t>
      </w:r>
      <w:proofErr w:type="spellEnd"/>
      <w:r w:rsidR="00CB05CC">
        <w:rPr>
          <w:rFonts w:ascii="Arial" w:hAnsi="Arial" w:cs="Arial"/>
          <w:bCs/>
          <w:sz w:val="26"/>
          <w:szCs w:val="26"/>
        </w:rPr>
        <w:t xml:space="preserve"> S.A. de C.V., con fecha veinte de septiembre de dos mil dieciséis, </w:t>
      </w:r>
      <w:r w:rsidR="00AE3E6B">
        <w:rPr>
          <w:rFonts w:ascii="Arial" w:hAnsi="Arial" w:cs="Arial"/>
          <w:bCs/>
          <w:sz w:val="26"/>
          <w:szCs w:val="26"/>
        </w:rPr>
        <w:t xml:space="preserve"> </w:t>
      </w:r>
      <w:r w:rsidR="00A53431">
        <w:rPr>
          <w:rFonts w:ascii="Arial" w:hAnsi="Arial" w:cs="Arial"/>
          <w:bCs/>
          <w:sz w:val="26"/>
          <w:szCs w:val="26"/>
        </w:rPr>
        <w:t xml:space="preserve">la cual pretende demostrar el tercero perjudicado que fue emitida en forma legal, </w:t>
      </w:r>
      <w:r w:rsidR="008A27D8">
        <w:rPr>
          <w:rFonts w:ascii="Arial" w:hAnsi="Arial" w:cs="Arial"/>
          <w:bCs/>
          <w:sz w:val="26"/>
          <w:szCs w:val="26"/>
        </w:rPr>
        <w:t xml:space="preserve">pues indica que la </w:t>
      </w:r>
      <w:r w:rsidR="009E347B">
        <w:rPr>
          <w:rFonts w:ascii="Arial" w:hAnsi="Arial" w:cs="Arial"/>
          <w:bCs/>
          <w:sz w:val="26"/>
          <w:szCs w:val="26"/>
        </w:rPr>
        <w:t>citada cancelación</w:t>
      </w:r>
      <w:r w:rsidR="008A27D8">
        <w:rPr>
          <w:rFonts w:ascii="Arial" w:hAnsi="Arial" w:cs="Arial"/>
          <w:bCs/>
          <w:sz w:val="26"/>
          <w:szCs w:val="26"/>
        </w:rPr>
        <w:t xml:space="preserve"> se realizó por personas ajenas a dicha Secretaría</w:t>
      </w:r>
      <w:r w:rsidR="009E347B">
        <w:rPr>
          <w:rFonts w:ascii="Arial" w:hAnsi="Arial" w:cs="Arial"/>
          <w:bCs/>
          <w:sz w:val="26"/>
          <w:szCs w:val="26"/>
        </w:rPr>
        <w:t>,</w:t>
      </w:r>
      <w:r w:rsidR="008A27D8">
        <w:rPr>
          <w:rFonts w:ascii="Arial" w:hAnsi="Arial" w:cs="Arial"/>
          <w:bCs/>
          <w:sz w:val="26"/>
          <w:szCs w:val="26"/>
        </w:rPr>
        <w:t xml:space="preserve"> por lo que procedió a objetar las pruebas ofrecidas por la parte actora</w:t>
      </w:r>
      <w:r w:rsidR="009E347B">
        <w:rPr>
          <w:rFonts w:ascii="Arial" w:hAnsi="Arial" w:cs="Arial"/>
          <w:bCs/>
          <w:sz w:val="26"/>
          <w:szCs w:val="26"/>
        </w:rPr>
        <w:t xml:space="preserve"> y al no haberse efectuado el estudio correspondiente a dicha objeción al momento de emitir la sentencia por parte del Magistrado de la Primera Instancia, </w:t>
      </w:r>
      <w:r w:rsidR="0059117F">
        <w:rPr>
          <w:rFonts w:ascii="Arial" w:hAnsi="Arial" w:cs="Arial"/>
          <w:bCs/>
          <w:sz w:val="26"/>
          <w:szCs w:val="26"/>
          <w:lang w:val="es-MX"/>
        </w:rPr>
        <w:t>se transgredió el derecho al debido proceso</w:t>
      </w:r>
      <w:r>
        <w:rPr>
          <w:rFonts w:ascii="Arial" w:hAnsi="Arial" w:cs="Arial"/>
          <w:bCs/>
          <w:sz w:val="26"/>
          <w:szCs w:val="26"/>
          <w:lang w:val="es-MX"/>
        </w:rPr>
        <w:t>.</w:t>
      </w:r>
    </w:p>
    <w:p w:rsidR="00CC45B4" w:rsidRDefault="00CC45B4" w:rsidP="0081085B">
      <w:pPr>
        <w:pStyle w:val="Sinespaciado"/>
        <w:spacing w:line="360" w:lineRule="auto"/>
        <w:jc w:val="both"/>
        <w:rPr>
          <w:rFonts w:ascii="Arial" w:hAnsi="Arial" w:cs="Arial"/>
          <w:bCs/>
          <w:color w:val="000000"/>
          <w:sz w:val="26"/>
          <w:szCs w:val="26"/>
        </w:rPr>
      </w:pPr>
      <w:r>
        <w:rPr>
          <w:rFonts w:ascii="Arial" w:hAnsi="Arial" w:cs="Arial"/>
          <w:bCs/>
          <w:color w:val="000000"/>
          <w:sz w:val="26"/>
          <w:szCs w:val="26"/>
          <w:lang w:val="es-MX"/>
        </w:rPr>
        <w:tab/>
      </w:r>
      <w:r w:rsidR="008B556F">
        <w:rPr>
          <w:rFonts w:ascii="Arial" w:hAnsi="Arial" w:cs="Arial"/>
          <w:bCs/>
          <w:color w:val="000000"/>
          <w:sz w:val="26"/>
          <w:szCs w:val="26"/>
          <w:lang w:val="es-MX"/>
        </w:rPr>
        <w:t>Esto, en virtud que e</w:t>
      </w:r>
      <w:r w:rsidR="0059117F">
        <w:rPr>
          <w:rFonts w:ascii="Arial" w:hAnsi="Arial" w:cs="Arial"/>
          <w:bCs/>
          <w:color w:val="000000"/>
          <w:sz w:val="26"/>
          <w:szCs w:val="26"/>
          <w:lang w:val="es-MX"/>
        </w:rPr>
        <w:t>l derecho al debido proceso</w:t>
      </w:r>
      <w:r w:rsidR="0081085B">
        <w:rPr>
          <w:rFonts w:ascii="Arial" w:hAnsi="Arial" w:cs="Arial"/>
          <w:bCs/>
          <w:color w:val="000000"/>
          <w:sz w:val="26"/>
          <w:szCs w:val="26"/>
          <w:lang w:val="es-MX"/>
        </w:rPr>
        <w:t>,</w:t>
      </w:r>
      <w:r w:rsidR="0059117F">
        <w:rPr>
          <w:rFonts w:ascii="Arial" w:hAnsi="Arial" w:cs="Arial"/>
          <w:bCs/>
          <w:color w:val="000000"/>
          <w:sz w:val="26"/>
          <w:szCs w:val="26"/>
          <w:lang w:val="es-MX"/>
        </w:rPr>
        <w:t xml:space="preserve"> protege a que las partes tengan la posibilidad efectiva</w:t>
      </w:r>
      <w:r w:rsidR="008B556F">
        <w:rPr>
          <w:rFonts w:ascii="Arial" w:hAnsi="Arial" w:cs="Arial"/>
          <w:bCs/>
          <w:color w:val="000000"/>
          <w:sz w:val="26"/>
          <w:szCs w:val="26"/>
          <w:lang w:val="es-MX"/>
        </w:rPr>
        <w:t xml:space="preserve"> e igualdad </w:t>
      </w:r>
      <w:r w:rsidR="0059117F">
        <w:rPr>
          <w:rFonts w:ascii="Arial" w:hAnsi="Arial" w:cs="Arial"/>
          <w:bCs/>
          <w:color w:val="000000"/>
          <w:sz w:val="26"/>
          <w:szCs w:val="26"/>
          <w:lang w:val="es-MX"/>
        </w:rPr>
        <w:t>de defender sus puntos de vista y ofrecer pruebas en apoyo a sus pretensiones; lo que no aconteció en el caso en análisis, toda vez que no existió la posibilidad de igualdad entre las partes para defender sus puntos de vista</w:t>
      </w:r>
      <w:r w:rsidR="00B6315E">
        <w:rPr>
          <w:rFonts w:ascii="Arial" w:hAnsi="Arial" w:cs="Arial"/>
          <w:bCs/>
          <w:color w:val="000000"/>
          <w:sz w:val="26"/>
          <w:szCs w:val="26"/>
          <w:lang w:val="es-MX"/>
        </w:rPr>
        <w:t>;</w:t>
      </w:r>
      <w:r w:rsidR="0059117F">
        <w:rPr>
          <w:rFonts w:ascii="Arial" w:hAnsi="Arial" w:cs="Arial"/>
          <w:bCs/>
          <w:color w:val="000000"/>
          <w:sz w:val="26"/>
          <w:szCs w:val="26"/>
          <w:lang w:val="es-MX"/>
        </w:rPr>
        <w:t xml:space="preserve"> esto es, </w:t>
      </w:r>
      <w:r w:rsidR="00CF6972">
        <w:rPr>
          <w:rFonts w:ascii="Arial" w:hAnsi="Arial" w:cs="Arial"/>
          <w:bCs/>
          <w:color w:val="000000"/>
          <w:sz w:val="26"/>
          <w:szCs w:val="26"/>
          <w:lang w:val="es-MX"/>
        </w:rPr>
        <w:t>al no haberse entrado al estudio de la objeción de pruebas efectuada p</w:t>
      </w:r>
      <w:r w:rsidR="00B6315E">
        <w:rPr>
          <w:rFonts w:ascii="Arial" w:hAnsi="Arial" w:cs="Arial"/>
          <w:bCs/>
          <w:color w:val="000000"/>
          <w:sz w:val="26"/>
          <w:szCs w:val="26"/>
          <w:lang w:val="es-MX"/>
        </w:rPr>
        <w:t>or el tercero perjudicado, no se emitió una sentencia debidamente fundad</w:t>
      </w:r>
      <w:r w:rsidR="00217BBA">
        <w:rPr>
          <w:rFonts w:ascii="Arial" w:hAnsi="Arial" w:cs="Arial"/>
          <w:bCs/>
          <w:color w:val="000000"/>
          <w:sz w:val="26"/>
          <w:szCs w:val="26"/>
          <w:lang w:val="es-MX"/>
        </w:rPr>
        <w:t xml:space="preserve">a y motivada; </w:t>
      </w:r>
      <w:r w:rsidR="00217BBA">
        <w:rPr>
          <w:rFonts w:ascii="Arial" w:hAnsi="Arial" w:cs="Arial"/>
          <w:bCs/>
          <w:sz w:val="26"/>
          <w:szCs w:val="26"/>
        </w:rPr>
        <w:t>por consiguiente,</w:t>
      </w:r>
      <w:r w:rsidR="00217BBA" w:rsidRPr="005F7279">
        <w:rPr>
          <w:rFonts w:ascii="Arial" w:hAnsi="Arial" w:cs="Arial"/>
          <w:bCs/>
          <w:color w:val="000000"/>
          <w:sz w:val="26"/>
          <w:szCs w:val="26"/>
        </w:rPr>
        <w:t xml:space="preserve"> carente de exhaustividad y con ello se viole los artículos </w:t>
      </w:r>
      <w:r w:rsidR="00217BBA">
        <w:rPr>
          <w:rFonts w:ascii="Arial" w:hAnsi="Arial" w:cs="Arial"/>
          <w:bCs/>
          <w:color w:val="000000"/>
          <w:sz w:val="26"/>
          <w:szCs w:val="26"/>
        </w:rPr>
        <w:t>206</w:t>
      </w:r>
      <w:r w:rsidR="00217BBA" w:rsidRPr="005F7279">
        <w:rPr>
          <w:rFonts w:ascii="Arial" w:hAnsi="Arial" w:cs="Arial"/>
          <w:bCs/>
          <w:color w:val="000000"/>
          <w:sz w:val="26"/>
          <w:szCs w:val="26"/>
        </w:rPr>
        <w:t xml:space="preserve"> y </w:t>
      </w:r>
      <w:r w:rsidR="00217BBA">
        <w:rPr>
          <w:rFonts w:ascii="Arial" w:hAnsi="Arial" w:cs="Arial"/>
          <w:bCs/>
          <w:color w:val="000000"/>
          <w:sz w:val="26"/>
          <w:szCs w:val="26"/>
        </w:rPr>
        <w:t>207</w:t>
      </w:r>
      <w:r w:rsidR="00217BBA" w:rsidRPr="005F7279">
        <w:rPr>
          <w:rFonts w:ascii="Arial" w:hAnsi="Arial" w:cs="Arial"/>
          <w:bCs/>
          <w:color w:val="000000"/>
          <w:sz w:val="26"/>
          <w:szCs w:val="26"/>
        </w:rPr>
        <w:t xml:space="preserve"> fracciones I y II de la Ley de </w:t>
      </w:r>
      <w:r w:rsidR="00A033C1">
        <w:rPr>
          <w:rFonts w:ascii="Arial" w:hAnsi="Arial" w:cs="Arial"/>
          <w:bCs/>
          <w:color w:val="000000"/>
          <w:sz w:val="26"/>
          <w:szCs w:val="26"/>
        </w:rPr>
        <w:t xml:space="preserve">Procedimiento y </w:t>
      </w:r>
      <w:r w:rsidR="00217BBA" w:rsidRPr="005F7279">
        <w:rPr>
          <w:rFonts w:ascii="Arial" w:hAnsi="Arial" w:cs="Arial"/>
          <w:bCs/>
          <w:color w:val="000000"/>
          <w:sz w:val="26"/>
          <w:szCs w:val="26"/>
        </w:rPr>
        <w:t>Justicia Administrativa para el Estado de Oaxaca, conforme a los cuales, las resoluciones judiciales deben analizar todos y cada uno de los puntos planteados por las partes</w:t>
      </w:r>
      <w:r w:rsidR="00A033C1">
        <w:rPr>
          <w:rFonts w:ascii="Arial" w:hAnsi="Arial" w:cs="Arial"/>
          <w:bCs/>
          <w:color w:val="000000"/>
          <w:sz w:val="26"/>
          <w:szCs w:val="26"/>
        </w:rPr>
        <w:t>,</w:t>
      </w:r>
      <w:r w:rsidR="00217BBA" w:rsidRPr="005F7279">
        <w:rPr>
          <w:rFonts w:ascii="Arial" w:hAnsi="Arial" w:cs="Arial"/>
          <w:bCs/>
          <w:color w:val="000000"/>
          <w:sz w:val="26"/>
          <w:szCs w:val="26"/>
        </w:rPr>
        <w:t xml:space="preserve"> pudiendo subsanar la deficiencia de la queja tratándose del administrado</w:t>
      </w:r>
      <w:r w:rsidR="00A033C1">
        <w:rPr>
          <w:rFonts w:ascii="Arial" w:hAnsi="Arial" w:cs="Arial"/>
          <w:bCs/>
          <w:color w:val="000000"/>
          <w:sz w:val="26"/>
          <w:szCs w:val="26"/>
        </w:rPr>
        <w:t>,</w:t>
      </w:r>
      <w:r w:rsidR="00217BBA" w:rsidRPr="005F7279">
        <w:rPr>
          <w:rFonts w:ascii="Arial" w:hAnsi="Arial" w:cs="Arial"/>
          <w:bCs/>
          <w:color w:val="000000"/>
          <w:sz w:val="26"/>
          <w:szCs w:val="26"/>
        </w:rPr>
        <w:t xml:space="preserve"> siempre que de los hechos narrados se desprenda el agravio, debiendo fijar claramente los puntos propuestos por las partes e indicando los fundamentos y motivos en los que basa su</w:t>
      </w:r>
      <w:r>
        <w:rPr>
          <w:rFonts w:ascii="Arial" w:hAnsi="Arial" w:cs="Arial"/>
          <w:bCs/>
          <w:color w:val="000000"/>
          <w:sz w:val="26"/>
          <w:szCs w:val="26"/>
        </w:rPr>
        <w:t xml:space="preserve">  determinación.</w:t>
      </w:r>
    </w:p>
    <w:p w:rsidR="0059117F" w:rsidRPr="000769CE" w:rsidRDefault="00CC45B4" w:rsidP="0081085B">
      <w:pPr>
        <w:pStyle w:val="Sinespaciado"/>
        <w:spacing w:line="360" w:lineRule="auto"/>
        <w:jc w:val="both"/>
        <w:rPr>
          <w:rFonts w:ascii="Arial" w:eastAsia="Calibri" w:hAnsi="Arial" w:cs="Arial"/>
          <w:sz w:val="26"/>
          <w:szCs w:val="26"/>
        </w:rPr>
      </w:pPr>
      <w:r>
        <w:rPr>
          <w:rFonts w:ascii="Arial" w:hAnsi="Arial" w:cs="Arial"/>
          <w:bCs/>
          <w:color w:val="000000"/>
          <w:sz w:val="26"/>
          <w:szCs w:val="26"/>
        </w:rPr>
        <w:tab/>
      </w:r>
      <w:r w:rsidR="0059117F" w:rsidRPr="000769CE">
        <w:rPr>
          <w:rFonts w:ascii="Arial" w:hAnsi="Arial" w:cs="Arial"/>
          <w:bCs/>
          <w:color w:val="000000"/>
          <w:sz w:val="26"/>
          <w:szCs w:val="26"/>
        </w:rPr>
        <w:t>Por ende, ante la referida situación es que se imposibilita entrar al estudio de fondo y análisis propiamente de la materia de la revisión, que es la sentencia emitida en primera instancia, dado que es producto de un procedimiento viciado ante la violación procesal de mérito; por lo que, esta Sala Superior debe revocarla sin que ello implique la suplencia de la queja, pues esta clase de recomposiciones no se deben al estudio de un contenido mejorado de agravios, sino a la circunstancia de que se transgredió el derecho a la tutela judicial efectiva, que se encuentra relacionada con la de defensa; y en consecuencia, no es posible la existencia de un juicio válido.</w:t>
      </w:r>
      <w:r w:rsidR="0059117F" w:rsidRPr="000769CE">
        <w:rPr>
          <w:rFonts w:ascii="Arial" w:eastAsia="Calibri" w:hAnsi="Arial" w:cs="Arial"/>
          <w:sz w:val="26"/>
          <w:szCs w:val="26"/>
        </w:rPr>
        <w:t xml:space="preserve"> </w:t>
      </w:r>
    </w:p>
    <w:p w:rsidR="00CC45B4" w:rsidRDefault="00CC45B4" w:rsidP="00EE6AE7">
      <w:pPr>
        <w:spacing w:line="360" w:lineRule="auto"/>
        <w:jc w:val="both"/>
        <w:rPr>
          <w:rFonts w:ascii="Arial" w:hAnsi="Arial" w:cs="Arial"/>
          <w:bCs/>
          <w:color w:val="000000" w:themeColor="text1"/>
          <w:sz w:val="26"/>
          <w:szCs w:val="26"/>
        </w:rPr>
      </w:pPr>
      <w:r>
        <w:rPr>
          <w:rFonts w:ascii="Arial" w:hAnsi="Arial" w:cs="Arial"/>
          <w:bCs/>
          <w:color w:val="000000"/>
          <w:sz w:val="26"/>
          <w:szCs w:val="26"/>
        </w:rPr>
        <w:tab/>
      </w:r>
      <w:r w:rsidR="00AD0B38" w:rsidRPr="000769CE">
        <w:rPr>
          <w:rFonts w:ascii="Arial" w:hAnsi="Arial" w:cs="Arial"/>
          <w:bCs/>
          <w:color w:val="000000"/>
          <w:sz w:val="26"/>
          <w:szCs w:val="26"/>
        </w:rPr>
        <w:t>Entonces</w:t>
      </w:r>
      <w:r w:rsidR="0059117F" w:rsidRPr="000769CE">
        <w:rPr>
          <w:rFonts w:ascii="Arial" w:hAnsi="Arial" w:cs="Arial"/>
          <w:bCs/>
          <w:color w:val="000000"/>
          <w:sz w:val="26"/>
          <w:szCs w:val="26"/>
        </w:rPr>
        <w:t>, para reparar la violación procesal</w:t>
      </w:r>
      <w:r w:rsidR="0059117F" w:rsidRPr="000769CE">
        <w:rPr>
          <w:rFonts w:ascii="Arial" w:hAnsi="Arial" w:cs="Arial"/>
          <w:bCs/>
          <w:color w:val="000000" w:themeColor="text1"/>
          <w:sz w:val="26"/>
          <w:szCs w:val="26"/>
        </w:rPr>
        <w:t xml:space="preserve"> es imperativo</w:t>
      </w:r>
      <w:r w:rsidR="0059117F" w:rsidRPr="000769CE">
        <w:rPr>
          <w:rFonts w:ascii="Arial" w:hAnsi="Arial" w:cs="Arial"/>
          <w:b/>
          <w:bCs/>
          <w:color w:val="000000" w:themeColor="text1"/>
          <w:sz w:val="26"/>
          <w:szCs w:val="26"/>
        </w:rPr>
        <w:t xml:space="preserve"> REVOCAR</w:t>
      </w:r>
      <w:r w:rsidR="0059117F" w:rsidRPr="000769CE">
        <w:rPr>
          <w:rFonts w:ascii="Arial" w:hAnsi="Arial" w:cs="Arial"/>
          <w:bCs/>
          <w:color w:val="000000" w:themeColor="text1"/>
          <w:sz w:val="26"/>
          <w:szCs w:val="26"/>
        </w:rPr>
        <w:t xml:space="preserve"> la resolución </w:t>
      </w:r>
      <w:r w:rsidR="00AD0B38" w:rsidRPr="000769CE">
        <w:rPr>
          <w:rFonts w:ascii="Arial" w:hAnsi="Arial" w:cs="Arial"/>
          <w:bCs/>
          <w:color w:val="000000" w:themeColor="text1"/>
          <w:sz w:val="26"/>
          <w:szCs w:val="26"/>
        </w:rPr>
        <w:t xml:space="preserve">de </w:t>
      </w:r>
      <w:r w:rsidR="0059117F" w:rsidRPr="000769CE">
        <w:rPr>
          <w:rFonts w:ascii="Arial" w:hAnsi="Arial" w:cs="Arial"/>
          <w:bCs/>
          <w:color w:val="000000" w:themeColor="text1"/>
          <w:sz w:val="26"/>
          <w:szCs w:val="26"/>
        </w:rPr>
        <w:t>alzada, que es producto de un procedimiento viciado en los términos precisados en párrafos precedentes</w:t>
      </w:r>
      <w:r w:rsidR="00AD0B38" w:rsidRPr="000769CE">
        <w:rPr>
          <w:rFonts w:ascii="Arial" w:hAnsi="Arial" w:cs="Arial"/>
          <w:bCs/>
          <w:color w:val="000000" w:themeColor="text1"/>
          <w:sz w:val="26"/>
          <w:szCs w:val="26"/>
        </w:rPr>
        <w:t>;</w:t>
      </w:r>
      <w:r w:rsidR="0059117F" w:rsidRPr="000769CE">
        <w:rPr>
          <w:rFonts w:ascii="Arial" w:hAnsi="Arial" w:cs="Arial"/>
          <w:bCs/>
          <w:color w:val="000000" w:themeColor="text1"/>
          <w:sz w:val="26"/>
          <w:szCs w:val="26"/>
        </w:rPr>
        <w:t xml:space="preserve"> y </w:t>
      </w:r>
      <w:r w:rsidR="00AD0B38" w:rsidRPr="000769CE">
        <w:rPr>
          <w:rFonts w:ascii="Arial" w:hAnsi="Arial" w:cs="Arial"/>
          <w:bCs/>
          <w:color w:val="000000" w:themeColor="text1"/>
          <w:sz w:val="26"/>
          <w:szCs w:val="26"/>
        </w:rPr>
        <w:t xml:space="preserve">por consiguiente, </w:t>
      </w:r>
      <w:r w:rsidR="0059117F" w:rsidRPr="000769CE">
        <w:rPr>
          <w:rFonts w:ascii="Arial" w:hAnsi="Arial" w:cs="Arial"/>
          <w:bCs/>
          <w:color w:val="000000" w:themeColor="text1"/>
          <w:sz w:val="26"/>
          <w:szCs w:val="26"/>
        </w:rPr>
        <w:t xml:space="preserve"> declarar ineficaces las actuaciones subsecuentes a la determinación de </w:t>
      </w:r>
      <w:r w:rsidR="0081085B" w:rsidRPr="000769CE">
        <w:rPr>
          <w:rFonts w:ascii="Arial" w:hAnsi="Arial" w:cs="Arial"/>
          <w:bCs/>
          <w:color w:val="000000" w:themeColor="text1"/>
          <w:sz w:val="26"/>
          <w:szCs w:val="26"/>
        </w:rPr>
        <w:t xml:space="preserve">27 veintisiete </w:t>
      </w:r>
      <w:r w:rsidR="00AD0B38" w:rsidRPr="000769CE">
        <w:rPr>
          <w:rFonts w:ascii="Arial" w:hAnsi="Arial" w:cs="Arial"/>
          <w:bCs/>
          <w:color w:val="000000" w:themeColor="text1"/>
          <w:sz w:val="26"/>
          <w:szCs w:val="26"/>
        </w:rPr>
        <w:t>d</w:t>
      </w:r>
      <w:r w:rsidR="0081085B" w:rsidRPr="000769CE">
        <w:rPr>
          <w:rFonts w:ascii="Arial" w:hAnsi="Arial" w:cs="Arial"/>
          <w:bCs/>
          <w:color w:val="000000" w:themeColor="text1"/>
          <w:sz w:val="26"/>
          <w:szCs w:val="26"/>
        </w:rPr>
        <w:t>e marzo de 2018 dos mil dieciocho</w:t>
      </w:r>
      <w:r w:rsidR="00EE6AE7">
        <w:rPr>
          <w:rFonts w:ascii="Arial" w:hAnsi="Arial" w:cs="Arial"/>
          <w:bCs/>
          <w:color w:val="000000" w:themeColor="text1"/>
          <w:sz w:val="26"/>
          <w:szCs w:val="26"/>
        </w:rPr>
        <w:t xml:space="preserve">, para el efecto de que el Magistrado de la Sexta Sala Unitario de Primera Instancia, proceda a </w:t>
      </w:r>
      <w:r w:rsidR="00473D9C" w:rsidRPr="000769CE">
        <w:rPr>
          <w:rFonts w:ascii="Arial" w:hAnsi="Arial" w:cs="Arial"/>
          <w:bCs/>
          <w:color w:val="000000" w:themeColor="text1"/>
          <w:sz w:val="26"/>
          <w:szCs w:val="26"/>
        </w:rPr>
        <w:t>requ</w:t>
      </w:r>
      <w:r w:rsidR="00EE6AE7">
        <w:rPr>
          <w:rFonts w:ascii="Arial" w:hAnsi="Arial" w:cs="Arial"/>
          <w:bCs/>
          <w:color w:val="000000" w:themeColor="text1"/>
          <w:sz w:val="26"/>
          <w:szCs w:val="26"/>
        </w:rPr>
        <w:t>erir</w:t>
      </w:r>
      <w:r w:rsidR="00782714" w:rsidRPr="000769CE">
        <w:rPr>
          <w:rFonts w:ascii="Arial" w:hAnsi="Arial" w:cs="Arial"/>
          <w:bCs/>
          <w:color w:val="000000" w:themeColor="text1"/>
          <w:sz w:val="26"/>
          <w:szCs w:val="26"/>
        </w:rPr>
        <w:t xml:space="preserve"> al tercero afectado para que dentro del plazo de tres días hábiles, contados a partir del días hábil siguiente en que surta efectos la notificación de dicho proveído, precis</w:t>
      </w:r>
      <w:r w:rsidR="00354EEA" w:rsidRPr="000769CE">
        <w:rPr>
          <w:rFonts w:ascii="Arial" w:hAnsi="Arial" w:cs="Arial"/>
          <w:bCs/>
          <w:color w:val="000000" w:themeColor="text1"/>
          <w:sz w:val="26"/>
          <w:szCs w:val="26"/>
        </w:rPr>
        <w:t>e</w:t>
      </w:r>
      <w:r w:rsidR="00782714" w:rsidRPr="000769CE">
        <w:rPr>
          <w:rFonts w:ascii="Arial" w:hAnsi="Arial" w:cs="Arial"/>
          <w:bCs/>
          <w:color w:val="000000" w:themeColor="text1"/>
          <w:sz w:val="26"/>
          <w:szCs w:val="26"/>
        </w:rPr>
        <w:t xml:space="preserve"> el efecto o los actos que pretend</w:t>
      </w:r>
      <w:r w:rsidR="00354EEA" w:rsidRPr="000769CE">
        <w:rPr>
          <w:rFonts w:ascii="Arial" w:hAnsi="Arial" w:cs="Arial"/>
          <w:bCs/>
          <w:color w:val="000000" w:themeColor="text1"/>
          <w:sz w:val="26"/>
          <w:szCs w:val="26"/>
        </w:rPr>
        <w:t>e</w:t>
      </w:r>
      <w:r w:rsidR="00782714" w:rsidRPr="000769CE">
        <w:rPr>
          <w:rFonts w:ascii="Arial" w:hAnsi="Arial" w:cs="Arial"/>
          <w:bCs/>
          <w:color w:val="000000" w:themeColor="text1"/>
          <w:sz w:val="26"/>
          <w:szCs w:val="26"/>
        </w:rPr>
        <w:t xml:space="preserve"> demostrar con la prueba testimonial ofrecida</w:t>
      </w:r>
      <w:r w:rsidR="00473D9C" w:rsidRPr="000769CE">
        <w:rPr>
          <w:rFonts w:ascii="Arial" w:hAnsi="Arial" w:cs="Arial"/>
          <w:bCs/>
          <w:color w:val="000000" w:themeColor="text1"/>
          <w:sz w:val="26"/>
          <w:szCs w:val="26"/>
        </w:rPr>
        <w:t xml:space="preserve"> y</w:t>
      </w:r>
      <w:r w:rsidR="00782714" w:rsidRPr="000769CE">
        <w:rPr>
          <w:rFonts w:ascii="Arial" w:hAnsi="Arial" w:cs="Arial"/>
          <w:bCs/>
          <w:color w:val="000000" w:themeColor="text1"/>
          <w:sz w:val="26"/>
          <w:szCs w:val="26"/>
        </w:rPr>
        <w:t xml:space="preserve"> exhib</w:t>
      </w:r>
      <w:r w:rsidR="00354EEA" w:rsidRPr="000769CE">
        <w:rPr>
          <w:rFonts w:ascii="Arial" w:hAnsi="Arial" w:cs="Arial"/>
          <w:bCs/>
          <w:color w:val="000000" w:themeColor="text1"/>
          <w:sz w:val="26"/>
          <w:szCs w:val="26"/>
        </w:rPr>
        <w:t>a</w:t>
      </w:r>
      <w:r w:rsidR="00782714" w:rsidRPr="000769CE">
        <w:rPr>
          <w:rFonts w:ascii="Arial" w:hAnsi="Arial" w:cs="Arial"/>
          <w:bCs/>
          <w:color w:val="000000" w:themeColor="text1"/>
          <w:sz w:val="26"/>
          <w:szCs w:val="26"/>
        </w:rPr>
        <w:t xml:space="preserve"> el interrogatorio correspondiente debidamente firmado</w:t>
      </w:r>
      <w:r w:rsidR="00354EEA" w:rsidRPr="000769CE">
        <w:rPr>
          <w:rFonts w:ascii="Arial" w:hAnsi="Arial" w:cs="Arial"/>
          <w:bCs/>
          <w:color w:val="000000" w:themeColor="text1"/>
          <w:sz w:val="26"/>
          <w:szCs w:val="26"/>
        </w:rPr>
        <w:t>,</w:t>
      </w:r>
      <w:r w:rsidR="00782714" w:rsidRPr="000769CE">
        <w:rPr>
          <w:rFonts w:ascii="Arial" w:hAnsi="Arial" w:cs="Arial"/>
          <w:bCs/>
          <w:color w:val="000000" w:themeColor="text1"/>
          <w:sz w:val="26"/>
          <w:szCs w:val="26"/>
        </w:rPr>
        <w:t xml:space="preserve"> con copia para cada una de la partes en el juicio, a fin de que </w:t>
      </w:r>
      <w:r w:rsidR="00354EEA" w:rsidRPr="000769CE">
        <w:rPr>
          <w:rFonts w:ascii="Arial" w:hAnsi="Arial" w:cs="Arial"/>
          <w:bCs/>
          <w:color w:val="000000" w:themeColor="text1"/>
          <w:sz w:val="26"/>
          <w:szCs w:val="26"/>
        </w:rPr>
        <w:t>estén</w:t>
      </w:r>
      <w:r w:rsidR="00782714" w:rsidRPr="000769CE">
        <w:rPr>
          <w:rFonts w:ascii="Arial" w:hAnsi="Arial" w:cs="Arial"/>
          <w:bCs/>
          <w:color w:val="000000" w:themeColor="text1"/>
          <w:sz w:val="26"/>
          <w:szCs w:val="26"/>
        </w:rPr>
        <w:t xml:space="preserve"> en aptitud de formular repreguntas</w:t>
      </w:r>
      <w:r w:rsidR="00EE6AE7">
        <w:rPr>
          <w:rFonts w:ascii="Arial" w:hAnsi="Arial" w:cs="Arial"/>
          <w:bCs/>
          <w:color w:val="000000" w:themeColor="text1"/>
          <w:sz w:val="26"/>
          <w:szCs w:val="26"/>
        </w:rPr>
        <w:t xml:space="preserve">, efectuando el apercibimiento </w:t>
      </w:r>
      <w:r w:rsidR="00B94D25">
        <w:rPr>
          <w:rFonts w:ascii="Arial" w:hAnsi="Arial" w:cs="Arial"/>
          <w:bCs/>
          <w:color w:val="000000" w:themeColor="text1"/>
          <w:sz w:val="26"/>
          <w:szCs w:val="26"/>
        </w:rPr>
        <w:t>respectivo</w:t>
      </w:r>
      <w:r w:rsidR="00EE6AE7">
        <w:rPr>
          <w:rFonts w:ascii="Arial" w:hAnsi="Arial" w:cs="Arial"/>
          <w:bCs/>
          <w:color w:val="000000" w:themeColor="text1"/>
          <w:sz w:val="26"/>
          <w:szCs w:val="26"/>
        </w:rPr>
        <w:t xml:space="preserve"> en caso de no cumplir con dicho requerimiento</w:t>
      </w:r>
      <w:r w:rsidR="00354EEA" w:rsidRPr="000769CE">
        <w:rPr>
          <w:rFonts w:ascii="Arial" w:hAnsi="Arial" w:cs="Arial"/>
          <w:bCs/>
          <w:color w:val="000000" w:themeColor="text1"/>
          <w:sz w:val="26"/>
          <w:szCs w:val="26"/>
        </w:rPr>
        <w:t xml:space="preserve">; asimismo, </w:t>
      </w:r>
      <w:r w:rsidR="00EE6AE7">
        <w:rPr>
          <w:rFonts w:ascii="Arial" w:hAnsi="Arial" w:cs="Arial"/>
          <w:bCs/>
          <w:color w:val="000000" w:themeColor="text1"/>
          <w:sz w:val="26"/>
          <w:szCs w:val="26"/>
        </w:rPr>
        <w:t xml:space="preserve">se instruye a dicha autoridad jurisdiccional, que al momento de emitir la sentencia respectiva, entre al estudio de </w:t>
      </w:r>
      <w:r w:rsidR="00E847E7" w:rsidRPr="000769CE">
        <w:rPr>
          <w:rFonts w:ascii="Arial" w:hAnsi="Arial" w:cs="Arial"/>
          <w:bCs/>
          <w:color w:val="000000" w:themeColor="text1"/>
          <w:sz w:val="26"/>
          <w:szCs w:val="26"/>
        </w:rPr>
        <w:t xml:space="preserve">la objeción de pruebas efectuada por el tercero perjudicado, </w:t>
      </w:r>
      <w:r w:rsidR="00EE6AE7">
        <w:rPr>
          <w:rFonts w:ascii="Arial" w:hAnsi="Arial" w:cs="Arial"/>
          <w:bCs/>
          <w:color w:val="000000" w:themeColor="text1"/>
          <w:sz w:val="26"/>
          <w:szCs w:val="26"/>
        </w:rPr>
        <w:t>misma que</w:t>
      </w:r>
      <w:r w:rsidR="00E847E7" w:rsidRPr="000769CE">
        <w:rPr>
          <w:rFonts w:ascii="Arial" w:hAnsi="Arial" w:cs="Arial"/>
          <w:bCs/>
          <w:color w:val="000000" w:themeColor="text1"/>
          <w:sz w:val="26"/>
          <w:szCs w:val="26"/>
        </w:rPr>
        <w:t xml:space="preserve"> se reserv</w:t>
      </w:r>
      <w:r w:rsidR="00EE6AE7">
        <w:rPr>
          <w:rFonts w:ascii="Arial" w:hAnsi="Arial" w:cs="Arial"/>
          <w:bCs/>
          <w:color w:val="000000" w:themeColor="text1"/>
          <w:sz w:val="26"/>
          <w:szCs w:val="26"/>
        </w:rPr>
        <w:t>ó</w:t>
      </w:r>
      <w:r w:rsidR="00E847E7" w:rsidRPr="000769CE">
        <w:rPr>
          <w:rFonts w:ascii="Arial" w:hAnsi="Arial" w:cs="Arial"/>
          <w:bCs/>
          <w:color w:val="000000" w:themeColor="text1"/>
          <w:sz w:val="26"/>
          <w:szCs w:val="26"/>
        </w:rPr>
        <w:t>, con fundamento en los artículos 193 y 194 dela Ley de Procedimiento y Justicia Administra</w:t>
      </w:r>
      <w:r>
        <w:rPr>
          <w:rFonts w:ascii="Arial" w:hAnsi="Arial" w:cs="Arial"/>
          <w:bCs/>
          <w:color w:val="000000" w:themeColor="text1"/>
          <w:sz w:val="26"/>
          <w:szCs w:val="26"/>
        </w:rPr>
        <w:t>tiva para el Estado de Oaxaca.</w:t>
      </w:r>
    </w:p>
    <w:p w:rsidR="0059117F" w:rsidRDefault="00CC45B4" w:rsidP="00EE6AE7">
      <w:pPr>
        <w:spacing w:line="360" w:lineRule="auto"/>
        <w:jc w:val="both"/>
        <w:rPr>
          <w:rFonts w:ascii="Arial" w:hAnsi="Arial" w:cs="Arial"/>
          <w:bCs/>
          <w:color w:val="000000" w:themeColor="text1"/>
          <w:sz w:val="26"/>
          <w:szCs w:val="26"/>
        </w:rPr>
      </w:pPr>
      <w:r>
        <w:rPr>
          <w:rFonts w:ascii="Arial" w:hAnsi="Arial" w:cs="Arial"/>
          <w:bCs/>
          <w:color w:val="000000" w:themeColor="text1"/>
          <w:sz w:val="26"/>
          <w:szCs w:val="26"/>
        </w:rPr>
        <w:tab/>
      </w:r>
      <w:r w:rsidR="0059117F" w:rsidRPr="000769CE">
        <w:rPr>
          <w:rFonts w:ascii="Arial" w:hAnsi="Arial" w:cs="Arial"/>
          <w:bCs/>
          <w:color w:val="000000" w:themeColor="text1"/>
          <w:sz w:val="26"/>
          <w:szCs w:val="26"/>
        </w:rPr>
        <w:t>Sirve como referencia por el tema que trata la tesis del Primer Tribunal Colegiado en Materia Administrativa del Décimo Sexto Circuito, que aparece publicada en la página 2969 de la Gaceta del Semanario Judicial de la Federación, Lib</w:t>
      </w:r>
      <w:r w:rsidR="0059117F">
        <w:rPr>
          <w:rFonts w:ascii="Arial" w:hAnsi="Arial" w:cs="Arial"/>
          <w:bCs/>
          <w:color w:val="000000" w:themeColor="text1"/>
          <w:sz w:val="26"/>
          <w:szCs w:val="26"/>
        </w:rPr>
        <w:t xml:space="preserve">ro 31, Junio de 2016, Tomo IV, Décima Época, Materia Administrativa, bajo </w:t>
      </w:r>
      <w:r>
        <w:rPr>
          <w:rFonts w:ascii="Arial" w:hAnsi="Arial" w:cs="Arial"/>
          <w:bCs/>
          <w:color w:val="000000" w:themeColor="text1"/>
          <w:sz w:val="26"/>
          <w:szCs w:val="26"/>
        </w:rPr>
        <w:t>el rubro y texto siguientes:</w:t>
      </w:r>
    </w:p>
    <w:p w:rsidR="00CC45B4" w:rsidRDefault="00CC45B4" w:rsidP="00EE6AE7">
      <w:pPr>
        <w:spacing w:line="360" w:lineRule="auto"/>
        <w:jc w:val="both"/>
        <w:rPr>
          <w:rFonts w:ascii="Arial" w:hAnsi="Arial" w:cs="Arial"/>
          <w:bCs/>
          <w:color w:val="000000" w:themeColor="text1"/>
          <w:sz w:val="26"/>
          <w:szCs w:val="26"/>
        </w:rPr>
      </w:pPr>
    </w:p>
    <w:p w:rsidR="00950F2E" w:rsidRDefault="0059117F" w:rsidP="00CC45B4">
      <w:pPr>
        <w:widowControl w:val="0"/>
        <w:tabs>
          <w:tab w:val="left" w:pos="7513"/>
          <w:tab w:val="left" w:pos="7938"/>
        </w:tabs>
        <w:spacing w:line="276" w:lineRule="auto"/>
        <w:ind w:left="709" w:right="758"/>
        <w:jc w:val="both"/>
        <w:rPr>
          <w:rFonts w:ascii="Arial" w:hAnsi="Arial" w:cs="Arial"/>
          <w:sz w:val="26"/>
          <w:szCs w:val="26"/>
        </w:rPr>
      </w:pPr>
      <w:r w:rsidRPr="00AE4850">
        <w:rPr>
          <w:rFonts w:ascii="Arial" w:hAnsi="Arial" w:cs="Arial"/>
          <w:bCs/>
          <w:i/>
          <w:color w:val="000000" w:themeColor="text1"/>
        </w:rPr>
        <w:t>“</w:t>
      </w:r>
      <w:r w:rsidRPr="00AE4850">
        <w:rPr>
          <w:rFonts w:ascii="Arial" w:hAnsi="Arial" w:cs="Arial"/>
          <w:b/>
          <w:bCs/>
          <w:i/>
          <w:color w:val="000000" w:themeColor="text1"/>
        </w:rPr>
        <w:t>REPOSICIÓN DEL PROCEDIMIENTO ANTE EL TRIBUNAL DE LO CONTENCIOSO ADMINISTRATIVO DEL ESTADO DE GUANAJUATO. SE ACTUALIZA CUANDO EL JUZGADOR OMITE NOTIFICAR PERSONALMENTE AL ACTOR EL PROVEÍDO POR EL QUE LA DEMANDADA CONTESTÓ EL ESCRITO INICIAL DE DEMANDA Y OFRECIÓ PRUEBAS, ASÍ COMO CORRERLE TRASLADO CON ESOS DOCUMENTOS</w:t>
      </w:r>
      <w:r w:rsidRPr="00AE4850">
        <w:rPr>
          <w:rFonts w:ascii="Arial" w:hAnsi="Arial" w:cs="Arial"/>
          <w:bCs/>
          <w:i/>
          <w:color w:val="000000" w:themeColor="text1"/>
        </w:rPr>
        <w:t xml:space="preserve">. El derecho del actor en la justicia administrativa de ampliar su demanda cuando esté en alguna de las hipótesis legalmente establecidas para ello, constituye una de las formalidades esenciales del procedimiento que permite la debida integración de la </w:t>
      </w:r>
      <w:proofErr w:type="spellStart"/>
      <w:r w:rsidRPr="00AE4850">
        <w:rPr>
          <w:rFonts w:ascii="Arial" w:hAnsi="Arial" w:cs="Arial"/>
          <w:bCs/>
          <w:i/>
          <w:color w:val="000000" w:themeColor="text1"/>
        </w:rPr>
        <w:t>litis</w:t>
      </w:r>
      <w:proofErr w:type="spellEnd"/>
      <w:r w:rsidRPr="00AE4850">
        <w:rPr>
          <w:rFonts w:ascii="Arial" w:hAnsi="Arial" w:cs="Arial"/>
          <w:bCs/>
          <w:i/>
          <w:color w:val="000000" w:themeColor="text1"/>
        </w:rPr>
        <w:t xml:space="preserve"> y conlleva la obligación del juzgador de emitir un pronunciamiento en el que determine que se está en un supuesto de ampliación. En estas condiciones, el artículo 284, fracción III, del Código de Procedimiento y Justicia Administrativa para el Estado y los Municipios de Guanajuato prevé el derecho de ampliar la demanda dentro del plazo de siete días siguientes al en que surta efectos la notificación del auto por el que se tenga por contestada, cuando por virtud de la contestación se introduzcan cuestiones que no hubiesen sido conocidas por el actor al instar el juicio, y que no se refieran a la variación de los fundamentos del acto impugnado, con la finalidad de que pueda controvertir los argumentos o probanzas que la demandada aporta en su escrito de contestación y que no conoce, pues de otro modo no estará en posibilidad de ejercer su defensa, en relación con esos actos o probanzas novedosas. Por tanto, la omisión de notificar personalmente al actor el proveído por el que la demandada contestó el escrito inicial de demanda y ofreció pruebas, así como de correrle traslado con esos documentos, actualiza una violación a las reglas del procedimiento que trasciende al resultado del fallo y amerita su </w:t>
      </w:r>
      <w:r w:rsidR="00CC45B4">
        <w:rPr>
          <w:rFonts w:ascii="Arial" w:hAnsi="Arial" w:cs="Arial"/>
          <w:bCs/>
          <w:i/>
          <w:color w:val="000000" w:themeColor="text1"/>
        </w:rPr>
        <w:t xml:space="preserve">reposición”. </w:t>
      </w:r>
    </w:p>
    <w:p w:rsidR="00CC45B4" w:rsidRDefault="00CC45B4" w:rsidP="00616DC9">
      <w:pPr>
        <w:pStyle w:val="Sinespaciado"/>
        <w:spacing w:line="360" w:lineRule="auto"/>
        <w:ind w:right="49"/>
        <w:jc w:val="both"/>
        <w:rPr>
          <w:rFonts w:ascii="Arial" w:hAnsi="Arial" w:cs="Arial"/>
          <w:sz w:val="26"/>
          <w:szCs w:val="26"/>
          <w:lang w:val="es-MX"/>
        </w:rPr>
      </w:pPr>
      <w:r>
        <w:rPr>
          <w:rFonts w:ascii="Arial" w:hAnsi="Arial" w:cs="Arial"/>
          <w:sz w:val="26"/>
          <w:szCs w:val="26"/>
          <w:lang w:val="es-MX"/>
        </w:rPr>
        <w:tab/>
      </w:r>
      <w:r w:rsidR="00236DAC">
        <w:rPr>
          <w:rFonts w:ascii="Arial" w:hAnsi="Arial" w:cs="Arial"/>
          <w:sz w:val="26"/>
          <w:szCs w:val="26"/>
          <w:lang w:val="es-MX"/>
        </w:rPr>
        <w:t>En mérito de lo anterior, con fundamento en los artículos 2</w:t>
      </w:r>
      <w:r w:rsidR="00AE4850">
        <w:rPr>
          <w:rFonts w:ascii="Arial" w:hAnsi="Arial" w:cs="Arial"/>
          <w:sz w:val="26"/>
          <w:szCs w:val="26"/>
          <w:lang w:val="es-MX"/>
        </w:rPr>
        <w:t>36 fracción VII, 237 y 23</w:t>
      </w:r>
      <w:r w:rsidR="00236DAC">
        <w:rPr>
          <w:rFonts w:ascii="Arial" w:hAnsi="Arial" w:cs="Arial"/>
          <w:sz w:val="26"/>
          <w:szCs w:val="26"/>
          <w:lang w:val="es-MX"/>
        </w:rPr>
        <w:t xml:space="preserve">8 de la Ley de </w:t>
      </w:r>
      <w:r w:rsidR="00AE4850">
        <w:rPr>
          <w:rFonts w:ascii="Arial" w:hAnsi="Arial" w:cs="Arial"/>
          <w:sz w:val="26"/>
          <w:szCs w:val="26"/>
          <w:lang w:val="es-MX"/>
        </w:rPr>
        <w:t xml:space="preserve">Procedimiento y </w:t>
      </w:r>
      <w:r w:rsidR="00236DAC">
        <w:rPr>
          <w:rFonts w:ascii="Arial" w:hAnsi="Arial" w:cs="Arial"/>
          <w:sz w:val="26"/>
          <w:szCs w:val="26"/>
          <w:lang w:val="es-MX"/>
        </w:rPr>
        <w:t>Justicia Admin</w:t>
      </w:r>
      <w:r>
        <w:rPr>
          <w:rFonts w:ascii="Arial" w:hAnsi="Arial" w:cs="Arial"/>
          <w:sz w:val="26"/>
          <w:szCs w:val="26"/>
          <w:lang w:val="es-MX"/>
        </w:rPr>
        <w:t>istrativa para el Estado, se:</w:t>
      </w:r>
    </w:p>
    <w:p w:rsidR="00CC45B4" w:rsidRDefault="00CC45B4" w:rsidP="00616DC9">
      <w:pPr>
        <w:pStyle w:val="Sinespaciado"/>
        <w:spacing w:line="360" w:lineRule="auto"/>
        <w:ind w:right="49"/>
        <w:jc w:val="both"/>
        <w:rPr>
          <w:rFonts w:ascii="Arial" w:hAnsi="Arial" w:cs="Arial"/>
          <w:sz w:val="26"/>
          <w:szCs w:val="26"/>
          <w:lang w:val="es-MX"/>
        </w:rPr>
      </w:pPr>
    </w:p>
    <w:p w:rsidR="00CC45B4" w:rsidRDefault="00CC45B4" w:rsidP="00616DC9">
      <w:pPr>
        <w:pStyle w:val="Sinespaciado"/>
        <w:spacing w:line="360" w:lineRule="auto"/>
        <w:ind w:right="49"/>
        <w:jc w:val="both"/>
        <w:rPr>
          <w:rFonts w:ascii="Arial" w:hAnsi="Arial" w:cs="Arial"/>
          <w:sz w:val="26"/>
          <w:szCs w:val="26"/>
          <w:lang w:val="es-MX"/>
        </w:rPr>
      </w:pPr>
    </w:p>
    <w:p w:rsidR="00CC45B4" w:rsidRDefault="00236DAC" w:rsidP="00CC45B4">
      <w:pPr>
        <w:pStyle w:val="Sinespaciado"/>
        <w:spacing w:line="360" w:lineRule="auto"/>
        <w:ind w:right="49"/>
        <w:jc w:val="center"/>
        <w:rPr>
          <w:rFonts w:ascii="Arial" w:hAnsi="Arial" w:cs="Arial"/>
          <w:b/>
          <w:color w:val="000000"/>
          <w:sz w:val="26"/>
          <w:szCs w:val="26"/>
        </w:rPr>
      </w:pPr>
      <w:r w:rsidRPr="00DD3066">
        <w:rPr>
          <w:rFonts w:ascii="Arial" w:hAnsi="Arial" w:cs="Arial"/>
          <w:b/>
          <w:color w:val="000000"/>
          <w:sz w:val="26"/>
          <w:szCs w:val="26"/>
        </w:rPr>
        <w:t>R E S U E L V E</w:t>
      </w:r>
    </w:p>
    <w:p w:rsidR="00CC45B4" w:rsidRDefault="00CC45B4" w:rsidP="00CC45B4">
      <w:pPr>
        <w:pStyle w:val="Sinespaciado"/>
        <w:spacing w:line="360" w:lineRule="auto"/>
        <w:ind w:right="49"/>
        <w:jc w:val="center"/>
        <w:rPr>
          <w:rFonts w:ascii="Arial" w:hAnsi="Arial" w:cs="Arial"/>
          <w:b/>
          <w:color w:val="000000"/>
          <w:sz w:val="26"/>
          <w:szCs w:val="26"/>
        </w:rPr>
      </w:pPr>
    </w:p>
    <w:p w:rsidR="00CC45B4" w:rsidRDefault="00CC45B4" w:rsidP="00616DC9">
      <w:pPr>
        <w:pStyle w:val="Sinespaciado"/>
        <w:spacing w:line="360" w:lineRule="auto"/>
        <w:ind w:right="49"/>
        <w:jc w:val="both"/>
        <w:rPr>
          <w:rFonts w:ascii="Arial" w:hAnsi="Arial" w:cs="Arial"/>
          <w:sz w:val="26"/>
          <w:szCs w:val="26"/>
          <w:lang w:val="es-MX"/>
        </w:rPr>
      </w:pPr>
      <w:r>
        <w:rPr>
          <w:rFonts w:ascii="Arial" w:eastAsia="Calibri" w:hAnsi="Arial" w:cs="Arial"/>
          <w:b/>
          <w:bCs/>
          <w:sz w:val="26"/>
          <w:szCs w:val="26"/>
          <w:lang w:val="es-MX"/>
        </w:rPr>
        <w:tab/>
      </w:r>
      <w:r w:rsidR="00236DAC" w:rsidRPr="00DD3066">
        <w:rPr>
          <w:rFonts w:ascii="Arial" w:eastAsia="Calibri" w:hAnsi="Arial" w:cs="Arial"/>
          <w:b/>
          <w:bCs/>
          <w:sz w:val="26"/>
          <w:szCs w:val="26"/>
          <w:lang w:val="es-MX"/>
        </w:rPr>
        <w:t xml:space="preserve">PRIMERO. </w:t>
      </w:r>
      <w:r w:rsidR="00236DAC">
        <w:rPr>
          <w:rFonts w:ascii="Arial" w:hAnsi="Arial" w:cs="Arial"/>
          <w:sz w:val="26"/>
          <w:szCs w:val="26"/>
          <w:lang w:val="es-MX"/>
        </w:rPr>
        <w:t xml:space="preserve">Se </w:t>
      </w:r>
      <w:r w:rsidR="00236DAC">
        <w:rPr>
          <w:rFonts w:ascii="Arial" w:hAnsi="Arial" w:cs="Arial"/>
          <w:b/>
          <w:sz w:val="26"/>
          <w:szCs w:val="26"/>
          <w:lang w:val="es-MX"/>
        </w:rPr>
        <w:t>REVOCA</w:t>
      </w:r>
      <w:r w:rsidR="00236DAC">
        <w:rPr>
          <w:rFonts w:ascii="Arial" w:hAnsi="Arial" w:cs="Arial"/>
          <w:sz w:val="26"/>
          <w:szCs w:val="26"/>
          <w:lang w:val="es-MX"/>
        </w:rPr>
        <w:t xml:space="preserve"> </w:t>
      </w:r>
      <w:r w:rsidR="00236DAC" w:rsidRPr="00CC1AB3">
        <w:rPr>
          <w:rFonts w:ascii="Arial" w:hAnsi="Arial" w:cs="Arial"/>
          <w:sz w:val="26"/>
          <w:szCs w:val="26"/>
          <w:lang w:val="es-MX"/>
        </w:rPr>
        <w:t xml:space="preserve">la sentencia de </w:t>
      </w:r>
      <w:r>
        <w:rPr>
          <w:rFonts w:ascii="Arial" w:hAnsi="Arial" w:cs="Arial"/>
          <w:sz w:val="26"/>
          <w:szCs w:val="26"/>
          <w:lang w:val="es-MX"/>
        </w:rPr>
        <w:t>22</w:t>
      </w:r>
      <w:r w:rsidR="00CC1AB3">
        <w:rPr>
          <w:rFonts w:ascii="Arial" w:hAnsi="Arial" w:cs="Arial"/>
          <w:sz w:val="26"/>
          <w:szCs w:val="26"/>
          <w:lang w:val="es-MX"/>
        </w:rPr>
        <w:t xml:space="preserve"> veintidós de junio de 2018 dos mil dieciocho</w:t>
      </w:r>
      <w:r w:rsidR="00236DAC">
        <w:rPr>
          <w:rFonts w:ascii="Arial" w:hAnsi="Arial" w:cs="Arial"/>
          <w:sz w:val="26"/>
          <w:szCs w:val="26"/>
          <w:lang w:val="es-MX"/>
        </w:rPr>
        <w:t xml:space="preserve"> y se ordena reponer el procedimiento, en los términos precisa</w:t>
      </w:r>
      <w:r>
        <w:rPr>
          <w:rFonts w:ascii="Arial" w:hAnsi="Arial" w:cs="Arial"/>
          <w:sz w:val="26"/>
          <w:szCs w:val="26"/>
          <w:lang w:val="es-MX"/>
        </w:rPr>
        <w:t>dos en el Considerando Tercero.</w:t>
      </w:r>
    </w:p>
    <w:p w:rsidR="00CC45B4" w:rsidRDefault="00CC45B4" w:rsidP="00616DC9">
      <w:pPr>
        <w:pStyle w:val="Sinespaciado"/>
        <w:spacing w:line="360" w:lineRule="auto"/>
        <w:ind w:right="49"/>
        <w:jc w:val="both"/>
        <w:rPr>
          <w:rFonts w:ascii="Arial" w:hAnsi="Arial" w:cs="Arial"/>
          <w:sz w:val="26"/>
          <w:szCs w:val="26"/>
          <w:lang w:val="es-MX"/>
        </w:rPr>
      </w:pPr>
    </w:p>
    <w:p w:rsidR="00CC45B4" w:rsidRDefault="00CC45B4" w:rsidP="001F7BFC">
      <w:pPr>
        <w:spacing w:line="360" w:lineRule="auto"/>
        <w:jc w:val="both"/>
        <w:rPr>
          <w:rFonts w:ascii="Arial" w:hAnsi="Arial" w:cs="Arial"/>
          <w:b/>
          <w:sz w:val="26"/>
          <w:szCs w:val="26"/>
        </w:rPr>
      </w:pPr>
      <w:r>
        <w:rPr>
          <w:rFonts w:ascii="Arial" w:eastAsia="Calibri" w:hAnsi="Arial" w:cs="Arial"/>
          <w:b/>
          <w:sz w:val="26"/>
          <w:szCs w:val="26"/>
        </w:rPr>
        <w:tab/>
      </w:r>
      <w:r w:rsidR="001F7BFC">
        <w:rPr>
          <w:rFonts w:ascii="Arial" w:eastAsia="Calibri" w:hAnsi="Arial" w:cs="Arial"/>
          <w:b/>
          <w:sz w:val="26"/>
          <w:szCs w:val="26"/>
        </w:rPr>
        <w:t xml:space="preserve">SEGUNDO. </w:t>
      </w:r>
      <w:r w:rsidR="001F7BFC">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1F7BFC">
        <w:rPr>
          <w:rFonts w:ascii="Arial" w:hAnsi="Arial" w:cs="Arial"/>
          <w:b/>
          <w:sz w:val="26"/>
          <w:szCs w:val="26"/>
        </w:rPr>
        <w:t>Calle Miguel Hidalgo número 215, Colonia Centro, Municipio de Oaxaca de Juárez, Oaxaca, Código Postal 68000.</w:t>
      </w:r>
    </w:p>
    <w:p w:rsidR="00CC45B4" w:rsidRDefault="00CC45B4" w:rsidP="001F7BFC">
      <w:pPr>
        <w:spacing w:line="360" w:lineRule="auto"/>
        <w:jc w:val="both"/>
        <w:rPr>
          <w:rFonts w:ascii="Arial" w:hAnsi="Arial" w:cs="Arial"/>
          <w:sz w:val="26"/>
          <w:szCs w:val="26"/>
        </w:rPr>
      </w:pPr>
    </w:p>
    <w:p w:rsidR="00CC45B4" w:rsidRDefault="00CC45B4" w:rsidP="001F7BFC">
      <w:pPr>
        <w:spacing w:line="360" w:lineRule="auto"/>
        <w:jc w:val="both"/>
        <w:rPr>
          <w:rFonts w:ascii="Arial" w:eastAsia="Calibri" w:hAnsi="Arial" w:cs="Arial"/>
          <w:sz w:val="26"/>
          <w:szCs w:val="26"/>
        </w:rPr>
      </w:pPr>
      <w:r>
        <w:rPr>
          <w:rFonts w:ascii="Arial" w:hAnsi="Arial" w:cs="Arial"/>
          <w:sz w:val="26"/>
          <w:szCs w:val="26"/>
        </w:rPr>
        <w:tab/>
      </w:r>
      <w:r w:rsidR="00797390">
        <w:rPr>
          <w:rFonts w:ascii="Arial" w:eastAsia="Calibri" w:hAnsi="Arial" w:cs="Arial"/>
          <w:b/>
          <w:sz w:val="26"/>
          <w:szCs w:val="26"/>
        </w:rPr>
        <w:t xml:space="preserve">TERCERO. </w:t>
      </w:r>
      <w:r w:rsidR="0001460A" w:rsidRPr="00372D3D">
        <w:rPr>
          <w:rFonts w:ascii="Arial" w:eastAsia="Calibri" w:hAnsi="Arial" w:cs="Arial"/>
          <w:b/>
          <w:sz w:val="26"/>
          <w:szCs w:val="26"/>
        </w:rPr>
        <w:t>NOTIFÍQUESE Y C</w:t>
      </w:r>
      <w:r w:rsidR="0001460A">
        <w:rPr>
          <w:rFonts w:ascii="Arial" w:eastAsia="Calibri" w:hAnsi="Arial" w:cs="Arial"/>
          <w:b/>
          <w:sz w:val="26"/>
          <w:szCs w:val="26"/>
        </w:rPr>
        <w:t>Ú</w:t>
      </w:r>
      <w:r w:rsidR="0001460A" w:rsidRPr="00372D3D">
        <w:rPr>
          <w:rFonts w:ascii="Arial" w:eastAsia="Calibri" w:hAnsi="Arial" w:cs="Arial"/>
          <w:b/>
          <w:sz w:val="26"/>
          <w:szCs w:val="26"/>
        </w:rPr>
        <w:t>MPLASE,</w:t>
      </w:r>
      <w:r w:rsidR="0001460A" w:rsidRPr="00372D3D">
        <w:rPr>
          <w:rFonts w:ascii="Arial" w:eastAsia="Calibri" w:hAnsi="Arial" w:cs="Arial"/>
          <w:sz w:val="26"/>
          <w:szCs w:val="26"/>
        </w:rPr>
        <w:t xml:space="preserve"> remítase copia certificada de la presente resolución a la </w:t>
      </w:r>
      <w:r w:rsidR="003217E7">
        <w:rPr>
          <w:rFonts w:ascii="Arial" w:eastAsia="Calibri" w:hAnsi="Arial" w:cs="Arial"/>
          <w:sz w:val="26"/>
          <w:szCs w:val="26"/>
        </w:rPr>
        <w:t xml:space="preserve">Sexta </w:t>
      </w:r>
      <w:r w:rsidR="0001460A" w:rsidRPr="00372D3D">
        <w:rPr>
          <w:rFonts w:ascii="Arial" w:eastAsia="Calibri" w:hAnsi="Arial" w:cs="Arial"/>
          <w:sz w:val="26"/>
          <w:szCs w:val="26"/>
        </w:rPr>
        <w:t xml:space="preserve">Sala </w:t>
      </w:r>
      <w:r w:rsidR="003217E7">
        <w:rPr>
          <w:rFonts w:ascii="Arial" w:eastAsia="Calibri" w:hAnsi="Arial" w:cs="Arial"/>
          <w:sz w:val="26"/>
          <w:szCs w:val="26"/>
        </w:rPr>
        <w:t xml:space="preserve">Unitaria </w:t>
      </w:r>
      <w:r w:rsidR="0001460A" w:rsidRPr="00372D3D">
        <w:rPr>
          <w:rFonts w:ascii="Arial" w:eastAsia="Calibri" w:hAnsi="Arial" w:cs="Arial"/>
          <w:sz w:val="26"/>
          <w:szCs w:val="26"/>
        </w:rPr>
        <w:t>de Primera Instancia de este Tribunal y en su oportunidad archívese el presente cuaderno de r</w:t>
      </w:r>
      <w:r>
        <w:rPr>
          <w:rFonts w:ascii="Arial" w:eastAsia="Calibri" w:hAnsi="Arial" w:cs="Arial"/>
          <w:sz w:val="26"/>
          <w:szCs w:val="26"/>
        </w:rPr>
        <w:t>evisión como asunto concluido.</w:t>
      </w:r>
    </w:p>
    <w:p w:rsidR="00CC45B4" w:rsidRPr="00211DED" w:rsidRDefault="00CC45B4" w:rsidP="00CC45B4">
      <w:pPr>
        <w:spacing w:line="360" w:lineRule="auto"/>
        <w:jc w:val="both"/>
        <w:rPr>
          <w:rFonts w:ascii="Arial" w:eastAsia="Calibri" w:hAnsi="Arial" w:cs="Arial"/>
          <w:sz w:val="26"/>
          <w:szCs w:val="26"/>
        </w:rPr>
      </w:pPr>
    </w:p>
    <w:p w:rsidR="00CC45B4" w:rsidRDefault="00CC45B4" w:rsidP="00CC45B4">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C45B4" w:rsidRDefault="00CC45B4" w:rsidP="00CC45B4">
      <w:pPr>
        <w:spacing w:line="360" w:lineRule="auto"/>
        <w:jc w:val="both"/>
        <w:rPr>
          <w:rFonts w:ascii="Arial" w:eastAsiaTheme="minorEastAsia" w:hAnsi="Arial" w:cs="Arial"/>
          <w:sz w:val="26"/>
          <w:szCs w:val="26"/>
          <w:lang w:eastAsia="es-MX"/>
        </w:rPr>
      </w:pPr>
    </w:p>
    <w:p w:rsidR="00CC45B4" w:rsidRDefault="00CC45B4" w:rsidP="00CC45B4">
      <w:pPr>
        <w:spacing w:line="360" w:lineRule="auto"/>
        <w:jc w:val="both"/>
        <w:rPr>
          <w:rFonts w:ascii="Arial" w:eastAsiaTheme="minorEastAsia" w:hAnsi="Arial" w:cs="Arial"/>
          <w:sz w:val="26"/>
          <w:szCs w:val="26"/>
          <w:lang w:eastAsia="es-MX"/>
        </w:rPr>
      </w:pPr>
    </w:p>
    <w:p w:rsidR="00CC45B4" w:rsidRDefault="00CC45B4" w:rsidP="00CC45B4">
      <w:pPr>
        <w:spacing w:line="360" w:lineRule="auto"/>
        <w:jc w:val="both"/>
        <w:rPr>
          <w:rFonts w:ascii="Arial" w:eastAsiaTheme="minorEastAsia" w:hAnsi="Arial" w:cs="Arial"/>
          <w:sz w:val="26"/>
          <w:szCs w:val="26"/>
          <w:lang w:eastAsia="es-MX"/>
        </w:rPr>
      </w:pPr>
    </w:p>
    <w:p w:rsidR="00CC45B4" w:rsidRDefault="00CC45B4" w:rsidP="00CC45B4">
      <w:pPr>
        <w:spacing w:line="360" w:lineRule="auto"/>
        <w:jc w:val="both"/>
        <w:rPr>
          <w:rFonts w:ascii="Arial" w:eastAsiaTheme="minorEastAsia" w:hAnsi="Arial" w:cs="Arial"/>
          <w:sz w:val="26"/>
          <w:szCs w:val="26"/>
          <w:lang w:eastAsia="es-MX"/>
        </w:rPr>
      </w:pPr>
    </w:p>
    <w:p w:rsidR="00CC45B4" w:rsidRDefault="00CC45B4" w:rsidP="00CC45B4">
      <w:pPr>
        <w:spacing w:line="360" w:lineRule="auto"/>
        <w:jc w:val="both"/>
        <w:rPr>
          <w:rFonts w:ascii="Arial" w:eastAsiaTheme="minorEastAsia" w:hAnsi="Arial" w:cs="Arial"/>
          <w:sz w:val="26"/>
          <w:szCs w:val="26"/>
          <w:lang w:eastAsia="es-MX"/>
        </w:rPr>
      </w:pPr>
    </w:p>
    <w:p w:rsidR="00CC45B4" w:rsidRDefault="00CC45B4" w:rsidP="00CC45B4">
      <w:pPr>
        <w:pStyle w:val="Sinespaciado"/>
        <w:jc w:val="center"/>
        <w:rPr>
          <w:rFonts w:ascii="Arial" w:hAnsi="Arial" w:cs="Arial"/>
          <w:sz w:val="26"/>
          <w:szCs w:val="26"/>
          <w:lang w:val="es-MX"/>
        </w:rPr>
      </w:pPr>
      <w:r>
        <w:rPr>
          <w:rFonts w:ascii="Arial" w:hAnsi="Arial" w:cs="Arial"/>
          <w:sz w:val="26"/>
          <w:szCs w:val="26"/>
        </w:rPr>
        <w:t>MAGISTRADO ADRIÁN QUIROGA AVENDAÑO.</w:t>
      </w:r>
    </w:p>
    <w:p w:rsidR="00CC45B4" w:rsidRDefault="00CC45B4" w:rsidP="00CC45B4">
      <w:pPr>
        <w:pStyle w:val="Sinespaciado"/>
        <w:jc w:val="center"/>
        <w:rPr>
          <w:rFonts w:ascii="Arial" w:hAnsi="Arial" w:cs="Arial"/>
          <w:sz w:val="26"/>
          <w:szCs w:val="26"/>
        </w:rPr>
      </w:pPr>
      <w:r>
        <w:rPr>
          <w:rFonts w:ascii="Arial" w:hAnsi="Arial" w:cs="Arial"/>
          <w:sz w:val="26"/>
          <w:szCs w:val="26"/>
        </w:rPr>
        <w:t>PRESIDENTE</w:t>
      </w: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C45B4" w:rsidRPr="000101AC" w:rsidRDefault="00CC45B4" w:rsidP="00CC45B4">
      <w:pPr>
        <w:spacing w:line="360" w:lineRule="auto"/>
        <w:jc w:val="center"/>
        <w:rPr>
          <w:rFonts w:ascii="Arial" w:eastAsia="Calibri" w:hAnsi="Arial" w:cs="Arial"/>
          <w:b/>
          <w:sz w:val="14"/>
          <w:szCs w:val="26"/>
        </w:rPr>
      </w:pPr>
      <w:r w:rsidRPr="000101AC">
        <w:rPr>
          <w:rFonts w:ascii="Arial" w:eastAsia="Calibri" w:hAnsi="Arial" w:cs="Arial"/>
          <w:b/>
          <w:sz w:val="14"/>
          <w:szCs w:val="26"/>
        </w:rPr>
        <w:t xml:space="preserve">LAS PRESENTES FIRMAS CORRESPONDEN AL </w:t>
      </w:r>
      <w:r w:rsidR="00893E63">
        <w:rPr>
          <w:rFonts w:ascii="Arial" w:eastAsia="Calibri" w:hAnsi="Arial" w:cs="Arial"/>
          <w:b/>
          <w:sz w:val="14"/>
          <w:szCs w:val="26"/>
        </w:rPr>
        <w:t>RECURSO DE REVISIÓN 29</w:t>
      </w:r>
      <w:r>
        <w:rPr>
          <w:rFonts w:ascii="Arial" w:eastAsia="Calibri" w:hAnsi="Arial" w:cs="Arial"/>
          <w:b/>
          <w:sz w:val="14"/>
          <w:szCs w:val="26"/>
        </w:rPr>
        <w:t>8</w:t>
      </w:r>
      <w:r w:rsidRPr="000101AC">
        <w:rPr>
          <w:rFonts w:ascii="Arial" w:eastAsia="Calibri" w:hAnsi="Arial" w:cs="Arial"/>
          <w:b/>
          <w:sz w:val="14"/>
          <w:szCs w:val="26"/>
        </w:rPr>
        <w:t>/2018</w:t>
      </w: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893E63" w:rsidRDefault="00893E63" w:rsidP="00CC45B4">
      <w:pPr>
        <w:spacing w:line="360" w:lineRule="auto"/>
        <w:rPr>
          <w:rFonts w:ascii="Arial" w:eastAsia="Calibri" w:hAnsi="Arial" w:cs="Arial"/>
          <w:sz w:val="26"/>
          <w:szCs w:val="26"/>
        </w:rPr>
      </w:pPr>
    </w:p>
    <w:p w:rsidR="00893E63" w:rsidRDefault="00893E63" w:rsidP="00CC45B4">
      <w:pPr>
        <w:spacing w:line="360" w:lineRule="auto"/>
        <w:rPr>
          <w:rFonts w:ascii="Arial" w:eastAsia="Calibri" w:hAnsi="Arial" w:cs="Arial"/>
          <w:sz w:val="26"/>
          <w:szCs w:val="26"/>
        </w:rPr>
      </w:pPr>
    </w:p>
    <w:p w:rsidR="00893E63" w:rsidRDefault="00893E63" w:rsidP="00CC45B4">
      <w:pPr>
        <w:spacing w:line="360" w:lineRule="auto"/>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893E63" w:rsidRDefault="00893E63"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893E63" w:rsidRDefault="00893E63" w:rsidP="00CC45B4">
      <w:pPr>
        <w:spacing w:line="360" w:lineRule="auto"/>
        <w:rPr>
          <w:rFonts w:ascii="Arial" w:eastAsia="Calibri" w:hAnsi="Arial" w:cs="Arial"/>
          <w:sz w:val="26"/>
          <w:szCs w:val="26"/>
        </w:rPr>
      </w:pPr>
    </w:p>
    <w:p w:rsidR="00CC45B4" w:rsidRDefault="00CC45B4" w:rsidP="00CC45B4">
      <w:pPr>
        <w:spacing w:line="360" w:lineRule="auto"/>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C45B4" w:rsidRDefault="00CC45B4" w:rsidP="00CC45B4">
      <w:pPr>
        <w:spacing w:line="360" w:lineRule="auto"/>
        <w:jc w:val="center"/>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p>
    <w:p w:rsidR="00CC45B4" w:rsidRDefault="00CC45B4" w:rsidP="00CC45B4">
      <w:pPr>
        <w:spacing w:line="360" w:lineRule="auto"/>
        <w:jc w:val="center"/>
        <w:rPr>
          <w:rFonts w:ascii="Arial" w:eastAsia="Calibri" w:hAnsi="Arial" w:cs="Arial"/>
          <w:sz w:val="26"/>
          <w:szCs w:val="26"/>
        </w:rPr>
      </w:pPr>
    </w:p>
    <w:p w:rsidR="00893E63" w:rsidRDefault="00893E63" w:rsidP="00CC45B4">
      <w:pPr>
        <w:spacing w:line="360" w:lineRule="auto"/>
        <w:jc w:val="center"/>
        <w:rPr>
          <w:rFonts w:ascii="Arial" w:eastAsia="Calibri" w:hAnsi="Arial" w:cs="Arial"/>
          <w:sz w:val="26"/>
          <w:szCs w:val="26"/>
        </w:rPr>
      </w:pPr>
    </w:p>
    <w:p w:rsidR="00893E63" w:rsidRDefault="00893E63" w:rsidP="00CC45B4">
      <w:pPr>
        <w:spacing w:line="360" w:lineRule="auto"/>
        <w:jc w:val="center"/>
        <w:rPr>
          <w:rFonts w:ascii="Arial" w:eastAsia="Calibri" w:hAnsi="Arial" w:cs="Arial"/>
          <w:sz w:val="26"/>
          <w:szCs w:val="26"/>
        </w:rPr>
      </w:pPr>
    </w:p>
    <w:p w:rsidR="00CC45B4" w:rsidRDefault="00CC45B4" w:rsidP="00CC45B4">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CC45B4" w:rsidRDefault="00CC45B4" w:rsidP="00CC45B4">
      <w:pPr>
        <w:rPr>
          <w:rFonts w:ascii="Arial" w:eastAsia="Calibri" w:hAnsi="Arial" w:cs="Arial"/>
          <w:sz w:val="26"/>
          <w:szCs w:val="26"/>
        </w:rPr>
      </w:pPr>
    </w:p>
    <w:p w:rsidR="00CC45B4" w:rsidRDefault="00CC45B4" w:rsidP="00CC45B4">
      <w:pPr>
        <w:rPr>
          <w:rFonts w:ascii="Arial" w:eastAsia="Calibri" w:hAnsi="Arial" w:cs="Arial"/>
          <w:sz w:val="26"/>
          <w:szCs w:val="26"/>
        </w:rPr>
      </w:pPr>
    </w:p>
    <w:p w:rsidR="00893E63" w:rsidRDefault="00893E63" w:rsidP="00CC45B4">
      <w:pPr>
        <w:rPr>
          <w:rFonts w:ascii="Arial" w:eastAsia="Calibri" w:hAnsi="Arial" w:cs="Arial"/>
          <w:sz w:val="26"/>
          <w:szCs w:val="26"/>
        </w:rPr>
      </w:pPr>
    </w:p>
    <w:p w:rsidR="00893E63" w:rsidRDefault="00893E63" w:rsidP="00CC45B4">
      <w:pPr>
        <w:rPr>
          <w:rFonts w:ascii="Arial" w:eastAsia="Calibri" w:hAnsi="Arial" w:cs="Arial"/>
          <w:sz w:val="26"/>
          <w:szCs w:val="26"/>
        </w:rPr>
      </w:pPr>
    </w:p>
    <w:p w:rsidR="00893E63" w:rsidRDefault="00893E63" w:rsidP="00CC45B4">
      <w:pPr>
        <w:rPr>
          <w:rFonts w:ascii="Arial" w:eastAsia="Calibri" w:hAnsi="Arial" w:cs="Arial"/>
          <w:sz w:val="26"/>
          <w:szCs w:val="26"/>
        </w:rPr>
      </w:pPr>
    </w:p>
    <w:p w:rsidR="00893E63" w:rsidRDefault="00893E63" w:rsidP="00CC45B4">
      <w:pPr>
        <w:rPr>
          <w:rFonts w:ascii="Arial" w:eastAsia="Calibri" w:hAnsi="Arial" w:cs="Arial"/>
          <w:sz w:val="26"/>
          <w:szCs w:val="26"/>
        </w:rPr>
      </w:pPr>
    </w:p>
    <w:p w:rsidR="00893E63" w:rsidRDefault="00893E63" w:rsidP="00CC45B4">
      <w:pPr>
        <w:rPr>
          <w:rFonts w:ascii="Arial" w:eastAsia="Calibri" w:hAnsi="Arial" w:cs="Arial"/>
          <w:sz w:val="26"/>
          <w:szCs w:val="26"/>
        </w:rPr>
      </w:pPr>
    </w:p>
    <w:p w:rsidR="00CC45B4" w:rsidRDefault="00CC45B4" w:rsidP="00CC45B4">
      <w:pPr>
        <w:rPr>
          <w:rFonts w:ascii="Arial" w:eastAsia="Calibri" w:hAnsi="Arial" w:cs="Arial"/>
          <w:sz w:val="26"/>
          <w:szCs w:val="26"/>
        </w:rPr>
      </w:pPr>
    </w:p>
    <w:p w:rsidR="00CC45B4" w:rsidRDefault="00CC45B4" w:rsidP="00CC45B4">
      <w:pPr>
        <w:rPr>
          <w:rFonts w:ascii="Arial" w:eastAsia="Calibri" w:hAnsi="Arial" w:cs="Arial"/>
          <w:sz w:val="26"/>
          <w:szCs w:val="26"/>
        </w:rPr>
      </w:pPr>
    </w:p>
    <w:p w:rsidR="00CC45B4" w:rsidRDefault="00CC45B4" w:rsidP="00CC45B4">
      <w:pPr>
        <w:pStyle w:val="Sinespaciado"/>
        <w:jc w:val="center"/>
        <w:rPr>
          <w:rFonts w:ascii="Arial" w:hAnsi="Arial" w:cs="Arial"/>
          <w:sz w:val="26"/>
          <w:szCs w:val="26"/>
        </w:rPr>
      </w:pPr>
      <w:r>
        <w:rPr>
          <w:rFonts w:ascii="Arial" w:hAnsi="Arial" w:cs="Arial"/>
          <w:sz w:val="26"/>
          <w:szCs w:val="26"/>
        </w:rPr>
        <w:t>LICENCIADA LETICIA GARCÍA SOTO.</w:t>
      </w:r>
    </w:p>
    <w:p w:rsidR="00CC45B4" w:rsidRPr="00FA26A1" w:rsidRDefault="00CC45B4" w:rsidP="00CC45B4">
      <w:pPr>
        <w:pStyle w:val="Sinespaciado"/>
        <w:jc w:val="center"/>
        <w:rPr>
          <w:rFonts w:ascii="Arial" w:hAnsi="Arial" w:cs="Arial"/>
          <w:sz w:val="26"/>
          <w:szCs w:val="26"/>
        </w:rPr>
      </w:pPr>
      <w:r>
        <w:rPr>
          <w:rFonts w:ascii="Arial" w:hAnsi="Arial" w:cs="Arial"/>
          <w:sz w:val="26"/>
          <w:szCs w:val="26"/>
        </w:rPr>
        <w:t>SECRETARIA GENERAL DE ACUERDOS.</w:t>
      </w:r>
    </w:p>
    <w:p w:rsidR="00CC45B4" w:rsidRDefault="00CC45B4" w:rsidP="00CC45B4">
      <w:pPr>
        <w:spacing w:line="360" w:lineRule="auto"/>
        <w:ind w:firstLine="708"/>
        <w:jc w:val="both"/>
        <w:rPr>
          <w:sz w:val="26"/>
          <w:szCs w:val="26"/>
        </w:rPr>
      </w:pPr>
    </w:p>
    <w:p w:rsidR="00CC45B4" w:rsidRDefault="00CC45B4" w:rsidP="00CC45B4">
      <w:pPr>
        <w:spacing w:line="360" w:lineRule="auto"/>
        <w:ind w:firstLine="708"/>
        <w:jc w:val="both"/>
        <w:rPr>
          <w:sz w:val="26"/>
          <w:szCs w:val="26"/>
        </w:rPr>
      </w:pPr>
    </w:p>
    <w:p w:rsidR="00CC45B4" w:rsidRDefault="00CC45B4" w:rsidP="00CC45B4">
      <w:pPr>
        <w:spacing w:line="360" w:lineRule="auto"/>
        <w:ind w:firstLine="708"/>
        <w:jc w:val="both"/>
        <w:rPr>
          <w:rFonts w:ascii="Arial" w:eastAsia="Calibri" w:hAnsi="Arial" w:cs="Arial"/>
          <w:sz w:val="26"/>
          <w:szCs w:val="26"/>
        </w:rPr>
      </w:pPr>
    </w:p>
    <w:p w:rsidR="00CC45B4" w:rsidRDefault="00CC45B4" w:rsidP="00CC45B4">
      <w:pPr>
        <w:spacing w:line="360" w:lineRule="auto"/>
        <w:ind w:firstLine="708"/>
        <w:jc w:val="both"/>
        <w:rPr>
          <w:rFonts w:ascii="Arial" w:eastAsia="Calibri" w:hAnsi="Arial" w:cs="Arial"/>
          <w:sz w:val="26"/>
          <w:szCs w:val="26"/>
        </w:rPr>
      </w:pPr>
    </w:p>
    <w:p w:rsidR="0001460A" w:rsidRPr="00D3783F" w:rsidRDefault="0001460A" w:rsidP="007406DF">
      <w:pPr>
        <w:pStyle w:val="Prrafodelista"/>
        <w:ind w:left="1429"/>
        <w:rPr>
          <w:rFonts w:ascii="Arial" w:hAnsi="Arial" w:cs="Arial"/>
          <w:bCs/>
          <w:sz w:val="26"/>
          <w:szCs w:val="26"/>
        </w:rPr>
      </w:pPr>
    </w:p>
    <w:sectPr w:rsidR="0001460A" w:rsidRPr="00D3783F" w:rsidSect="007849BD">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BE" w:rsidRDefault="002B0DBE">
      <w:r>
        <w:separator/>
      </w:r>
    </w:p>
  </w:endnote>
  <w:endnote w:type="continuationSeparator" w:id="0">
    <w:p w:rsidR="002B0DBE" w:rsidRDefault="002B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9C" w:rsidRDefault="001034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9C" w:rsidRDefault="0010349C">
    <w:pPr>
      <w:pStyle w:val="Piedepgina"/>
    </w:pPr>
    <w:r>
      <w:rPr>
        <w:noProof/>
        <w:lang w:eastAsia="es-MX"/>
      </w:rPr>
      <w:drawing>
        <wp:anchor distT="0" distB="0" distL="114300" distR="114300" simplePos="0" relativeHeight="251661312" behindDoc="0" locked="0" layoutInCell="1" allowOverlap="1" wp14:anchorId="4BF3811F" wp14:editId="57AD6311">
          <wp:simplePos x="0" y="0"/>
          <wp:positionH relativeFrom="column">
            <wp:posOffset>-1529207</wp:posOffset>
          </wp:positionH>
          <wp:positionV relativeFrom="paragraph">
            <wp:posOffset>-5011928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9C" w:rsidRDefault="001034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BE" w:rsidRDefault="002B0DBE">
      <w:r>
        <w:separator/>
      </w:r>
    </w:p>
  </w:footnote>
  <w:footnote w:type="continuationSeparator" w:id="0">
    <w:p w:rsidR="002B0DBE" w:rsidRDefault="002B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9A7D75">
        <w:pPr>
          <w:pStyle w:val="Encabezado"/>
          <w:jc w:val="center"/>
        </w:pPr>
        <w:r>
          <w:fldChar w:fldCharType="begin"/>
        </w:r>
        <w:r>
          <w:instrText>PAGE   \* MERGEFORMAT</w:instrText>
        </w:r>
        <w:r>
          <w:fldChar w:fldCharType="separate"/>
        </w:r>
        <w:r w:rsidR="0010349C">
          <w:rPr>
            <w:noProof/>
          </w:rPr>
          <w:t>8</w:t>
        </w:r>
        <w:r>
          <w:fldChar w:fldCharType="end"/>
        </w:r>
      </w:p>
    </w:sdtContent>
  </w:sdt>
  <w:p w:rsidR="002A6EF0" w:rsidRDefault="0010349C">
    <w:pPr>
      <w:pStyle w:val="Encabezado"/>
    </w:pPr>
    <w:bookmarkStart w:id="0" w:name="_GoBack"/>
    <w:r>
      <w:rPr>
        <w:noProof/>
        <w:lang w:eastAsia="es-MX"/>
      </w:rPr>
      <w:drawing>
        <wp:anchor distT="0" distB="0" distL="114300" distR="114300" simplePos="0" relativeHeight="251662336" behindDoc="0" locked="0" layoutInCell="1" allowOverlap="1" wp14:anchorId="6F464337" wp14:editId="758D7D34">
          <wp:simplePos x="0" y="0"/>
          <wp:positionH relativeFrom="column">
            <wp:posOffset>5582793</wp:posOffset>
          </wp:positionH>
          <wp:positionV relativeFrom="paragraph">
            <wp:posOffset>3287903</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D05DF" w:rsidRDefault="009A7D75" w:rsidP="007D05DF">
        <w:pPr>
          <w:pStyle w:val="Encabezado"/>
          <w:jc w:val="center"/>
          <w:rPr>
            <w:noProof/>
          </w:rPr>
        </w:pPr>
        <w:r>
          <w:fldChar w:fldCharType="begin"/>
        </w:r>
        <w:r>
          <w:instrText xml:space="preserve"> PAGE   \* MERGEFORMAT </w:instrText>
        </w:r>
        <w:r>
          <w:fldChar w:fldCharType="separate"/>
        </w:r>
        <w:r w:rsidR="0010349C">
          <w:rPr>
            <w:noProof/>
          </w:rPr>
          <w:t>1</w:t>
        </w:r>
        <w:r>
          <w:rPr>
            <w:noProof/>
          </w:rPr>
          <w:fldChar w:fldCharType="end"/>
        </w:r>
      </w:p>
    </w:sdtContent>
  </w:sdt>
  <w:p w:rsidR="00655BA3" w:rsidRDefault="009A7D75" w:rsidP="007D05DF">
    <w:pPr>
      <w:pStyle w:val="Encabezado"/>
      <w:jc w:val="center"/>
    </w:pPr>
    <w:r>
      <w:rPr>
        <w:noProof/>
        <w:lang w:val="es-MX" w:eastAsia="es-MX"/>
      </w:rPr>
      <w:drawing>
        <wp:anchor distT="0" distB="0" distL="114300" distR="114300" simplePos="0" relativeHeight="251660288" behindDoc="1" locked="0" layoutInCell="1" allowOverlap="1" wp14:anchorId="75B87F70" wp14:editId="41FDEDC3">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9264" behindDoc="0" locked="0" layoutInCell="1" allowOverlap="1" wp14:anchorId="45973844" wp14:editId="55566E2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9C" w:rsidRDefault="00103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F2A"/>
    <w:multiLevelType w:val="hybridMultilevel"/>
    <w:tmpl w:val="26226EA0"/>
    <w:lvl w:ilvl="0" w:tplc="308858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E6034A5"/>
    <w:multiLevelType w:val="hybridMultilevel"/>
    <w:tmpl w:val="207C89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C41E7C"/>
    <w:multiLevelType w:val="hybridMultilevel"/>
    <w:tmpl w:val="2C26FA2E"/>
    <w:lvl w:ilvl="0" w:tplc="1CA6699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453E1AB7"/>
    <w:multiLevelType w:val="hybridMultilevel"/>
    <w:tmpl w:val="E0303560"/>
    <w:lvl w:ilvl="0" w:tplc="C5E0C2D4">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4">
    <w:nsid w:val="4E5F6A00"/>
    <w:multiLevelType w:val="hybridMultilevel"/>
    <w:tmpl w:val="AF2484E6"/>
    <w:lvl w:ilvl="0" w:tplc="CD9EB8C2">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C"/>
    <w:rsid w:val="00005355"/>
    <w:rsid w:val="000056DD"/>
    <w:rsid w:val="0000675E"/>
    <w:rsid w:val="0001460A"/>
    <w:rsid w:val="00015970"/>
    <w:rsid w:val="0001639A"/>
    <w:rsid w:val="00022321"/>
    <w:rsid w:val="000276B4"/>
    <w:rsid w:val="00033B72"/>
    <w:rsid w:val="00042ACB"/>
    <w:rsid w:val="000503CD"/>
    <w:rsid w:val="000769CE"/>
    <w:rsid w:val="000863C4"/>
    <w:rsid w:val="0009094D"/>
    <w:rsid w:val="000971DC"/>
    <w:rsid w:val="000A211D"/>
    <w:rsid w:val="000A464B"/>
    <w:rsid w:val="000C291C"/>
    <w:rsid w:val="000E0E43"/>
    <w:rsid w:val="000E43A8"/>
    <w:rsid w:val="000E4522"/>
    <w:rsid w:val="000E6963"/>
    <w:rsid w:val="000F5015"/>
    <w:rsid w:val="00101C06"/>
    <w:rsid w:val="0010349C"/>
    <w:rsid w:val="0010625E"/>
    <w:rsid w:val="00124044"/>
    <w:rsid w:val="001514A9"/>
    <w:rsid w:val="001514C5"/>
    <w:rsid w:val="001549C8"/>
    <w:rsid w:val="00155B8D"/>
    <w:rsid w:val="00174054"/>
    <w:rsid w:val="00180DF3"/>
    <w:rsid w:val="00184884"/>
    <w:rsid w:val="001874E7"/>
    <w:rsid w:val="001A424F"/>
    <w:rsid w:val="001A4E77"/>
    <w:rsid w:val="001B0B41"/>
    <w:rsid w:val="001C0376"/>
    <w:rsid w:val="001E0108"/>
    <w:rsid w:val="001E65E1"/>
    <w:rsid w:val="001F1FEE"/>
    <w:rsid w:val="001F7BFC"/>
    <w:rsid w:val="00201205"/>
    <w:rsid w:val="00217AAE"/>
    <w:rsid w:val="00217BBA"/>
    <w:rsid w:val="002367C3"/>
    <w:rsid w:val="00236DAC"/>
    <w:rsid w:val="002375D4"/>
    <w:rsid w:val="002431DB"/>
    <w:rsid w:val="0024405E"/>
    <w:rsid w:val="0024478E"/>
    <w:rsid w:val="00273BD8"/>
    <w:rsid w:val="002776CB"/>
    <w:rsid w:val="002807AC"/>
    <w:rsid w:val="002863B0"/>
    <w:rsid w:val="00290B34"/>
    <w:rsid w:val="00295929"/>
    <w:rsid w:val="002B0C02"/>
    <w:rsid w:val="002B0DBE"/>
    <w:rsid w:val="002B1476"/>
    <w:rsid w:val="002C0A77"/>
    <w:rsid w:val="002C3E01"/>
    <w:rsid w:val="002D30F7"/>
    <w:rsid w:val="002D6715"/>
    <w:rsid w:val="002E1760"/>
    <w:rsid w:val="002E40D1"/>
    <w:rsid w:val="002F5DE6"/>
    <w:rsid w:val="00303AA9"/>
    <w:rsid w:val="00304B5E"/>
    <w:rsid w:val="003152BD"/>
    <w:rsid w:val="00316E43"/>
    <w:rsid w:val="003207C5"/>
    <w:rsid w:val="003217E7"/>
    <w:rsid w:val="00325601"/>
    <w:rsid w:val="00354EEA"/>
    <w:rsid w:val="00385C1E"/>
    <w:rsid w:val="003921DE"/>
    <w:rsid w:val="003D604C"/>
    <w:rsid w:val="003D6ED1"/>
    <w:rsid w:val="003E372D"/>
    <w:rsid w:val="003E4249"/>
    <w:rsid w:val="003E7F67"/>
    <w:rsid w:val="003F15D1"/>
    <w:rsid w:val="003F2407"/>
    <w:rsid w:val="003F49E0"/>
    <w:rsid w:val="00407D84"/>
    <w:rsid w:val="0041060A"/>
    <w:rsid w:val="00413E24"/>
    <w:rsid w:val="0041677A"/>
    <w:rsid w:val="00430E41"/>
    <w:rsid w:val="00435581"/>
    <w:rsid w:val="00457A8E"/>
    <w:rsid w:val="00470E37"/>
    <w:rsid w:val="004723DA"/>
    <w:rsid w:val="00473D9C"/>
    <w:rsid w:val="00481370"/>
    <w:rsid w:val="004927ED"/>
    <w:rsid w:val="004A15AA"/>
    <w:rsid w:val="004B3EE7"/>
    <w:rsid w:val="004C2A80"/>
    <w:rsid w:val="004C7817"/>
    <w:rsid w:val="004D0058"/>
    <w:rsid w:val="004D1590"/>
    <w:rsid w:val="004D5366"/>
    <w:rsid w:val="004D5F27"/>
    <w:rsid w:val="004F53E4"/>
    <w:rsid w:val="00503E4D"/>
    <w:rsid w:val="005259B6"/>
    <w:rsid w:val="0053280F"/>
    <w:rsid w:val="0053411A"/>
    <w:rsid w:val="0054230B"/>
    <w:rsid w:val="0054742D"/>
    <w:rsid w:val="0058275F"/>
    <w:rsid w:val="005864F5"/>
    <w:rsid w:val="0059117F"/>
    <w:rsid w:val="005B5814"/>
    <w:rsid w:val="005B7563"/>
    <w:rsid w:val="005C2E3B"/>
    <w:rsid w:val="005C6210"/>
    <w:rsid w:val="005D5803"/>
    <w:rsid w:val="005D7A8D"/>
    <w:rsid w:val="00605001"/>
    <w:rsid w:val="00616DC9"/>
    <w:rsid w:val="00617746"/>
    <w:rsid w:val="00627FE0"/>
    <w:rsid w:val="00634C9B"/>
    <w:rsid w:val="00646566"/>
    <w:rsid w:val="006547D4"/>
    <w:rsid w:val="0065500D"/>
    <w:rsid w:val="00661187"/>
    <w:rsid w:val="00662E48"/>
    <w:rsid w:val="00671990"/>
    <w:rsid w:val="00682F9E"/>
    <w:rsid w:val="00696A03"/>
    <w:rsid w:val="006A1F5F"/>
    <w:rsid w:val="006B5CE3"/>
    <w:rsid w:val="006C79D7"/>
    <w:rsid w:val="006D57A7"/>
    <w:rsid w:val="006D5CC8"/>
    <w:rsid w:val="007014AE"/>
    <w:rsid w:val="007056CB"/>
    <w:rsid w:val="00710ABD"/>
    <w:rsid w:val="00726896"/>
    <w:rsid w:val="007406DF"/>
    <w:rsid w:val="00751DB0"/>
    <w:rsid w:val="0076798C"/>
    <w:rsid w:val="00782714"/>
    <w:rsid w:val="007849BD"/>
    <w:rsid w:val="00791C2E"/>
    <w:rsid w:val="00797390"/>
    <w:rsid w:val="007A6FBE"/>
    <w:rsid w:val="007B2768"/>
    <w:rsid w:val="007B3EE5"/>
    <w:rsid w:val="007B6933"/>
    <w:rsid w:val="007C0096"/>
    <w:rsid w:val="007E507D"/>
    <w:rsid w:val="007F19A2"/>
    <w:rsid w:val="007F27AB"/>
    <w:rsid w:val="007F3B21"/>
    <w:rsid w:val="007F3C29"/>
    <w:rsid w:val="00807265"/>
    <w:rsid w:val="00807959"/>
    <w:rsid w:val="0081085B"/>
    <w:rsid w:val="00823C8A"/>
    <w:rsid w:val="00826496"/>
    <w:rsid w:val="00840973"/>
    <w:rsid w:val="00850568"/>
    <w:rsid w:val="008570F0"/>
    <w:rsid w:val="0087318E"/>
    <w:rsid w:val="00886E0E"/>
    <w:rsid w:val="00891B40"/>
    <w:rsid w:val="00893E63"/>
    <w:rsid w:val="00897661"/>
    <w:rsid w:val="008A272B"/>
    <w:rsid w:val="008A27D8"/>
    <w:rsid w:val="008B556F"/>
    <w:rsid w:val="008B7F7E"/>
    <w:rsid w:val="008D74E6"/>
    <w:rsid w:val="00916425"/>
    <w:rsid w:val="009250ED"/>
    <w:rsid w:val="009416BA"/>
    <w:rsid w:val="00943A9E"/>
    <w:rsid w:val="00950F2E"/>
    <w:rsid w:val="00954F77"/>
    <w:rsid w:val="009762A6"/>
    <w:rsid w:val="00987C04"/>
    <w:rsid w:val="009930A5"/>
    <w:rsid w:val="00995A89"/>
    <w:rsid w:val="009A0A9E"/>
    <w:rsid w:val="009A2506"/>
    <w:rsid w:val="009A4A2D"/>
    <w:rsid w:val="009A7D75"/>
    <w:rsid w:val="009C335E"/>
    <w:rsid w:val="009C7CC5"/>
    <w:rsid w:val="009D2E22"/>
    <w:rsid w:val="009D4561"/>
    <w:rsid w:val="009E2A9E"/>
    <w:rsid w:val="009E347B"/>
    <w:rsid w:val="009F59CA"/>
    <w:rsid w:val="00A033C1"/>
    <w:rsid w:val="00A0391D"/>
    <w:rsid w:val="00A11D08"/>
    <w:rsid w:val="00A13121"/>
    <w:rsid w:val="00A2005C"/>
    <w:rsid w:val="00A31C61"/>
    <w:rsid w:val="00A32CA3"/>
    <w:rsid w:val="00A3538C"/>
    <w:rsid w:val="00A53431"/>
    <w:rsid w:val="00A54098"/>
    <w:rsid w:val="00A70A38"/>
    <w:rsid w:val="00A74B15"/>
    <w:rsid w:val="00A93A52"/>
    <w:rsid w:val="00AA64CC"/>
    <w:rsid w:val="00AB136B"/>
    <w:rsid w:val="00AB4C45"/>
    <w:rsid w:val="00AB63EA"/>
    <w:rsid w:val="00AC3B64"/>
    <w:rsid w:val="00AC5CF7"/>
    <w:rsid w:val="00AC70E6"/>
    <w:rsid w:val="00AC7BE3"/>
    <w:rsid w:val="00AD0B38"/>
    <w:rsid w:val="00AE3E6B"/>
    <w:rsid w:val="00AE467E"/>
    <w:rsid w:val="00AE4850"/>
    <w:rsid w:val="00B1301E"/>
    <w:rsid w:val="00B317A2"/>
    <w:rsid w:val="00B60AD7"/>
    <w:rsid w:val="00B6315E"/>
    <w:rsid w:val="00B76AF9"/>
    <w:rsid w:val="00B904BC"/>
    <w:rsid w:val="00B92E59"/>
    <w:rsid w:val="00B94D25"/>
    <w:rsid w:val="00BA681C"/>
    <w:rsid w:val="00BB5762"/>
    <w:rsid w:val="00BB61BC"/>
    <w:rsid w:val="00BB74CA"/>
    <w:rsid w:val="00BC5B6F"/>
    <w:rsid w:val="00BC6486"/>
    <w:rsid w:val="00BE4C9B"/>
    <w:rsid w:val="00BE764E"/>
    <w:rsid w:val="00BF1B0D"/>
    <w:rsid w:val="00BF70AB"/>
    <w:rsid w:val="00C047DE"/>
    <w:rsid w:val="00C14122"/>
    <w:rsid w:val="00C27A04"/>
    <w:rsid w:val="00C31081"/>
    <w:rsid w:val="00C3548A"/>
    <w:rsid w:val="00C3567E"/>
    <w:rsid w:val="00C438D1"/>
    <w:rsid w:val="00C5042F"/>
    <w:rsid w:val="00C51348"/>
    <w:rsid w:val="00C646B5"/>
    <w:rsid w:val="00C650F7"/>
    <w:rsid w:val="00C67760"/>
    <w:rsid w:val="00C73940"/>
    <w:rsid w:val="00C75CC0"/>
    <w:rsid w:val="00C8008B"/>
    <w:rsid w:val="00C84FCE"/>
    <w:rsid w:val="00C85949"/>
    <w:rsid w:val="00C87940"/>
    <w:rsid w:val="00CB05CC"/>
    <w:rsid w:val="00CB1531"/>
    <w:rsid w:val="00CB4EF4"/>
    <w:rsid w:val="00CC0FE6"/>
    <w:rsid w:val="00CC1AB3"/>
    <w:rsid w:val="00CC45B4"/>
    <w:rsid w:val="00CC532A"/>
    <w:rsid w:val="00CC699F"/>
    <w:rsid w:val="00CD3E7C"/>
    <w:rsid w:val="00CD5589"/>
    <w:rsid w:val="00CD6909"/>
    <w:rsid w:val="00CE4546"/>
    <w:rsid w:val="00CE6D52"/>
    <w:rsid w:val="00CF1E8C"/>
    <w:rsid w:val="00CF48DB"/>
    <w:rsid w:val="00CF6972"/>
    <w:rsid w:val="00D004CD"/>
    <w:rsid w:val="00D035C7"/>
    <w:rsid w:val="00D12992"/>
    <w:rsid w:val="00D12E53"/>
    <w:rsid w:val="00D2678D"/>
    <w:rsid w:val="00D43F7F"/>
    <w:rsid w:val="00D81CF8"/>
    <w:rsid w:val="00D83976"/>
    <w:rsid w:val="00D90CC1"/>
    <w:rsid w:val="00D9368D"/>
    <w:rsid w:val="00D96582"/>
    <w:rsid w:val="00DA39BC"/>
    <w:rsid w:val="00DA43C6"/>
    <w:rsid w:val="00DB1D5D"/>
    <w:rsid w:val="00DC02D5"/>
    <w:rsid w:val="00DD1BF1"/>
    <w:rsid w:val="00DE6719"/>
    <w:rsid w:val="00DF1024"/>
    <w:rsid w:val="00DF5632"/>
    <w:rsid w:val="00E01EF3"/>
    <w:rsid w:val="00E15E51"/>
    <w:rsid w:val="00E31679"/>
    <w:rsid w:val="00E517A6"/>
    <w:rsid w:val="00E536C0"/>
    <w:rsid w:val="00E76CF0"/>
    <w:rsid w:val="00E77E29"/>
    <w:rsid w:val="00E847E7"/>
    <w:rsid w:val="00EA0B5E"/>
    <w:rsid w:val="00EA11C2"/>
    <w:rsid w:val="00EA5DED"/>
    <w:rsid w:val="00ED7337"/>
    <w:rsid w:val="00EE6AE7"/>
    <w:rsid w:val="00EF2909"/>
    <w:rsid w:val="00EF6244"/>
    <w:rsid w:val="00F05D32"/>
    <w:rsid w:val="00F0718F"/>
    <w:rsid w:val="00F0797C"/>
    <w:rsid w:val="00F15AD5"/>
    <w:rsid w:val="00F2750C"/>
    <w:rsid w:val="00F36ADF"/>
    <w:rsid w:val="00F4697E"/>
    <w:rsid w:val="00F47807"/>
    <w:rsid w:val="00F67A47"/>
    <w:rsid w:val="00F75CF1"/>
    <w:rsid w:val="00F83AE6"/>
    <w:rsid w:val="00F91998"/>
    <w:rsid w:val="00FA3DA4"/>
    <w:rsid w:val="00FB428D"/>
    <w:rsid w:val="00FC13E2"/>
    <w:rsid w:val="00FC75FD"/>
    <w:rsid w:val="00FD2A22"/>
    <w:rsid w:val="00FE1817"/>
    <w:rsid w:val="00FE68EE"/>
    <w:rsid w:val="00FF6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45F9C-1378-410F-B50A-BFA30353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DC"/>
    <w:pPr>
      <w:spacing w:after="0" w:line="240" w:lineRule="auto"/>
    </w:pPr>
  </w:style>
  <w:style w:type="paragraph" w:styleId="Ttulo1">
    <w:name w:val="heading 1"/>
    <w:basedOn w:val="Normal"/>
    <w:next w:val="Normal"/>
    <w:link w:val="Ttulo1Car"/>
    <w:uiPriority w:val="9"/>
    <w:qFormat/>
    <w:rsid w:val="000971D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71DC"/>
    <w:rPr>
      <w:rFonts w:asciiTheme="majorHAnsi" w:eastAsiaTheme="majorEastAsia" w:hAnsiTheme="majorHAnsi" w:cstheme="majorBidi"/>
      <w:b/>
      <w:bCs/>
      <w:color w:val="365F91" w:themeColor="accent1" w:themeShade="BF"/>
      <w:sz w:val="28"/>
      <w:szCs w:val="28"/>
      <w:lang w:val="es-ES"/>
    </w:rPr>
  </w:style>
  <w:style w:type="paragraph" w:styleId="Encabezado">
    <w:name w:val="header"/>
    <w:basedOn w:val="Normal"/>
    <w:link w:val="EncabezadoCar"/>
    <w:uiPriority w:val="99"/>
    <w:rsid w:val="000971D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0971DC"/>
    <w:rPr>
      <w:rFonts w:ascii="Times New Roman" w:eastAsia="PMingLiU" w:hAnsi="Times New Roman" w:cs="Times New Roman"/>
      <w:sz w:val="24"/>
      <w:szCs w:val="24"/>
      <w:lang w:val="es-ES" w:eastAsia="zh-TW"/>
    </w:rPr>
  </w:style>
  <w:style w:type="paragraph" w:styleId="Sinespaciado">
    <w:name w:val="No Spacing"/>
    <w:uiPriority w:val="1"/>
    <w:qFormat/>
    <w:rsid w:val="000971DC"/>
    <w:pPr>
      <w:spacing w:after="0" w:line="240" w:lineRule="auto"/>
    </w:pPr>
    <w:rPr>
      <w:lang w:val="es-ES"/>
    </w:rPr>
  </w:style>
  <w:style w:type="paragraph" w:styleId="Prrafodelista">
    <w:name w:val="List Paragraph"/>
    <w:basedOn w:val="Normal"/>
    <w:uiPriority w:val="34"/>
    <w:qFormat/>
    <w:rsid w:val="000971DC"/>
    <w:pPr>
      <w:ind w:left="720"/>
      <w:contextualSpacing/>
    </w:pPr>
  </w:style>
  <w:style w:type="paragraph" w:styleId="Textodeglobo">
    <w:name w:val="Balloon Text"/>
    <w:basedOn w:val="Normal"/>
    <w:link w:val="TextodegloboCar"/>
    <w:uiPriority w:val="99"/>
    <w:semiHidden/>
    <w:unhideWhenUsed/>
    <w:rsid w:val="005C62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6210"/>
    <w:rPr>
      <w:rFonts w:ascii="Segoe UI" w:hAnsi="Segoe UI" w:cs="Segoe UI"/>
      <w:sz w:val="18"/>
      <w:szCs w:val="18"/>
    </w:rPr>
  </w:style>
  <w:style w:type="paragraph" w:styleId="Textonotapie">
    <w:name w:val="footnote text"/>
    <w:basedOn w:val="Normal"/>
    <w:link w:val="TextonotapieCar"/>
    <w:uiPriority w:val="99"/>
    <w:unhideWhenUsed/>
    <w:rsid w:val="0059117F"/>
    <w:rPr>
      <w:sz w:val="20"/>
      <w:szCs w:val="20"/>
      <w:lang w:val="es-ES"/>
    </w:rPr>
  </w:style>
  <w:style w:type="character" w:customStyle="1" w:styleId="TextonotapieCar">
    <w:name w:val="Texto nota pie Car"/>
    <w:basedOn w:val="Fuentedeprrafopredeter"/>
    <w:link w:val="Textonotapie"/>
    <w:uiPriority w:val="99"/>
    <w:rsid w:val="0059117F"/>
    <w:rPr>
      <w:sz w:val="20"/>
      <w:szCs w:val="20"/>
      <w:lang w:val="es-ES"/>
    </w:rPr>
  </w:style>
  <w:style w:type="character" w:styleId="Refdenotaalpie">
    <w:name w:val="footnote reference"/>
    <w:basedOn w:val="Fuentedeprrafopredeter"/>
    <w:uiPriority w:val="99"/>
    <w:semiHidden/>
    <w:unhideWhenUsed/>
    <w:rsid w:val="0059117F"/>
    <w:rPr>
      <w:vertAlign w:val="superscript"/>
    </w:rPr>
  </w:style>
  <w:style w:type="paragraph" w:styleId="Piedepgina">
    <w:name w:val="footer"/>
    <w:basedOn w:val="Normal"/>
    <w:link w:val="PiedepginaCar"/>
    <w:uiPriority w:val="99"/>
    <w:unhideWhenUsed/>
    <w:rsid w:val="007849BD"/>
    <w:pPr>
      <w:tabs>
        <w:tab w:val="center" w:pos="4419"/>
        <w:tab w:val="right" w:pos="8838"/>
      </w:tabs>
    </w:pPr>
  </w:style>
  <w:style w:type="character" w:customStyle="1" w:styleId="PiedepginaCar">
    <w:name w:val="Pie de página Car"/>
    <w:basedOn w:val="Fuentedeprrafopredeter"/>
    <w:link w:val="Piedepgina"/>
    <w:uiPriority w:val="99"/>
    <w:rsid w:val="0078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5</cp:revision>
  <cp:lastPrinted>2019-02-21T19:33:00Z</cp:lastPrinted>
  <dcterms:created xsi:type="dcterms:W3CDTF">2019-02-24T06:01:00Z</dcterms:created>
  <dcterms:modified xsi:type="dcterms:W3CDTF">2019-04-08T19:38:00Z</dcterms:modified>
</cp:coreProperties>
</file>