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1716" w:tblpY="-581"/>
        <w:tblW w:w="9782" w:type="dxa"/>
        <w:tblLayout w:type="fixed"/>
        <w:tblCellMar>
          <w:left w:w="70" w:type="dxa"/>
          <w:right w:w="70" w:type="dxa"/>
        </w:tblCellMar>
        <w:tblLook w:val="0000" w:firstRow="0" w:lastRow="0" w:firstColumn="0" w:lastColumn="0" w:noHBand="0" w:noVBand="0"/>
      </w:tblPr>
      <w:tblGrid>
        <w:gridCol w:w="2356"/>
        <w:gridCol w:w="7426"/>
      </w:tblGrid>
      <w:tr w:rsidR="002F607E" w:rsidRPr="00BA5140" w:rsidTr="002F607E">
        <w:tc>
          <w:tcPr>
            <w:tcW w:w="2356" w:type="dxa"/>
          </w:tcPr>
          <w:p w:rsidR="002F607E" w:rsidRPr="00BA5140" w:rsidRDefault="002F607E" w:rsidP="002F607E">
            <w:pPr>
              <w:rPr>
                <w:rFonts w:ascii="Arial" w:hAnsi="Arial" w:cs="Arial"/>
                <w:b/>
                <w:sz w:val="24"/>
                <w:szCs w:val="24"/>
              </w:rPr>
            </w:pPr>
            <w:r w:rsidRPr="00BA5140">
              <w:rPr>
                <w:rFonts w:ascii="Arial" w:hAnsi="Arial" w:cs="Arial"/>
                <w:b/>
                <w:sz w:val="24"/>
                <w:szCs w:val="24"/>
              </w:rPr>
              <w:t xml:space="preserve">     </w:t>
            </w:r>
          </w:p>
        </w:tc>
        <w:tc>
          <w:tcPr>
            <w:tcW w:w="7426" w:type="dxa"/>
          </w:tcPr>
          <w:p w:rsidR="002F607E" w:rsidRPr="00BA5140" w:rsidRDefault="002F607E" w:rsidP="002F607E">
            <w:pPr>
              <w:tabs>
                <w:tab w:val="left" w:pos="3103"/>
              </w:tabs>
              <w:jc w:val="both"/>
              <w:rPr>
                <w:rFonts w:ascii="Arial" w:hAnsi="Arial" w:cs="Arial"/>
                <w:b/>
                <w:i/>
                <w:iCs/>
                <w:caps/>
                <w:sz w:val="24"/>
                <w:szCs w:val="24"/>
              </w:rPr>
            </w:pPr>
            <w:r w:rsidRPr="00BA5140">
              <w:rPr>
                <w:rFonts w:ascii="Arial" w:hAnsi="Arial" w:cs="Arial"/>
                <w:b/>
                <w:i/>
                <w:iCs/>
                <w:caps/>
                <w:sz w:val="24"/>
                <w:szCs w:val="24"/>
              </w:rPr>
              <w:t xml:space="preserve">                       </w:t>
            </w:r>
          </w:p>
          <w:p w:rsidR="002F607E" w:rsidRPr="00BA5140" w:rsidRDefault="002F607E" w:rsidP="002F607E">
            <w:pPr>
              <w:tabs>
                <w:tab w:val="left" w:pos="3103"/>
              </w:tabs>
              <w:ind w:left="2394"/>
              <w:jc w:val="both"/>
              <w:rPr>
                <w:rFonts w:ascii="Arial" w:hAnsi="Arial" w:cs="Arial"/>
                <w:b/>
                <w:iCs/>
                <w:caps/>
                <w:sz w:val="24"/>
                <w:szCs w:val="24"/>
              </w:rPr>
            </w:pPr>
            <w:r w:rsidRPr="00BA5140">
              <w:rPr>
                <w:rFonts w:ascii="Arial" w:hAnsi="Arial" w:cs="Arial"/>
                <w:b/>
                <w:iCs/>
                <w:caps/>
                <w:sz w:val="24"/>
                <w:szCs w:val="24"/>
              </w:rPr>
              <w:t>SALA SUPERIOR DEL TRIBUNAL DE JUSTICIA ADMINISTRATIVA DEL ESTADO DE OAXACA.</w:t>
            </w:r>
          </w:p>
          <w:p w:rsidR="002F607E" w:rsidRPr="00195BF9" w:rsidRDefault="002F607E" w:rsidP="002F607E">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2F607E" w:rsidRDefault="002F607E" w:rsidP="002F607E">
            <w:pPr>
              <w:pStyle w:val="Encabezado"/>
              <w:tabs>
                <w:tab w:val="clear" w:pos="4252"/>
              </w:tabs>
              <w:ind w:left="2394" w:right="51"/>
              <w:jc w:val="both"/>
              <w:rPr>
                <w:rFonts w:ascii="Arial" w:hAnsi="Arial" w:cs="Arial"/>
                <w:b/>
                <w:iCs/>
                <w:caps/>
                <w:lang w:val="es-PE"/>
              </w:rPr>
            </w:pPr>
            <w:r>
              <w:rPr>
                <w:rFonts w:ascii="Arial" w:hAnsi="Arial" w:cs="Arial"/>
                <w:b/>
                <w:iCs/>
                <w:caps/>
                <w:lang w:val="es-PE"/>
              </w:rPr>
              <w:t>RECURSO DE REVISIÓN:   0292/2018</w:t>
            </w:r>
            <w:r w:rsidRPr="00195BF9">
              <w:rPr>
                <w:rFonts w:ascii="Arial" w:hAnsi="Arial" w:cs="Arial"/>
                <w:b/>
                <w:iCs/>
                <w:caps/>
                <w:lang w:val="es-PE"/>
              </w:rPr>
              <w:t xml:space="preserve"> </w:t>
            </w:r>
          </w:p>
          <w:p w:rsidR="002F607E" w:rsidRDefault="002F607E" w:rsidP="002F607E">
            <w:pPr>
              <w:pStyle w:val="Encabezado"/>
              <w:tabs>
                <w:tab w:val="clear" w:pos="4252"/>
              </w:tabs>
              <w:ind w:left="2394" w:right="51"/>
              <w:jc w:val="both"/>
              <w:rPr>
                <w:rFonts w:ascii="Arial" w:hAnsi="Arial" w:cs="Arial"/>
                <w:b/>
                <w:iCs/>
                <w:caps/>
                <w:lang w:val="es-PE"/>
              </w:rPr>
            </w:pPr>
          </w:p>
          <w:p w:rsidR="002F607E" w:rsidRPr="00195BF9" w:rsidRDefault="002F607E" w:rsidP="002F607E">
            <w:pPr>
              <w:pStyle w:val="Encabezado"/>
              <w:tabs>
                <w:tab w:val="clear" w:pos="4252"/>
              </w:tabs>
              <w:ind w:left="2394" w:right="51"/>
              <w:jc w:val="both"/>
              <w:rPr>
                <w:rFonts w:ascii="Arial" w:hAnsi="Arial" w:cs="Arial"/>
                <w:b/>
                <w:iCs/>
                <w:caps/>
                <w:lang w:val="es-PE"/>
              </w:rPr>
            </w:pPr>
            <w:r>
              <w:rPr>
                <w:rFonts w:ascii="Arial" w:hAnsi="Arial" w:cs="Arial"/>
                <w:b/>
                <w:iCs/>
                <w:caps/>
                <w:lang w:val="es-PE"/>
              </w:rPr>
              <w:t>EXPEDIENTE: 0140/2017</w:t>
            </w:r>
            <w:r w:rsidRPr="00195BF9">
              <w:rPr>
                <w:rFonts w:ascii="Arial" w:hAnsi="Arial" w:cs="Arial"/>
                <w:b/>
                <w:iCs/>
                <w:caps/>
                <w:lang w:val="es-PE"/>
              </w:rPr>
              <w:t xml:space="preserve"> DE LA </w:t>
            </w:r>
            <w:r>
              <w:rPr>
                <w:rFonts w:ascii="Arial" w:hAnsi="Arial" w:cs="Arial"/>
                <w:b/>
                <w:iCs/>
                <w:caps/>
                <w:lang w:val="es-PE"/>
              </w:rPr>
              <w:t xml:space="preserve">quintA SALA UNITARIA DE PRIMERA INSTANCIA </w:t>
            </w:r>
          </w:p>
          <w:p w:rsidR="002F607E" w:rsidRPr="00195BF9" w:rsidRDefault="002F607E" w:rsidP="002F607E">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 xml:space="preserve">       </w:t>
            </w:r>
          </w:p>
          <w:p w:rsidR="002F607E" w:rsidRPr="00195BF9" w:rsidRDefault="002F607E" w:rsidP="002F607E">
            <w:pPr>
              <w:pStyle w:val="Encabezado"/>
              <w:tabs>
                <w:tab w:val="clear" w:pos="4252"/>
              </w:tabs>
              <w:ind w:left="2394" w:right="51"/>
              <w:jc w:val="both"/>
              <w:rPr>
                <w:rFonts w:ascii="Arial" w:hAnsi="Arial" w:cs="Arial"/>
                <w:b/>
                <w:iCs/>
                <w:caps/>
                <w:lang w:val="es-PE"/>
              </w:rPr>
            </w:pPr>
            <w:r w:rsidRPr="00195BF9">
              <w:rPr>
                <w:rFonts w:ascii="Arial" w:hAnsi="Arial" w:cs="Arial"/>
                <w:b/>
                <w:iCs/>
                <w:caps/>
                <w:lang w:val="es-PE"/>
              </w:rPr>
              <w:t>ponente:</w:t>
            </w:r>
            <w:r>
              <w:rPr>
                <w:rFonts w:ascii="Arial" w:hAnsi="Arial" w:cs="Arial"/>
                <w:b/>
                <w:iCs/>
                <w:caps/>
                <w:lang w:val="es-PE"/>
              </w:rPr>
              <w:t xml:space="preserve">  magistrado  MANUEL VELASCO ALCÁNTARA</w:t>
            </w:r>
          </w:p>
        </w:tc>
      </w:tr>
    </w:tbl>
    <w:p w:rsidR="00F9295A" w:rsidRDefault="00F9295A"/>
    <w:p w:rsidR="002F607E" w:rsidRDefault="002F607E" w:rsidP="002F607E">
      <w:pPr>
        <w:spacing w:line="360" w:lineRule="auto"/>
        <w:ind w:firstLine="1"/>
        <w:jc w:val="both"/>
        <w:rPr>
          <w:rFonts w:ascii="Arial" w:hAnsi="Arial" w:cs="Arial"/>
          <w:b/>
          <w:sz w:val="26"/>
          <w:szCs w:val="26"/>
        </w:rPr>
      </w:pPr>
      <w:r w:rsidRPr="00E529C7">
        <w:rPr>
          <w:rFonts w:ascii="Arial" w:hAnsi="Arial" w:cs="Arial"/>
          <w:b/>
          <w:sz w:val="26"/>
          <w:szCs w:val="26"/>
        </w:rPr>
        <w:t xml:space="preserve">OAXACA DE JUÁREZ, OAXACA, </w:t>
      </w:r>
      <w:r>
        <w:rPr>
          <w:rFonts w:ascii="Arial" w:hAnsi="Arial" w:cs="Arial"/>
          <w:b/>
          <w:sz w:val="26"/>
          <w:szCs w:val="26"/>
        </w:rPr>
        <w:t>SEIS</w:t>
      </w:r>
      <w:r w:rsidRPr="00E529C7">
        <w:rPr>
          <w:rFonts w:ascii="Arial" w:hAnsi="Arial" w:cs="Arial"/>
          <w:b/>
          <w:sz w:val="26"/>
          <w:szCs w:val="26"/>
        </w:rPr>
        <w:t xml:space="preserve"> DE </w:t>
      </w:r>
      <w:r>
        <w:rPr>
          <w:rFonts w:ascii="Arial" w:hAnsi="Arial" w:cs="Arial"/>
          <w:b/>
          <w:sz w:val="26"/>
          <w:szCs w:val="26"/>
        </w:rPr>
        <w:t>DIC</w:t>
      </w:r>
      <w:r w:rsidRPr="00E529C7">
        <w:rPr>
          <w:rFonts w:ascii="Arial" w:hAnsi="Arial" w:cs="Arial"/>
          <w:b/>
          <w:sz w:val="26"/>
          <w:szCs w:val="26"/>
        </w:rPr>
        <w:t>IEMBRE</w:t>
      </w:r>
      <w:r>
        <w:rPr>
          <w:rFonts w:ascii="Arial" w:hAnsi="Arial" w:cs="Arial"/>
          <w:b/>
          <w:sz w:val="26"/>
          <w:szCs w:val="26"/>
        </w:rPr>
        <w:t xml:space="preserve"> DE DOS MIL DIECIOCHO.</w:t>
      </w:r>
    </w:p>
    <w:p w:rsidR="002F607E" w:rsidRPr="00E529C7" w:rsidRDefault="002F607E" w:rsidP="002F607E">
      <w:pPr>
        <w:spacing w:before="240" w:line="360" w:lineRule="auto"/>
        <w:ind w:firstLine="708"/>
        <w:jc w:val="both"/>
        <w:rPr>
          <w:rFonts w:ascii="Arial" w:hAnsi="Arial" w:cs="Arial"/>
          <w:sz w:val="26"/>
          <w:szCs w:val="26"/>
        </w:rPr>
      </w:pPr>
      <w:r w:rsidRPr="00E529C7">
        <w:rPr>
          <w:rFonts w:ascii="Arial" w:hAnsi="Arial" w:cs="Arial"/>
          <w:sz w:val="26"/>
          <w:szCs w:val="26"/>
        </w:rPr>
        <w:t xml:space="preserve">Por recibido el Cuaderno de Revisión 0292/2018, que remite la Secretaría General de Acuerdos, con motivo del recurso de revisión interpuesto por </w:t>
      </w:r>
      <w:r w:rsidRPr="00E529C7">
        <w:rPr>
          <w:rFonts w:ascii="Arial" w:hAnsi="Arial" w:cs="Arial"/>
          <w:b/>
          <w:sz w:val="26"/>
          <w:szCs w:val="26"/>
        </w:rPr>
        <w:t xml:space="preserve"> ALDO PIMENTEL LÓPEZ, </w:t>
      </w:r>
      <w:r w:rsidRPr="00E529C7">
        <w:rPr>
          <w:rFonts w:ascii="Arial" w:hAnsi="Arial" w:cs="Arial"/>
          <w:sz w:val="26"/>
          <w:szCs w:val="26"/>
        </w:rPr>
        <w:t>quien se ostenta</w:t>
      </w:r>
      <w:r w:rsidRPr="00E529C7">
        <w:rPr>
          <w:rFonts w:ascii="Arial" w:hAnsi="Arial" w:cs="Arial"/>
          <w:b/>
          <w:sz w:val="26"/>
          <w:szCs w:val="26"/>
        </w:rPr>
        <w:t xml:space="preserve"> COMO JEFE DE LA UNIDAD JURÍDICA DE LA PERSONA MORAL DENOMINADA INSTITUTO CATASTRAL DEL ESTADO DE OAXACA</w:t>
      </w:r>
      <w:r w:rsidRPr="00E529C7">
        <w:rPr>
          <w:rFonts w:ascii="Arial" w:hAnsi="Arial" w:cs="Arial"/>
          <w:sz w:val="26"/>
          <w:szCs w:val="26"/>
        </w:rPr>
        <w:t xml:space="preserve">, en contra la sentencia de veintinueve de junio  de dos mil dieciocho, dictada por la Quinta Sala Unitaria de Primera Instancia del Tribunal de Justicia  Administrativa del Estado, dentro del expediente </w:t>
      </w:r>
      <w:r w:rsidRPr="00E529C7">
        <w:rPr>
          <w:rFonts w:ascii="Arial" w:hAnsi="Arial" w:cs="Arial"/>
          <w:b/>
          <w:sz w:val="26"/>
          <w:szCs w:val="26"/>
        </w:rPr>
        <w:t xml:space="preserve">0140/2017 </w:t>
      </w:r>
      <w:r w:rsidRPr="00E529C7">
        <w:rPr>
          <w:rFonts w:ascii="Arial" w:hAnsi="Arial" w:cs="Arial"/>
          <w:sz w:val="26"/>
          <w:szCs w:val="26"/>
        </w:rPr>
        <w:t>de su índice, relativo al juicio de nulidad promovido por</w:t>
      </w:r>
      <w:r w:rsidRPr="00E529C7">
        <w:rPr>
          <w:rFonts w:ascii="Arial" w:hAnsi="Arial" w:cs="Arial"/>
          <w:b/>
          <w:sz w:val="26"/>
          <w:szCs w:val="26"/>
        </w:rPr>
        <w:t xml:space="preserve">  </w:t>
      </w:r>
      <w:r w:rsidR="00AB21F1">
        <w:rPr>
          <w:rFonts w:ascii="Arial" w:hAnsi="Arial" w:cs="Arial"/>
          <w:b/>
          <w:sz w:val="26"/>
          <w:szCs w:val="26"/>
        </w:rPr>
        <w:t>**********</w:t>
      </w:r>
      <w:r w:rsidRPr="00E529C7">
        <w:rPr>
          <w:rFonts w:ascii="Arial" w:hAnsi="Arial" w:cs="Arial"/>
          <w:b/>
          <w:sz w:val="26"/>
          <w:szCs w:val="26"/>
        </w:rPr>
        <w:t xml:space="preserve">, </w:t>
      </w:r>
      <w:r w:rsidRPr="00E529C7">
        <w:rPr>
          <w:rFonts w:ascii="Arial" w:hAnsi="Arial" w:cs="Arial"/>
          <w:sz w:val="26"/>
          <w:szCs w:val="26"/>
        </w:rPr>
        <w:t xml:space="preserve">en contra del </w:t>
      </w:r>
      <w:r w:rsidRPr="00E529C7">
        <w:rPr>
          <w:rFonts w:ascii="Arial" w:hAnsi="Arial" w:cs="Arial"/>
          <w:b/>
          <w:sz w:val="26"/>
          <w:szCs w:val="26"/>
        </w:rPr>
        <w:t xml:space="preserve">JEFE DE LA UNIDAD JURÍDICA DEL INSTITUTO CATASTRAL DEL ESTADO DE OAXACA; </w:t>
      </w:r>
      <w:r w:rsidRPr="00E529C7">
        <w:rPr>
          <w:rFonts w:ascii="Arial" w:hAnsi="Arial" w:cs="Arial"/>
          <w:sz w:val="26"/>
          <w:szCs w:val="26"/>
        </w:rPr>
        <w:t>por lo que, con fundamento en lo dispuesto por los artículos 237 y 238 de la Ley de Procedimiento y Justicia Administrativa para el Estado de Oaxaca, se admite.  En consecuencia, se procede a dictar resoluc</w:t>
      </w:r>
      <w:r>
        <w:rPr>
          <w:rFonts w:ascii="Arial" w:hAnsi="Arial" w:cs="Arial"/>
          <w:sz w:val="26"/>
          <w:szCs w:val="26"/>
        </w:rPr>
        <w:t>ión en los siguientes términos:</w:t>
      </w:r>
    </w:p>
    <w:p w:rsidR="002F607E" w:rsidRPr="00E529C7" w:rsidRDefault="002F607E" w:rsidP="002F607E">
      <w:pPr>
        <w:spacing w:line="360" w:lineRule="auto"/>
        <w:jc w:val="center"/>
        <w:rPr>
          <w:rFonts w:ascii="Arial" w:hAnsi="Arial" w:cs="Arial"/>
          <w:b/>
          <w:bCs/>
          <w:sz w:val="26"/>
          <w:szCs w:val="26"/>
        </w:rPr>
      </w:pPr>
      <w:r>
        <w:rPr>
          <w:rFonts w:ascii="Arial" w:hAnsi="Arial" w:cs="Arial"/>
          <w:b/>
          <w:bCs/>
          <w:sz w:val="26"/>
          <w:szCs w:val="26"/>
        </w:rPr>
        <w:t>R E S U L T A N D O</w:t>
      </w:r>
    </w:p>
    <w:p w:rsidR="002F607E" w:rsidRPr="00E529C7" w:rsidRDefault="002F607E" w:rsidP="002F607E">
      <w:pPr>
        <w:spacing w:line="360" w:lineRule="auto"/>
        <w:ind w:firstLine="709"/>
        <w:jc w:val="both"/>
        <w:rPr>
          <w:rFonts w:ascii="Arial" w:hAnsi="Arial" w:cs="Arial"/>
          <w:sz w:val="26"/>
          <w:szCs w:val="26"/>
        </w:rPr>
      </w:pPr>
      <w:r w:rsidRPr="00E529C7">
        <w:rPr>
          <w:rFonts w:ascii="Arial" w:hAnsi="Arial" w:cs="Arial"/>
          <w:b/>
          <w:bCs/>
          <w:sz w:val="26"/>
          <w:szCs w:val="26"/>
        </w:rPr>
        <w:t xml:space="preserve">PRIMERO. </w:t>
      </w:r>
      <w:r w:rsidRPr="00E529C7">
        <w:rPr>
          <w:rFonts w:ascii="Arial" w:hAnsi="Arial" w:cs="Arial"/>
          <w:sz w:val="26"/>
          <w:szCs w:val="26"/>
        </w:rPr>
        <w:t xml:space="preserve">Inconforme con la sentencia </w:t>
      </w:r>
      <w:r w:rsidRPr="00E529C7">
        <w:rPr>
          <w:rFonts w:ascii="Arial" w:hAnsi="Arial" w:cs="Arial"/>
          <w:b/>
          <w:sz w:val="26"/>
          <w:szCs w:val="26"/>
        </w:rPr>
        <w:t>VEINTINUEVE DE JUNIO DE DOS MIL DIECIOCHO</w:t>
      </w:r>
      <w:r w:rsidRPr="00E529C7">
        <w:rPr>
          <w:rFonts w:ascii="Arial" w:hAnsi="Arial" w:cs="Arial"/>
          <w:sz w:val="26"/>
          <w:szCs w:val="26"/>
        </w:rPr>
        <w:t xml:space="preserve"> dictada por la Quinta Sala Unitaria de Primera Instancia de este Tribunal, </w:t>
      </w:r>
      <w:r w:rsidRPr="00E529C7">
        <w:rPr>
          <w:rFonts w:ascii="Arial" w:hAnsi="Arial" w:cs="Arial"/>
          <w:b/>
          <w:sz w:val="26"/>
          <w:szCs w:val="26"/>
        </w:rPr>
        <w:t xml:space="preserve">ALDO PIMENTEL LÓPEZ, </w:t>
      </w:r>
      <w:r w:rsidRPr="00E529C7">
        <w:rPr>
          <w:rFonts w:ascii="Arial" w:hAnsi="Arial" w:cs="Arial"/>
          <w:sz w:val="26"/>
          <w:szCs w:val="26"/>
        </w:rPr>
        <w:t>quien se ostenta</w:t>
      </w:r>
      <w:r w:rsidRPr="00E529C7">
        <w:rPr>
          <w:rFonts w:ascii="Arial" w:hAnsi="Arial" w:cs="Arial"/>
          <w:b/>
          <w:sz w:val="26"/>
          <w:szCs w:val="26"/>
        </w:rPr>
        <w:t xml:space="preserve"> COMO JEFE DE LA UNIDAD JURÍDICA DE LA PERSONA MORAL DENOMINADA INSTITUTO CATASTRAL DEL ESTADO DE OAXACA</w:t>
      </w:r>
      <w:r w:rsidRPr="00E529C7">
        <w:rPr>
          <w:rFonts w:ascii="Arial" w:hAnsi="Arial" w:cs="Arial"/>
          <w:sz w:val="26"/>
          <w:szCs w:val="26"/>
        </w:rPr>
        <w:t xml:space="preserve">, interpuso en su contra recurso de revisión. </w:t>
      </w:r>
    </w:p>
    <w:p w:rsidR="002F607E" w:rsidRPr="00E529C7" w:rsidRDefault="002F607E" w:rsidP="002F607E">
      <w:pPr>
        <w:spacing w:line="360" w:lineRule="auto"/>
        <w:ind w:firstLine="709"/>
        <w:jc w:val="both"/>
        <w:rPr>
          <w:rFonts w:ascii="Arial" w:hAnsi="Arial" w:cs="Arial"/>
          <w:sz w:val="26"/>
          <w:szCs w:val="26"/>
        </w:rPr>
      </w:pPr>
    </w:p>
    <w:p w:rsidR="002F607E" w:rsidRPr="002F607E" w:rsidRDefault="002F607E" w:rsidP="002F607E">
      <w:pPr>
        <w:spacing w:line="360" w:lineRule="auto"/>
        <w:jc w:val="both"/>
        <w:rPr>
          <w:rFonts w:ascii="Arial" w:hAnsi="Arial" w:cs="Arial"/>
          <w:sz w:val="26"/>
          <w:szCs w:val="26"/>
        </w:rPr>
      </w:pPr>
      <w:r w:rsidRPr="00E529C7">
        <w:rPr>
          <w:rFonts w:ascii="Arial" w:hAnsi="Arial" w:cs="Arial"/>
          <w:b/>
          <w:bCs/>
          <w:sz w:val="26"/>
          <w:szCs w:val="26"/>
        </w:rPr>
        <w:tab/>
        <w:t xml:space="preserve">SEGUNDO.- </w:t>
      </w:r>
      <w:r w:rsidRPr="00E529C7">
        <w:rPr>
          <w:rFonts w:ascii="Arial" w:hAnsi="Arial" w:cs="Arial"/>
          <w:sz w:val="26"/>
          <w:szCs w:val="26"/>
        </w:rPr>
        <w:t>Los puntos resolutivos de la sentenci</w:t>
      </w:r>
      <w:r>
        <w:rPr>
          <w:rFonts w:ascii="Arial" w:hAnsi="Arial" w:cs="Arial"/>
          <w:sz w:val="26"/>
          <w:szCs w:val="26"/>
        </w:rPr>
        <w:t>a recurrida son los siguientes:</w:t>
      </w:r>
    </w:p>
    <w:p w:rsidR="002F607E" w:rsidRDefault="002F607E" w:rsidP="002F607E">
      <w:pPr>
        <w:spacing w:after="0" w:line="360" w:lineRule="auto"/>
        <w:ind w:left="1134" w:right="902"/>
        <w:jc w:val="both"/>
        <w:rPr>
          <w:rFonts w:ascii="Arial" w:hAnsi="Arial" w:cs="Arial"/>
          <w:bCs/>
          <w:i/>
          <w:iCs/>
        </w:rPr>
      </w:pPr>
      <w:r w:rsidRPr="00195BF9">
        <w:rPr>
          <w:rFonts w:ascii="Arial" w:hAnsi="Arial" w:cs="Arial"/>
          <w:b/>
          <w:bCs/>
          <w:i/>
          <w:iCs/>
        </w:rPr>
        <w:lastRenderedPageBreak/>
        <w:t>“PRIMERO</w:t>
      </w:r>
      <w:r w:rsidRPr="00195BF9">
        <w:rPr>
          <w:rFonts w:ascii="Arial" w:hAnsi="Arial" w:cs="Arial"/>
          <w:bCs/>
          <w:i/>
          <w:iCs/>
        </w:rPr>
        <w:t xml:space="preserve">. </w:t>
      </w:r>
      <w:r>
        <w:rPr>
          <w:rFonts w:ascii="Arial" w:hAnsi="Arial" w:cs="Arial"/>
          <w:bCs/>
          <w:i/>
          <w:iCs/>
        </w:rPr>
        <w:t xml:space="preserve">Esta  Quinta Sala Unitaria del Tribunal de Justicia Administrativa,  es competente para conocer  y resolver el presente juicio. </w:t>
      </w:r>
      <w:r w:rsidRPr="00195BF9">
        <w:rPr>
          <w:rFonts w:ascii="Arial" w:hAnsi="Arial" w:cs="Arial"/>
          <w:bCs/>
          <w:i/>
          <w:iCs/>
        </w:rPr>
        <w:t xml:space="preserve">- - - - - - - - </w:t>
      </w:r>
      <w:r>
        <w:rPr>
          <w:rFonts w:ascii="Arial" w:hAnsi="Arial" w:cs="Arial"/>
          <w:bCs/>
          <w:i/>
          <w:iCs/>
        </w:rPr>
        <w:t xml:space="preserve">- - - - - - - - - - - - - - - - - - - - - - - - - - - </w:t>
      </w:r>
    </w:p>
    <w:p w:rsidR="002F607E" w:rsidRDefault="002F607E" w:rsidP="002F607E">
      <w:pPr>
        <w:spacing w:after="0" w:line="360" w:lineRule="auto"/>
        <w:ind w:left="1134" w:right="902"/>
        <w:jc w:val="both"/>
        <w:rPr>
          <w:rFonts w:ascii="Arial" w:hAnsi="Arial" w:cs="Arial"/>
          <w:bCs/>
          <w:i/>
          <w:iCs/>
        </w:rPr>
      </w:pPr>
      <w:r w:rsidRPr="00195BF9">
        <w:rPr>
          <w:rFonts w:ascii="Arial" w:hAnsi="Arial" w:cs="Arial"/>
          <w:b/>
          <w:bCs/>
          <w:i/>
          <w:iCs/>
        </w:rPr>
        <w:t>SEGUNDO.</w:t>
      </w:r>
      <w:r>
        <w:rPr>
          <w:rFonts w:ascii="Arial" w:hAnsi="Arial" w:cs="Arial"/>
          <w:bCs/>
          <w:i/>
          <w:iCs/>
        </w:rPr>
        <w:t xml:space="preserve"> La personalidad de las partes quedó acreditada en autos. - - - - - - - - - - - - - - - - - - - - - - - - - - - - - - - - - - - - - - - - - </w:t>
      </w:r>
    </w:p>
    <w:p w:rsidR="002F607E" w:rsidRDefault="002F607E" w:rsidP="002F607E">
      <w:pPr>
        <w:spacing w:after="0" w:line="360" w:lineRule="auto"/>
        <w:ind w:left="1134" w:right="902"/>
        <w:jc w:val="both"/>
        <w:rPr>
          <w:rFonts w:ascii="Arial" w:hAnsi="Arial" w:cs="Arial"/>
          <w:bCs/>
          <w:i/>
          <w:iCs/>
        </w:rPr>
      </w:pPr>
      <w:r w:rsidRPr="00195BF9">
        <w:rPr>
          <w:rFonts w:ascii="Arial" w:hAnsi="Arial" w:cs="Arial"/>
          <w:b/>
          <w:bCs/>
          <w:i/>
          <w:iCs/>
        </w:rPr>
        <w:t>TERCERO.</w:t>
      </w:r>
      <w:r>
        <w:rPr>
          <w:rFonts w:ascii="Arial" w:hAnsi="Arial" w:cs="Arial"/>
          <w:bCs/>
          <w:i/>
          <w:iCs/>
        </w:rPr>
        <w:t xml:space="preserve"> No se actualizó ninguna causal de improcedencia del juicio, en consecuencia </w:t>
      </w:r>
      <w:r w:rsidRPr="0094102A">
        <w:rPr>
          <w:rFonts w:ascii="Arial" w:hAnsi="Arial" w:cs="Arial"/>
          <w:b/>
          <w:bCs/>
          <w:i/>
          <w:iCs/>
        </w:rPr>
        <w:t>NO SE SOBRESEE</w:t>
      </w:r>
      <w:r>
        <w:rPr>
          <w:rFonts w:ascii="Arial" w:hAnsi="Arial" w:cs="Arial"/>
          <w:b/>
          <w:bCs/>
          <w:i/>
          <w:iCs/>
        </w:rPr>
        <w:t xml:space="preserve">. </w:t>
      </w:r>
      <w:r>
        <w:rPr>
          <w:rFonts w:ascii="Arial" w:hAnsi="Arial" w:cs="Arial"/>
          <w:bCs/>
          <w:i/>
          <w:iCs/>
        </w:rPr>
        <w:t xml:space="preserve">- - - - - - - - - - - </w:t>
      </w:r>
    </w:p>
    <w:p w:rsidR="002F607E" w:rsidRDefault="002F607E" w:rsidP="002F607E">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la </w:t>
      </w:r>
      <w:r>
        <w:rPr>
          <w:rFonts w:ascii="Arial" w:hAnsi="Arial" w:cs="Arial"/>
          <w:b/>
          <w:bCs/>
          <w:i/>
          <w:iCs/>
        </w:rPr>
        <w:t xml:space="preserve">NULIDAD </w:t>
      </w:r>
      <w:r>
        <w:rPr>
          <w:rFonts w:ascii="Arial" w:hAnsi="Arial" w:cs="Arial"/>
          <w:bCs/>
          <w:i/>
          <w:iCs/>
        </w:rPr>
        <w:t xml:space="preserve"> de la (sic) Recurso de Revisión número ICEO/UJ/RECURSO/022/2017, contenida en el oficio ICEO/UJ/2027/2017, de fecha veintiséis de septiembre de dos mil diecisiete (26/09/2017), y señalando como autoridad demandada al </w:t>
      </w:r>
      <w:r w:rsidRPr="00DF5467">
        <w:rPr>
          <w:rFonts w:ascii="Arial" w:hAnsi="Arial" w:cs="Arial"/>
          <w:b/>
          <w:bCs/>
          <w:i/>
          <w:iCs/>
        </w:rPr>
        <w:t>JEFE DE LA UNIDAD JURÍDICA DE</w:t>
      </w:r>
      <w:r>
        <w:rPr>
          <w:rFonts w:ascii="Arial" w:hAnsi="Arial" w:cs="Arial"/>
          <w:b/>
          <w:bCs/>
          <w:i/>
          <w:iCs/>
        </w:rPr>
        <w:t>L</w:t>
      </w:r>
      <w:r w:rsidRPr="00DF5467">
        <w:rPr>
          <w:rFonts w:ascii="Arial" w:hAnsi="Arial" w:cs="Arial"/>
          <w:b/>
          <w:bCs/>
          <w:i/>
          <w:iCs/>
        </w:rPr>
        <w:t xml:space="preserve">  INSTITUTO CATASTRAL</w:t>
      </w:r>
      <w:r>
        <w:rPr>
          <w:rFonts w:ascii="Arial" w:hAnsi="Arial" w:cs="Arial"/>
          <w:b/>
          <w:bCs/>
          <w:i/>
          <w:iCs/>
        </w:rPr>
        <w:t xml:space="preserve"> DEL ESTADO DE OAXACA, PARA EL EFECTO, </w:t>
      </w:r>
      <w:r>
        <w:rPr>
          <w:rFonts w:ascii="Arial" w:hAnsi="Arial" w:cs="Arial"/>
          <w:bCs/>
          <w:i/>
          <w:iCs/>
        </w:rPr>
        <w:t xml:space="preserve">de que dicte otro debidamente fundado y motivado, como quedo precisado en el considerando cuarto de esta sentencia.- - - - - - - - - - - - - - - - - - - - - - - - - - - - - - - - - - - </w:t>
      </w:r>
    </w:p>
    <w:p w:rsidR="002F607E" w:rsidRDefault="002F607E" w:rsidP="002F607E">
      <w:pPr>
        <w:spacing w:after="0" w:line="360" w:lineRule="auto"/>
        <w:ind w:left="1134" w:right="902"/>
        <w:jc w:val="both"/>
        <w:rPr>
          <w:rFonts w:ascii="Arial" w:hAnsi="Arial" w:cs="Arial"/>
          <w:bCs/>
          <w:i/>
          <w:iCs/>
        </w:rPr>
      </w:pPr>
      <w:r>
        <w:rPr>
          <w:rFonts w:ascii="Arial" w:hAnsi="Arial" w:cs="Arial"/>
          <w:b/>
          <w:bCs/>
          <w:i/>
          <w:iCs/>
        </w:rPr>
        <w:t>QUINTO</w:t>
      </w:r>
      <w:r>
        <w:rPr>
          <w:rFonts w:ascii="Arial" w:hAnsi="Arial" w:cs="Arial"/>
          <w:bCs/>
          <w:i/>
          <w:iCs/>
        </w:rPr>
        <w:t xml:space="preserve">. Conforme a lo dispuesto por los artículos 172 y 173 fracciones de la Ley de Procedimiento y Justicia Administrativa para el Estado de Oaxaca, </w:t>
      </w:r>
      <w:r>
        <w:rPr>
          <w:rFonts w:ascii="Arial" w:hAnsi="Arial" w:cs="Arial"/>
          <w:b/>
          <w:bCs/>
          <w:i/>
          <w:iCs/>
        </w:rPr>
        <w:t>NOTIFÍQUESE PERSONALMENTE A LA PARTE ACTORA Y POR OFICIO A LA AUTORIDAD  DEMANDADA. CÚMPLASE.</w:t>
      </w:r>
      <w:r>
        <w:rPr>
          <w:rFonts w:ascii="Arial" w:hAnsi="Arial" w:cs="Arial"/>
          <w:bCs/>
          <w:i/>
          <w:iCs/>
        </w:rPr>
        <w:t xml:space="preserve"> - - - - - - - - - - - - - - - - - - - - - - - - - </w:t>
      </w:r>
    </w:p>
    <w:p w:rsidR="002F607E" w:rsidRPr="0072015D" w:rsidRDefault="002F607E" w:rsidP="002F607E">
      <w:pPr>
        <w:spacing w:after="0" w:line="360" w:lineRule="auto"/>
        <w:ind w:left="1134" w:right="902"/>
        <w:jc w:val="both"/>
        <w:rPr>
          <w:rFonts w:ascii="Arial" w:hAnsi="Arial" w:cs="Arial"/>
          <w:bCs/>
          <w:i/>
          <w:iCs/>
        </w:rPr>
      </w:pPr>
      <w:r>
        <w:rPr>
          <w:rFonts w:ascii="Arial" w:hAnsi="Arial" w:cs="Arial"/>
          <w:b/>
          <w:bCs/>
          <w:i/>
          <w:iCs/>
        </w:rPr>
        <w:t>…</w:t>
      </w:r>
      <w:r w:rsidRPr="00195BF9">
        <w:rPr>
          <w:rFonts w:ascii="Arial" w:hAnsi="Arial" w:cs="Arial"/>
          <w:bCs/>
          <w:i/>
          <w:iCs/>
        </w:rPr>
        <w:t>”</w:t>
      </w:r>
    </w:p>
    <w:p w:rsidR="002F607E" w:rsidRPr="00E529C7" w:rsidRDefault="002F607E" w:rsidP="002F607E">
      <w:pPr>
        <w:spacing w:before="240" w:line="360" w:lineRule="auto"/>
        <w:jc w:val="center"/>
        <w:rPr>
          <w:rFonts w:ascii="Arial" w:hAnsi="Arial" w:cs="Arial"/>
          <w:b/>
          <w:bCs/>
          <w:sz w:val="26"/>
          <w:szCs w:val="26"/>
        </w:rPr>
      </w:pPr>
      <w:r w:rsidRPr="00E529C7">
        <w:rPr>
          <w:rFonts w:ascii="Arial" w:hAnsi="Arial" w:cs="Arial"/>
          <w:b/>
          <w:bCs/>
          <w:sz w:val="26"/>
          <w:szCs w:val="26"/>
        </w:rPr>
        <w:t>C O N S I D E R A N D O</w:t>
      </w:r>
    </w:p>
    <w:p w:rsidR="002F607E" w:rsidRPr="00E529C7" w:rsidRDefault="002F607E" w:rsidP="002F607E">
      <w:pPr>
        <w:widowControl w:val="0"/>
        <w:tabs>
          <w:tab w:val="left" w:pos="7938"/>
        </w:tabs>
        <w:spacing w:before="240" w:line="360" w:lineRule="auto"/>
        <w:ind w:right="18" w:firstLine="709"/>
        <w:jc w:val="both"/>
        <w:rPr>
          <w:rFonts w:ascii="Arial" w:hAnsi="Arial" w:cs="Arial"/>
          <w:sz w:val="26"/>
          <w:szCs w:val="26"/>
          <w:lang w:eastAsia="es-ES"/>
        </w:rPr>
      </w:pPr>
      <w:r w:rsidRPr="00E529C7">
        <w:rPr>
          <w:rFonts w:ascii="Arial" w:hAnsi="Arial" w:cs="Arial"/>
          <w:b/>
          <w:bCs/>
          <w:iCs/>
          <w:sz w:val="26"/>
          <w:szCs w:val="26"/>
        </w:rPr>
        <w:t xml:space="preserve">PRIMERO. </w:t>
      </w:r>
      <w:r w:rsidRPr="00E529C7">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120, 125, 127, 129, 130, fracción I, 131, 231, 236 y 238 de la Ley de Procedimiento y Justicia Administrativa para el Estado de Oaxaca, dado que se trata de un Recurso de Revisión interpuesto en contra de la sentencia de veintinueve de junio de </w:t>
      </w:r>
      <w:r w:rsidRPr="00E529C7">
        <w:rPr>
          <w:rFonts w:ascii="Arial" w:hAnsi="Arial" w:cs="Arial"/>
          <w:sz w:val="26"/>
          <w:szCs w:val="26"/>
        </w:rPr>
        <w:t>dos mil dieciocho, dictada por la Quinta Sala Unitaria de Primera Instancia del Tribunal</w:t>
      </w:r>
      <w:r w:rsidRPr="00E529C7">
        <w:rPr>
          <w:rFonts w:ascii="Arial" w:hAnsi="Arial" w:cs="Arial"/>
          <w:bCs/>
          <w:iCs/>
          <w:sz w:val="26"/>
          <w:szCs w:val="26"/>
        </w:rPr>
        <w:t xml:space="preserve"> de Justicia Administrativa del Estado de Oaxaca, </w:t>
      </w:r>
      <w:r w:rsidRPr="00E529C7">
        <w:rPr>
          <w:rFonts w:ascii="Arial" w:hAnsi="Arial" w:cs="Arial"/>
          <w:bCs/>
          <w:iCs/>
          <w:sz w:val="26"/>
          <w:szCs w:val="26"/>
          <w:lang w:eastAsia="es-ES"/>
        </w:rPr>
        <w:t xml:space="preserve">en el expediente </w:t>
      </w:r>
      <w:r w:rsidRPr="00E529C7">
        <w:rPr>
          <w:rFonts w:ascii="Arial" w:hAnsi="Arial" w:cs="Arial"/>
          <w:b/>
          <w:bCs/>
          <w:iCs/>
          <w:sz w:val="26"/>
          <w:szCs w:val="26"/>
          <w:lang w:eastAsia="es-ES"/>
        </w:rPr>
        <w:t>0140/2017.</w:t>
      </w:r>
    </w:p>
    <w:p w:rsidR="002F607E" w:rsidRDefault="002F607E" w:rsidP="002F607E">
      <w:pPr>
        <w:spacing w:before="240" w:line="360" w:lineRule="auto"/>
        <w:ind w:firstLine="708"/>
        <w:jc w:val="both"/>
        <w:rPr>
          <w:rFonts w:ascii="Arial" w:hAnsi="Arial" w:cs="Arial"/>
          <w:sz w:val="26"/>
          <w:szCs w:val="26"/>
        </w:rPr>
      </w:pPr>
      <w:r>
        <w:rPr>
          <w:rFonts w:ascii="Arial" w:hAnsi="Arial" w:cs="Arial"/>
          <w:b/>
          <w:bCs/>
          <w:sz w:val="26"/>
          <w:szCs w:val="26"/>
        </w:rPr>
        <w:t xml:space="preserve">SEGUNDO.- </w:t>
      </w:r>
      <w:r w:rsidRPr="006E349D">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Pr="006E349D">
        <w:rPr>
          <w:rFonts w:ascii="Arial" w:hAnsi="Arial" w:cs="Arial"/>
          <w:sz w:val="26"/>
          <w:szCs w:val="26"/>
        </w:rPr>
        <w:t>.</w:t>
      </w:r>
    </w:p>
    <w:p w:rsidR="002F607E" w:rsidRDefault="002F607E" w:rsidP="002F607E">
      <w:pPr>
        <w:spacing w:before="240" w:line="360" w:lineRule="auto"/>
        <w:ind w:firstLine="708"/>
        <w:jc w:val="both"/>
        <w:rPr>
          <w:rFonts w:ascii="Arial" w:hAnsi="Arial" w:cs="Arial"/>
          <w:bCs/>
          <w:sz w:val="26"/>
          <w:szCs w:val="26"/>
        </w:rPr>
      </w:pPr>
      <w:r w:rsidRPr="006E349D">
        <w:rPr>
          <w:rFonts w:ascii="Arial" w:hAnsi="Arial" w:cs="Arial"/>
          <w:b/>
          <w:bCs/>
          <w:sz w:val="26"/>
          <w:szCs w:val="26"/>
        </w:rPr>
        <w:t>TERCERO</w:t>
      </w:r>
      <w:r>
        <w:rPr>
          <w:rFonts w:ascii="Arial" w:hAnsi="Arial" w:cs="Arial"/>
          <w:b/>
          <w:bCs/>
          <w:sz w:val="26"/>
          <w:szCs w:val="26"/>
        </w:rPr>
        <w:t xml:space="preserve">.- </w:t>
      </w:r>
      <w:r>
        <w:rPr>
          <w:rFonts w:ascii="Arial" w:hAnsi="Arial" w:cs="Arial"/>
          <w:bCs/>
          <w:sz w:val="26"/>
          <w:szCs w:val="26"/>
        </w:rPr>
        <w:t xml:space="preserve">Son </w:t>
      </w:r>
      <w:r>
        <w:rPr>
          <w:rFonts w:ascii="Arial" w:hAnsi="Arial" w:cs="Arial"/>
          <w:b/>
          <w:bCs/>
          <w:sz w:val="26"/>
          <w:szCs w:val="26"/>
        </w:rPr>
        <w:t xml:space="preserve">INOPERANTES </w:t>
      </w:r>
      <w:r>
        <w:rPr>
          <w:rFonts w:ascii="Arial" w:hAnsi="Arial" w:cs="Arial"/>
          <w:bCs/>
          <w:sz w:val="26"/>
          <w:szCs w:val="26"/>
        </w:rPr>
        <w:t>los agravios expresados:</w:t>
      </w:r>
    </w:p>
    <w:p w:rsidR="002F607E" w:rsidRDefault="002F607E" w:rsidP="002F607E">
      <w:pPr>
        <w:spacing w:line="360" w:lineRule="auto"/>
        <w:ind w:firstLine="709"/>
        <w:jc w:val="both"/>
        <w:rPr>
          <w:rFonts w:ascii="Arial" w:hAnsi="Arial" w:cs="Arial"/>
          <w:bCs/>
          <w:sz w:val="26"/>
          <w:szCs w:val="26"/>
        </w:rPr>
      </w:pPr>
      <w:r>
        <w:rPr>
          <w:rFonts w:ascii="Arial" w:hAnsi="Arial" w:cs="Arial"/>
          <w:bCs/>
          <w:sz w:val="26"/>
          <w:szCs w:val="26"/>
        </w:rPr>
        <w:t xml:space="preserve">Señala el </w:t>
      </w:r>
      <w:r w:rsidRPr="00C90CD5">
        <w:rPr>
          <w:rFonts w:ascii="Arial" w:hAnsi="Arial" w:cs="Arial"/>
          <w:bCs/>
          <w:sz w:val="26"/>
          <w:szCs w:val="26"/>
        </w:rPr>
        <w:t xml:space="preserve">recurrente </w:t>
      </w:r>
      <w:r>
        <w:rPr>
          <w:rFonts w:ascii="Arial" w:hAnsi="Arial" w:cs="Arial"/>
          <w:bCs/>
          <w:sz w:val="26"/>
          <w:szCs w:val="26"/>
        </w:rPr>
        <w:t xml:space="preserve">le causa agravio el considerando cuarto de la sentencia que se recurre, al considerar que el acto emitido por esa </w:t>
      </w:r>
      <w:r>
        <w:rPr>
          <w:rFonts w:ascii="Arial" w:hAnsi="Arial" w:cs="Arial"/>
          <w:bCs/>
          <w:sz w:val="26"/>
          <w:szCs w:val="26"/>
        </w:rPr>
        <w:lastRenderedPageBreak/>
        <w:t>autoridad catastral dejó de cumplir con la debida fundamentación y motivación para la validez del acto, en virtud de que la solicitud del actor de tramite catastral de integración al padrón catastral y al momento de resolver en revisión, esa autoridad catastral fundó y motivo con precisión las circunstancias especiales, razones particulares y causas inmediatas que tuvo para resolver en ese sentido, al no cumplir con los requisitos que exigen los artículos 44 y 50 del Reglamento de la Ley de Catastro del Estado de Oaxaca.</w:t>
      </w:r>
    </w:p>
    <w:p w:rsidR="002F607E" w:rsidRDefault="002F607E" w:rsidP="002F607E">
      <w:pPr>
        <w:spacing w:line="360" w:lineRule="auto"/>
        <w:ind w:firstLine="708"/>
        <w:jc w:val="both"/>
        <w:rPr>
          <w:rFonts w:ascii="Arial" w:eastAsia="Times New Roman" w:hAnsi="Arial" w:cs="Arial"/>
          <w:color w:val="000000"/>
          <w:sz w:val="26"/>
          <w:szCs w:val="26"/>
        </w:rPr>
      </w:pPr>
      <w:r>
        <w:rPr>
          <w:rFonts w:ascii="Arial" w:hAnsi="Arial" w:cs="Arial"/>
          <w:sz w:val="26"/>
          <w:szCs w:val="26"/>
        </w:rPr>
        <w:t xml:space="preserve">Ahora, de las constancias de autos remitidas para la resolución del presente asunto, que hacen prueba plena en términos del artículo </w:t>
      </w:r>
      <w:r w:rsidR="00510AE6">
        <w:rPr>
          <w:rFonts w:ascii="Arial" w:hAnsi="Arial" w:cs="Arial"/>
          <w:sz w:val="26"/>
          <w:szCs w:val="26"/>
        </w:rPr>
        <w:t xml:space="preserve">203, fracción I, de la Ley de Procedimiento y Justicia Administrativa para el Estado de Oaxaca, </w:t>
      </w:r>
      <w:r>
        <w:rPr>
          <w:rFonts w:ascii="Arial" w:hAnsi="Arial" w:cs="Arial"/>
          <w:sz w:val="26"/>
          <w:szCs w:val="26"/>
        </w:rPr>
        <w:t xml:space="preserve">se advierte que los argumentos expresados por el recurrente son inoperantes, al no controvertir las consideraciones torales de la resolución alzada; ello es así, dado que con sus manifestaciones no controvierte las consideraciones en que funda su determinación el Magistrado de Primera Instancia; de donde resulta que los agravios expresados son inoperantes, al no exponer razonamientos lógico jurídicos que controviertan las consideraciones en que se sustenta el fallo alzado, </w:t>
      </w:r>
      <w:r w:rsidRPr="00C636AB">
        <w:rPr>
          <w:rFonts w:ascii="Arial" w:eastAsia="Times New Roman" w:hAnsi="Arial" w:cs="Arial"/>
          <w:color w:val="000000"/>
          <w:sz w:val="26"/>
          <w:szCs w:val="26"/>
        </w:rPr>
        <w:t xml:space="preserve">sin que </w:t>
      </w:r>
      <w:r>
        <w:rPr>
          <w:rFonts w:ascii="Arial" w:eastAsia="Times New Roman" w:hAnsi="Arial" w:cs="Arial"/>
          <w:color w:val="000000"/>
          <w:sz w:val="26"/>
          <w:szCs w:val="26"/>
        </w:rPr>
        <w:t>en el recurso en estudio se</w:t>
      </w:r>
      <w:r w:rsidRPr="00C636AB">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precise </w:t>
      </w:r>
      <w:r w:rsidRPr="00C636AB">
        <w:rPr>
          <w:rFonts w:ascii="Arial" w:eastAsia="Times New Roman" w:hAnsi="Arial" w:cs="Arial"/>
          <w:color w:val="000000"/>
          <w:sz w:val="26"/>
          <w:szCs w:val="26"/>
        </w:rPr>
        <w:t xml:space="preserve">argumentos tendentes a </w:t>
      </w:r>
      <w:r>
        <w:rPr>
          <w:rFonts w:ascii="Arial" w:eastAsia="Times New Roman" w:hAnsi="Arial" w:cs="Arial"/>
          <w:color w:val="000000"/>
          <w:sz w:val="26"/>
          <w:szCs w:val="26"/>
        </w:rPr>
        <w:t>evidenciar</w:t>
      </w:r>
      <w:r w:rsidRPr="00C636AB">
        <w:rPr>
          <w:rFonts w:ascii="Arial" w:eastAsia="Times New Roman" w:hAnsi="Arial" w:cs="Arial"/>
          <w:color w:val="000000"/>
          <w:sz w:val="26"/>
          <w:szCs w:val="26"/>
        </w:rPr>
        <w:t xml:space="preserve"> la ilegalidad de la sentencia recurrida</w:t>
      </w:r>
      <w:r>
        <w:rPr>
          <w:rFonts w:ascii="Arial" w:eastAsia="Times New Roman" w:hAnsi="Arial" w:cs="Arial"/>
          <w:color w:val="000000"/>
          <w:sz w:val="26"/>
          <w:szCs w:val="26"/>
        </w:rPr>
        <w:t xml:space="preserve">, pues no se combaten </w:t>
      </w:r>
      <w:r w:rsidRPr="00C636AB">
        <w:rPr>
          <w:rFonts w:ascii="Arial" w:eastAsia="Times New Roman" w:hAnsi="Arial" w:cs="Arial"/>
          <w:color w:val="000000"/>
          <w:sz w:val="26"/>
          <w:szCs w:val="26"/>
        </w:rPr>
        <w:t>los fundamentos legales y consideraciones</w:t>
      </w:r>
      <w:r>
        <w:rPr>
          <w:rFonts w:ascii="Arial" w:eastAsia="Times New Roman" w:hAnsi="Arial" w:cs="Arial"/>
          <w:color w:val="000000"/>
          <w:sz w:val="26"/>
          <w:szCs w:val="26"/>
        </w:rPr>
        <w:t xml:space="preserve"> torales</w:t>
      </w:r>
      <w:r w:rsidRPr="00C636AB">
        <w:rPr>
          <w:rFonts w:ascii="Arial" w:eastAsia="Times New Roman" w:hAnsi="Arial" w:cs="Arial"/>
          <w:color w:val="000000"/>
          <w:sz w:val="26"/>
          <w:szCs w:val="26"/>
        </w:rPr>
        <w:t xml:space="preserve"> en que se </w:t>
      </w:r>
      <w:r w:rsidRPr="006433D1">
        <w:rPr>
          <w:rFonts w:ascii="Arial" w:eastAsia="Times New Roman" w:hAnsi="Arial" w:cs="Arial"/>
          <w:color w:val="000000"/>
          <w:sz w:val="26"/>
          <w:szCs w:val="26"/>
        </w:rPr>
        <w:t xml:space="preserve">sustenta </w:t>
      </w:r>
      <w:r w:rsidRPr="00AD41EB">
        <w:rPr>
          <w:rFonts w:ascii="Arial" w:eastAsia="Times New Roman" w:hAnsi="Arial" w:cs="Arial"/>
          <w:color w:val="000000"/>
          <w:sz w:val="26"/>
          <w:szCs w:val="26"/>
        </w:rPr>
        <w:t>el fallo.</w:t>
      </w:r>
    </w:p>
    <w:p w:rsidR="002F607E" w:rsidRDefault="002F607E" w:rsidP="002F607E">
      <w:pPr>
        <w:spacing w:before="240" w:line="360" w:lineRule="auto"/>
        <w:ind w:firstLine="708"/>
        <w:jc w:val="both"/>
        <w:rPr>
          <w:rFonts w:ascii="Arial" w:hAnsi="Arial" w:cs="Arial"/>
          <w:bCs/>
          <w:sz w:val="26"/>
          <w:szCs w:val="26"/>
        </w:rPr>
      </w:pPr>
      <w:r>
        <w:rPr>
          <w:rFonts w:ascii="Arial" w:hAnsi="Arial" w:cs="Arial"/>
          <w:bCs/>
          <w:sz w:val="26"/>
          <w:szCs w:val="26"/>
        </w:rPr>
        <w:t>Es así, pues los agravios expresados no se destinan a combatir la materia del presente recurso de revisión, esto es, los motivos y fundamentos dados por la primera instancia para declarar la nulidad del recurso de revisión número ICEO/UJ/RECURSO/022/2017, contenida en el oficio ICEO/2027/2017 de fecha veintiséis de septiembre de dos mil diecisiete, para el efecto de que dicte otro debidamente fundado y motivado</w:t>
      </w:r>
      <w:r w:rsidRPr="00AD41EB">
        <w:rPr>
          <w:rFonts w:ascii="Arial" w:hAnsi="Arial" w:cs="Arial"/>
          <w:bCs/>
          <w:sz w:val="26"/>
          <w:szCs w:val="26"/>
        </w:rPr>
        <w:t xml:space="preserve">; </w:t>
      </w:r>
      <w:r>
        <w:rPr>
          <w:rFonts w:ascii="Arial" w:hAnsi="Arial" w:cs="Arial"/>
          <w:bCs/>
          <w:sz w:val="26"/>
          <w:szCs w:val="26"/>
        </w:rPr>
        <w:t>determinación que en la parte que interesa establece:</w:t>
      </w:r>
    </w:p>
    <w:p w:rsidR="002F607E" w:rsidRDefault="002F607E" w:rsidP="002F607E">
      <w:pPr>
        <w:spacing w:after="0"/>
        <w:ind w:firstLine="708"/>
        <w:jc w:val="both"/>
        <w:rPr>
          <w:rFonts w:cs="Calibri"/>
          <w:bCs/>
          <w:i/>
          <w:sz w:val="24"/>
          <w:szCs w:val="24"/>
        </w:rPr>
      </w:pPr>
      <w:r w:rsidRPr="00F754BA">
        <w:rPr>
          <w:rFonts w:cs="Calibri"/>
          <w:bCs/>
          <w:i/>
          <w:sz w:val="24"/>
          <w:szCs w:val="24"/>
        </w:rPr>
        <w:t>“</w:t>
      </w:r>
      <w:r>
        <w:rPr>
          <w:rFonts w:cs="Calibri"/>
          <w:bCs/>
          <w:i/>
          <w:sz w:val="24"/>
          <w:szCs w:val="24"/>
        </w:rPr>
        <w:t>…</w:t>
      </w:r>
    </w:p>
    <w:p w:rsidR="002F607E" w:rsidRDefault="002F607E" w:rsidP="002F607E">
      <w:pPr>
        <w:spacing w:after="0"/>
        <w:ind w:firstLine="708"/>
        <w:jc w:val="both"/>
        <w:rPr>
          <w:rFonts w:cs="Calibri"/>
          <w:i/>
        </w:rPr>
      </w:pPr>
      <w:r>
        <w:rPr>
          <w:rFonts w:cs="Calibri"/>
          <w:i/>
        </w:rPr>
        <w:t>En este contexto es inconcuso que la emisora de la resolución que se analiza dejó de cumplir con la debida fundamentación y motivación para la validez del acto, ya que en ninguna parte de la determinación se señala la cuenta catastral o el nombre de la persona que se encuentra registrado el bien inmueble que nos ocupa así como el fundamento legal que se tiene para tal determinación ya que los preceptos invocados, solo señalan el procedimiento a seguir para la aclaración del supuesto que nos ocupa, y al no señalar en el acto impugnado lo señalado con anterioridad se deja en total estado de indefensión al administrado, vulnerando la fracción V del artículo 17 de la Ley de Procedimiento y Justicia Administrativa para el Estado de Oaxaca.</w:t>
      </w:r>
    </w:p>
    <w:p w:rsidR="002F607E" w:rsidRDefault="002F607E" w:rsidP="002F607E">
      <w:pPr>
        <w:spacing w:after="0"/>
        <w:ind w:firstLine="708"/>
        <w:jc w:val="both"/>
        <w:rPr>
          <w:rFonts w:cs="Calibri"/>
          <w:i/>
        </w:rPr>
      </w:pPr>
      <w:r>
        <w:rPr>
          <w:rFonts w:cs="Calibri"/>
          <w:i/>
        </w:rPr>
        <w:lastRenderedPageBreak/>
        <w:t>Así también, la determinación contenida en el Recurso de Revisión carece de fundamentación y motivación, en virtud de que la enjuiciada al confirmar la resolución emitida por la Coordinadora de Enlace Municipal del Instituto Catastral del Estado de Oaxaca, impugnada mediante el Recurso de Revisión, omitió señalar el precepto legal, que establezca el supuesto de cuando un bien inmueble se encuentre ubicado otro inmueble a nombre de un contribuyente distinto debe negarse la petición de realizarse el trámite de INTEGRACIÓN AL PADÓN CATASTRAL, … o se encuentre registrada cuenta predial a nombre de persona distinta de la actora o que la que cuenta catastral no sea válida respecto de dicho inmueble, no cumpla con los requisitos legales o sea inexistente. Lo que trajo como consecuencia que la actora ignorara las razones particulares, causas inmediatas y circunstancias especiales del porqué resulta improcedente la petición y la ahora enjuiciada confirme el rechazo del trámite catastral de traslación de dominio, trayendo consigo la violación  a la fracción V del artículo 17 de la Ley de procedimiento y Justicia Administrativa para el Estado de Oaxaca.</w:t>
      </w:r>
    </w:p>
    <w:p w:rsidR="002F607E" w:rsidRDefault="002F607E" w:rsidP="002F607E">
      <w:pPr>
        <w:spacing w:after="0"/>
        <w:ind w:firstLine="708"/>
        <w:jc w:val="both"/>
        <w:rPr>
          <w:rFonts w:cs="Calibri"/>
          <w:i/>
        </w:rPr>
      </w:pPr>
      <w:r>
        <w:rPr>
          <w:rFonts w:cs="Calibri"/>
          <w:i/>
        </w:rPr>
        <w:t xml:space="preserve">…  </w:t>
      </w:r>
    </w:p>
    <w:p w:rsidR="002F607E" w:rsidRDefault="002F607E" w:rsidP="002F607E">
      <w:pPr>
        <w:spacing w:after="0"/>
        <w:ind w:firstLine="708"/>
        <w:jc w:val="both"/>
        <w:rPr>
          <w:rFonts w:cs="Calibri"/>
          <w:i/>
          <w:sz w:val="24"/>
          <w:szCs w:val="24"/>
        </w:rPr>
      </w:pPr>
      <w:r w:rsidRPr="008331FE">
        <w:rPr>
          <w:rFonts w:cs="Calibri"/>
          <w:i/>
        </w:rPr>
        <w:t xml:space="preserve">De los razonamientos vertidos, se colige, que la emisora de la resolución que se analiza, omitió cumplir con la fundamentación y motivación, en los términos a que obliga la fracción V del artículo 17 de la Ley de Procedimiento y Justicia Administrativa para el Estado de Oaxaca, para la validez de los actos administrativos; por lo que, tomando en consideración, que el acto impugnado deriva de una resolución emitida en un recurso de revisión, en la que no puede dejarse sin respuesta al administrado, lo procedente es decretar </w:t>
      </w:r>
      <w:r w:rsidRPr="008331FE">
        <w:rPr>
          <w:rFonts w:cs="Calibri"/>
          <w:b/>
          <w:i/>
        </w:rPr>
        <w:t xml:space="preserve">LA NULIDAD </w:t>
      </w:r>
      <w:r w:rsidRPr="008331FE">
        <w:rPr>
          <w:rFonts w:cs="Calibri"/>
          <w:i/>
        </w:rPr>
        <w:t xml:space="preserve">de la (sic) Recurso de Revisión número ICEO/UJ/RECURSO/022/2017, contenida en el oficio ICEO/UJ/2027/2017, de fecha veintiséis de septiembre de dos mil diecisiete (26/09/2017), emitida por el </w:t>
      </w:r>
      <w:r w:rsidRPr="008331FE">
        <w:rPr>
          <w:rFonts w:cs="Calibri"/>
          <w:b/>
          <w:i/>
        </w:rPr>
        <w:t xml:space="preserve">JEFE DE LA UNIDAD JURÍDICA DEL INSTITUTO CATASTRAL DEL ESTADO DE OAXACA, PARA EL EFECTO, </w:t>
      </w:r>
      <w:r w:rsidRPr="008331FE">
        <w:rPr>
          <w:rFonts w:cs="Calibri"/>
          <w:i/>
        </w:rPr>
        <w:t xml:space="preserve"> de que dicte otro, procedente conforme a derecho, debidamente fundado y motivado en los términos a que obliga la fracción V del artículo 17 de la Ley de Procedimiento y Justicia Administrativa para el Estado de Oaxaca.</w:t>
      </w:r>
      <w:r>
        <w:rPr>
          <w:rFonts w:cs="Calibri"/>
          <w:bCs/>
          <w:i/>
          <w:sz w:val="24"/>
          <w:szCs w:val="24"/>
        </w:rPr>
        <w:t>, …</w:t>
      </w:r>
      <w:r>
        <w:rPr>
          <w:rFonts w:cs="Calibri"/>
          <w:i/>
          <w:sz w:val="24"/>
          <w:szCs w:val="24"/>
        </w:rPr>
        <w:t>”.</w:t>
      </w:r>
    </w:p>
    <w:p w:rsidR="002F607E" w:rsidRPr="00F754BA" w:rsidRDefault="002F607E" w:rsidP="002F607E">
      <w:pPr>
        <w:spacing w:after="0"/>
        <w:ind w:firstLine="708"/>
        <w:jc w:val="both"/>
        <w:rPr>
          <w:rFonts w:cs="Calibri"/>
          <w:bCs/>
          <w:i/>
          <w:sz w:val="24"/>
          <w:szCs w:val="24"/>
        </w:rPr>
      </w:pPr>
    </w:p>
    <w:p w:rsidR="002F607E" w:rsidRDefault="002F607E" w:rsidP="002F607E">
      <w:pPr>
        <w:spacing w:after="0" w:line="360" w:lineRule="auto"/>
        <w:ind w:firstLine="709"/>
        <w:jc w:val="both"/>
        <w:rPr>
          <w:rFonts w:ascii="Arial" w:hAnsi="Arial" w:cs="Arial"/>
          <w:sz w:val="26"/>
          <w:szCs w:val="26"/>
        </w:rPr>
      </w:pPr>
      <w:r>
        <w:rPr>
          <w:rFonts w:ascii="Arial" w:hAnsi="Arial" w:cs="Arial"/>
          <w:sz w:val="26"/>
          <w:szCs w:val="26"/>
        </w:rPr>
        <w:t>Sirve de referencia por identidad jurídica la Jurisprudencia del Tercer Tribunal Colegiado del Cuarto Circuito, que aparece publicada en la página 57 de la Gaceta del Semanario Judicial de la Federación, Tomo  57, Septiembre de 1992, Materia Común, Octava Época, bajo el rubro y texto siguientes:</w:t>
      </w:r>
    </w:p>
    <w:p w:rsidR="00510AE6" w:rsidRPr="002F607E" w:rsidRDefault="00510AE6" w:rsidP="002F607E">
      <w:pPr>
        <w:spacing w:after="0" w:line="360" w:lineRule="auto"/>
        <w:ind w:firstLine="709"/>
        <w:jc w:val="both"/>
        <w:rPr>
          <w:rFonts w:ascii="Arial" w:hAnsi="Arial" w:cs="Arial"/>
          <w:sz w:val="26"/>
          <w:szCs w:val="26"/>
        </w:rPr>
      </w:pPr>
    </w:p>
    <w:p w:rsidR="002F607E" w:rsidRPr="002F607E" w:rsidRDefault="002F607E" w:rsidP="002F607E">
      <w:pPr>
        <w:ind w:left="709" w:right="709"/>
        <w:jc w:val="both"/>
        <w:rPr>
          <w:rFonts w:ascii="Arial" w:hAnsi="Arial" w:cs="Arial"/>
        </w:rPr>
      </w:pPr>
      <w:r w:rsidRPr="002F607E">
        <w:rPr>
          <w:rFonts w:ascii="Arial" w:hAnsi="Arial" w:cs="Arial"/>
        </w:rPr>
        <w:t>“</w:t>
      </w:r>
      <w:r w:rsidRPr="002F607E">
        <w:rPr>
          <w:rFonts w:cs="Arial"/>
          <w:b/>
          <w:i/>
        </w:rPr>
        <w:t>AGRAVIOS. DEBEN DE IMPUGNAR LA ILEGALIDAD DEL FALLO RECURRIDO</w:t>
      </w:r>
      <w:r w:rsidRPr="002F607E">
        <w:rPr>
          <w:rFonts w:cs="Arial"/>
          <w:i/>
        </w:rPr>
        <w:t>.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sidRPr="002F607E">
        <w:rPr>
          <w:rFonts w:ascii="Arial" w:hAnsi="Arial" w:cs="Arial"/>
        </w:rPr>
        <w:t>”.</w:t>
      </w:r>
    </w:p>
    <w:p w:rsidR="002F607E" w:rsidRDefault="002F607E" w:rsidP="002F607E">
      <w:pPr>
        <w:spacing w:line="360" w:lineRule="auto"/>
        <w:ind w:firstLine="708"/>
        <w:jc w:val="both"/>
        <w:rPr>
          <w:rFonts w:ascii="Arial" w:hAnsi="Arial" w:cs="Arial"/>
          <w:bCs/>
          <w:sz w:val="26"/>
          <w:szCs w:val="26"/>
        </w:rPr>
      </w:pPr>
      <w:r w:rsidRPr="00EF1C3E">
        <w:rPr>
          <w:rFonts w:ascii="Arial" w:hAnsi="Arial" w:cs="Arial"/>
          <w:bCs/>
          <w:sz w:val="26"/>
          <w:szCs w:val="26"/>
        </w:rPr>
        <w:t>Por tanto, al no controvertir la sentencia recurrida es que resultan INOPERANTES</w:t>
      </w:r>
      <w:r>
        <w:rPr>
          <w:rFonts w:ascii="Arial" w:hAnsi="Arial" w:cs="Arial"/>
          <w:bCs/>
          <w:sz w:val="26"/>
          <w:szCs w:val="26"/>
        </w:rPr>
        <w:t xml:space="preserve"> los agravios expresados por el recurrente</w:t>
      </w:r>
      <w:r w:rsidRPr="00EF1C3E">
        <w:rPr>
          <w:rFonts w:ascii="Arial" w:hAnsi="Arial" w:cs="Arial"/>
          <w:bCs/>
          <w:sz w:val="26"/>
          <w:szCs w:val="26"/>
        </w:rPr>
        <w:t>.</w:t>
      </w:r>
      <w:r>
        <w:rPr>
          <w:rFonts w:ascii="Arial" w:hAnsi="Arial" w:cs="Arial"/>
          <w:bCs/>
          <w:sz w:val="26"/>
          <w:szCs w:val="26"/>
        </w:rPr>
        <w:t xml:space="preserve"> </w:t>
      </w:r>
    </w:p>
    <w:p w:rsidR="002F607E" w:rsidRDefault="002F607E" w:rsidP="002F607E">
      <w:pPr>
        <w:spacing w:line="360" w:lineRule="auto"/>
        <w:ind w:firstLine="708"/>
        <w:jc w:val="both"/>
        <w:rPr>
          <w:rFonts w:ascii="Arial" w:hAnsi="Arial" w:cs="Arial"/>
          <w:bCs/>
          <w:sz w:val="26"/>
          <w:szCs w:val="26"/>
        </w:rPr>
      </w:pPr>
      <w:r w:rsidRPr="00EF1C3E">
        <w:rPr>
          <w:rFonts w:ascii="Arial" w:hAnsi="Arial" w:cs="Arial"/>
          <w:bCs/>
          <w:sz w:val="26"/>
          <w:szCs w:val="26"/>
        </w:rPr>
        <w:t>A</w:t>
      </w:r>
      <w:r>
        <w:rPr>
          <w:rFonts w:ascii="Arial" w:hAnsi="Arial" w:cs="Arial"/>
          <w:bCs/>
          <w:sz w:val="26"/>
          <w:szCs w:val="26"/>
        </w:rPr>
        <w:t xml:space="preserve">nte tal situación, </w:t>
      </w:r>
      <w:r>
        <w:rPr>
          <w:rFonts w:ascii="Arial" w:hAnsi="Arial" w:cs="Arial"/>
          <w:sz w:val="26"/>
          <w:szCs w:val="26"/>
        </w:rPr>
        <w:t xml:space="preserve">lo determinado por la Primera Instancia sigue rigiendo el sentido de la sentencia recurrida, porque la parte actora con sus manifestaciones no destruye esas consideraciones, lo que era menester que hiciera ya que fue precisamente en atención a ellas que el Magistrado </w:t>
      </w:r>
      <w:r>
        <w:rPr>
          <w:rFonts w:ascii="Arial" w:hAnsi="Arial" w:cs="Arial"/>
          <w:bCs/>
          <w:sz w:val="26"/>
          <w:szCs w:val="26"/>
        </w:rPr>
        <w:t xml:space="preserve">declaró la nulidad del recurso de revisión número </w:t>
      </w:r>
      <w:r>
        <w:rPr>
          <w:rFonts w:ascii="Arial" w:hAnsi="Arial" w:cs="Arial"/>
          <w:bCs/>
          <w:sz w:val="26"/>
          <w:szCs w:val="26"/>
        </w:rPr>
        <w:lastRenderedPageBreak/>
        <w:t>ICEO/UJ/RECURSO/022/2017, contenida en el oficio ICEO/2027/2017 de fecha veintiséis de septiembre de dos mil diecisiete, para el efecto de que dicte otro debidamente fundado y motivado</w:t>
      </w:r>
      <w:r w:rsidRPr="00EF1C3E">
        <w:rPr>
          <w:rFonts w:ascii="Arial" w:hAnsi="Arial" w:cs="Arial"/>
          <w:sz w:val="26"/>
          <w:szCs w:val="26"/>
        </w:rPr>
        <w:t>.</w:t>
      </w:r>
    </w:p>
    <w:p w:rsidR="002F607E" w:rsidRPr="002F607E" w:rsidRDefault="002F607E" w:rsidP="002F607E">
      <w:pPr>
        <w:spacing w:line="360" w:lineRule="auto"/>
        <w:ind w:firstLine="708"/>
        <w:jc w:val="both"/>
        <w:rPr>
          <w:rFonts w:ascii="Arial" w:eastAsia="Times New Roman" w:hAnsi="Arial"/>
          <w:color w:val="000000"/>
          <w:sz w:val="26"/>
          <w:szCs w:val="26"/>
        </w:rPr>
      </w:pPr>
      <w:r>
        <w:rPr>
          <w:rFonts w:ascii="Arial" w:eastAsia="Times New Roman" w:hAnsi="Arial" w:cs="Arial"/>
          <w:color w:val="000000"/>
          <w:sz w:val="26"/>
          <w:szCs w:val="26"/>
        </w:rPr>
        <w:t xml:space="preserve">Sirve de sustento legal la siguiente Jurisprudencia, Novena Época, </w:t>
      </w:r>
      <w:r>
        <w:rPr>
          <w:rFonts w:ascii="Arial" w:eastAsia="Times New Roman" w:hAnsi="Arial"/>
          <w:color w:val="000000"/>
          <w:sz w:val="26"/>
          <w:szCs w:val="26"/>
        </w:rPr>
        <w:t>Registro: 188892, Instancia: Tribunales Colegiados de Circuito, Fuente: Semanario Judicial de la Federación y su Gaceta, Tomo XIV, Septiembre de 2001, Materia(s): Común, Tesis: XXI.3o./J/2, Página: 1120.</w:t>
      </w:r>
    </w:p>
    <w:p w:rsidR="002F607E" w:rsidRPr="002F607E" w:rsidRDefault="002F607E" w:rsidP="002F607E">
      <w:pPr>
        <w:spacing w:line="360" w:lineRule="auto"/>
        <w:ind w:left="709" w:right="709"/>
        <w:jc w:val="both"/>
        <w:rPr>
          <w:rFonts w:ascii="Arial" w:hAnsi="Arial" w:cs="Arial"/>
          <w:bCs/>
        </w:rPr>
      </w:pPr>
      <w:r w:rsidRPr="002250D0">
        <w:rPr>
          <w:rFonts w:ascii="Arial" w:eastAsia="Times New Roman" w:hAnsi="Arial" w:cs="Arial"/>
          <w:b/>
          <w:color w:val="000000"/>
        </w:rPr>
        <w:t xml:space="preserve">AGRAVIOS EN LA RECLAMACIÓN. SON INOPERANTES CUANDO NO CONTROVIERTEN LAS CONSIDERACIONES QUE RIGEN EL AUTO COMBATIDO. </w:t>
      </w:r>
      <w:r w:rsidRPr="002250D0">
        <w:rPr>
          <w:rFonts w:ascii="Arial" w:eastAsia="Times New Roman" w:hAnsi="Arial" w:cs="Arial"/>
          <w:color w:val="000000"/>
        </w:rPr>
        <w:t>Si en la resolución recurrida el presidente de un Tribunal Colegiado sostiene diversas consideraciones para desechar el recurso de revisión de que se trata y el recurrente de la reclamación que se resuelve, lejos de combatirlas, se concreta a señalar una serie de razonamientos sin impugnar debidamente los argumentos expuestos por el presidente del órgano jurisdiccional en apoyo de su resolución, es evidente que los agravios resultan inoperantes.</w:t>
      </w:r>
    </w:p>
    <w:p w:rsidR="002F607E" w:rsidRDefault="002F607E" w:rsidP="002F607E">
      <w:pPr>
        <w:spacing w:line="360" w:lineRule="auto"/>
        <w:ind w:firstLine="708"/>
        <w:jc w:val="both"/>
        <w:rPr>
          <w:rFonts w:ascii="Arial" w:hAnsi="Arial" w:cs="Arial"/>
          <w:bCs/>
          <w:sz w:val="26"/>
          <w:szCs w:val="26"/>
        </w:rPr>
      </w:pPr>
      <w:r>
        <w:rPr>
          <w:rFonts w:ascii="Arial" w:hAnsi="Arial" w:cs="Arial"/>
          <w:bCs/>
          <w:sz w:val="26"/>
          <w:szCs w:val="26"/>
        </w:rPr>
        <w:t xml:space="preserve">Por lo que, ante lo inoperante de los agravios expresados, lo procedente es CONFIRMAR </w:t>
      </w:r>
      <w:r w:rsidRPr="001B5D79">
        <w:rPr>
          <w:rFonts w:ascii="Arial" w:hAnsi="Arial" w:cs="Arial"/>
          <w:bCs/>
          <w:sz w:val="26"/>
          <w:szCs w:val="26"/>
        </w:rPr>
        <w:t xml:space="preserve">la </w:t>
      </w:r>
      <w:r>
        <w:rPr>
          <w:rFonts w:ascii="Arial" w:hAnsi="Arial" w:cs="Arial"/>
          <w:bCs/>
          <w:sz w:val="26"/>
          <w:szCs w:val="26"/>
        </w:rPr>
        <w:t>sentencia</w:t>
      </w:r>
      <w:r w:rsidRPr="001B5D79">
        <w:rPr>
          <w:rFonts w:ascii="Arial" w:hAnsi="Arial" w:cs="Arial"/>
          <w:bCs/>
          <w:sz w:val="26"/>
          <w:szCs w:val="26"/>
        </w:rPr>
        <w:t xml:space="preserve"> </w:t>
      </w:r>
      <w:r>
        <w:rPr>
          <w:rFonts w:ascii="Arial" w:hAnsi="Arial" w:cs="Arial"/>
          <w:bCs/>
          <w:sz w:val="26"/>
          <w:szCs w:val="26"/>
        </w:rPr>
        <w:t>recurrida.</w:t>
      </w:r>
    </w:p>
    <w:p w:rsidR="002F607E" w:rsidRDefault="002F607E" w:rsidP="002F607E">
      <w:pPr>
        <w:tabs>
          <w:tab w:val="left" w:pos="709"/>
        </w:tabs>
        <w:spacing w:before="240" w:line="360" w:lineRule="auto"/>
        <w:jc w:val="both"/>
        <w:rPr>
          <w:rFonts w:ascii="Arial" w:hAnsi="Arial" w:cs="Arial"/>
          <w:sz w:val="26"/>
          <w:szCs w:val="26"/>
        </w:rPr>
      </w:pPr>
      <w:r>
        <w:rPr>
          <w:rFonts w:ascii="Arial" w:hAnsi="Arial" w:cs="Arial"/>
          <w:sz w:val="26"/>
          <w:szCs w:val="26"/>
        </w:rPr>
        <w:tab/>
      </w:r>
      <w:r w:rsidRPr="008C1633">
        <w:rPr>
          <w:rFonts w:ascii="Arial" w:hAnsi="Arial" w:cs="Arial"/>
          <w:sz w:val="26"/>
          <w:szCs w:val="26"/>
        </w:rPr>
        <w:t xml:space="preserve">Por lo </w:t>
      </w:r>
      <w:r>
        <w:rPr>
          <w:rFonts w:ascii="Arial" w:hAnsi="Arial" w:cs="Arial"/>
          <w:sz w:val="26"/>
          <w:szCs w:val="26"/>
        </w:rPr>
        <w:t xml:space="preserve">anteriormente </w:t>
      </w:r>
      <w:r w:rsidRPr="008C1633">
        <w:rPr>
          <w:rFonts w:ascii="Arial" w:hAnsi="Arial" w:cs="Arial"/>
          <w:sz w:val="26"/>
          <w:szCs w:val="26"/>
        </w:rPr>
        <w:t>expuesto</w:t>
      </w:r>
      <w:r>
        <w:rPr>
          <w:rFonts w:ascii="Arial" w:hAnsi="Arial" w:cs="Arial"/>
          <w:sz w:val="26"/>
          <w:szCs w:val="26"/>
        </w:rPr>
        <w:t xml:space="preserve"> y</w:t>
      </w:r>
      <w:r w:rsidRPr="008C1633">
        <w:rPr>
          <w:rFonts w:ascii="Arial" w:hAnsi="Arial" w:cs="Arial"/>
          <w:sz w:val="26"/>
          <w:szCs w:val="26"/>
        </w:rPr>
        <w:t xml:space="preserve"> fundado, con apoyo en los artículos 2</w:t>
      </w:r>
      <w:r>
        <w:rPr>
          <w:rFonts w:ascii="Arial" w:hAnsi="Arial" w:cs="Arial"/>
          <w:sz w:val="26"/>
          <w:szCs w:val="26"/>
        </w:rPr>
        <w:t>3</w:t>
      </w:r>
      <w:r w:rsidRPr="008C1633">
        <w:rPr>
          <w:rFonts w:ascii="Arial" w:hAnsi="Arial" w:cs="Arial"/>
          <w:sz w:val="26"/>
          <w:szCs w:val="26"/>
        </w:rPr>
        <w:t>7 y 2</w:t>
      </w:r>
      <w:r>
        <w:rPr>
          <w:rFonts w:ascii="Arial" w:hAnsi="Arial" w:cs="Arial"/>
          <w:sz w:val="26"/>
          <w:szCs w:val="26"/>
        </w:rPr>
        <w:t>3</w:t>
      </w:r>
      <w:r w:rsidRPr="008C1633">
        <w:rPr>
          <w:rFonts w:ascii="Arial" w:hAnsi="Arial" w:cs="Arial"/>
          <w:sz w:val="26"/>
          <w:szCs w:val="26"/>
        </w:rPr>
        <w:t xml:space="preserve">8, de la Ley de </w:t>
      </w:r>
      <w:r>
        <w:rPr>
          <w:rFonts w:ascii="Arial" w:hAnsi="Arial" w:cs="Arial"/>
          <w:sz w:val="26"/>
          <w:szCs w:val="26"/>
        </w:rPr>
        <w:t xml:space="preserve">Procedimiento y </w:t>
      </w:r>
      <w:r w:rsidRPr="008C1633">
        <w:rPr>
          <w:rFonts w:ascii="Arial" w:hAnsi="Arial" w:cs="Arial"/>
          <w:sz w:val="26"/>
          <w:szCs w:val="26"/>
        </w:rPr>
        <w:t>Justicia Administrativa para el Estado, se:</w:t>
      </w:r>
    </w:p>
    <w:p w:rsidR="002F607E" w:rsidRPr="00423F1A" w:rsidRDefault="002F607E" w:rsidP="002F607E">
      <w:pPr>
        <w:tabs>
          <w:tab w:val="left" w:pos="1134"/>
        </w:tabs>
        <w:spacing w:before="240" w:line="360" w:lineRule="auto"/>
        <w:jc w:val="center"/>
        <w:rPr>
          <w:rFonts w:ascii="Arial" w:hAnsi="Arial" w:cs="Arial"/>
          <w:b/>
          <w:sz w:val="26"/>
          <w:szCs w:val="26"/>
        </w:rPr>
      </w:pPr>
      <w:r w:rsidRPr="00423F1A">
        <w:rPr>
          <w:rFonts w:ascii="Arial" w:hAnsi="Arial" w:cs="Arial"/>
          <w:b/>
          <w:sz w:val="26"/>
          <w:szCs w:val="26"/>
        </w:rPr>
        <w:t>R E S U E L V E</w:t>
      </w:r>
    </w:p>
    <w:p w:rsidR="002F607E" w:rsidRDefault="002F607E" w:rsidP="002F607E">
      <w:pPr>
        <w:spacing w:before="240" w:line="360" w:lineRule="auto"/>
        <w:ind w:firstLine="708"/>
        <w:jc w:val="both"/>
        <w:rPr>
          <w:rFonts w:ascii="Arial" w:hAnsi="Arial" w:cs="Arial"/>
          <w:sz w:val="26"/>
          <w:szCs w:val="26"/>
        </w:rPr>
      </w:pPr>
      <w:r w:rsidRPr="00423F1A">
        <w:rPr>
          <w:rFonts w:ascii="Arial" w:hAnsi="Arial" w:cs="Arial"/>
          <w:b/>
          <w:sz w:val="26"/>
          <w:szCs w:val="26"/>
        </w:rPr>
        <w:t>PRIMERO</w:t>
      </w:r>
      <w:r w:rsidRPr="00423F1A">
        <w:rPr>
          <w:rFonts w:ascii="Arial" w:hAnsi="Arial" w:cs="Arial"/>
          <w:sz w:val="26"/>
          <w:szCs w:val="26"/>
        </w:rPr>
        <w:t xml:space="preserve">. </w:t>
      </w:r>
      <w:r>
        <w:rPr>
          <w:rFonts w:ascii="Arial" w:hAnsi="Arial" w:cs="Arial"/>
          <w:bCs/>
          <w:sz w:val="26"/>
          <w:szCs w:val="26"/>
        </w:rPr>
        <w:t>S</w:t>
      </w:r>
      <w:r w:rsidRPr="006E349D">
        <w:rPr>
          <w:rFonts w:ascii="Arial" w:hAnsi="Arial" w:cs="Arial"/>
          <w:sz w:val="26"/>
          <w:szCs w:val="26"/>
        </w:rPr>
        <w:t xml:space="preserve">e </w:t>
      </w:r>
      <w:r>
        <w:rPr>
          <w:rFonts w:ascii="Arial" w:hAnsi="Arial" w:cs="Arial"/>
          <w:b/>
          <w:sz w:val="26"/>
          <w:szCs w:val="26"/>
        </w:rPr>
        <w:t>CONFIRMA</w:t>
      </w:r>
      <w:r w:rsidRPr="006E349D">
        <w:rPr>
          <w:rFonts w:ascii="Arial" w:hAnsi="Arial" w:cs="Arial"/>
          <w:sz w:val="26"/>
          <w:szCs w:val="26"/>
        </w:rPr>
        <w:t xml:space="preserve"> </w:t>
      </w:r>
      <w:r>
        <w:rPr>
          <w:rFonts w:ascii="Arial" w:hAnsi="Arial" w:cs="Arial"/>
          <w:sz w:val="26"/>
          <w:szCs w:val="26"/>
        </w:rPr>
        <w:t xml:space="preserve">la sentencia recurrida, por las razones expuestas en el considerando que antecede. </w:t>
      </w:r>
    </w:p>
    <w:p w:rsidR="002F607E" w:rsidRPr="00E529C7" w:rsidRDefault="002F607E" w:rsidP="002F607E">
      <w:pPr>
        <w:spacing w:before="240" w:line="360" w:lineRule="auto"/>
        <w:ind w:firstLine="708"/>
        <w:jc w:val="both"/>
        <w:rPr>
          <w:rFonts w:ascii="Arial" w:hAnsi="Arial" w:cs="Arial"/>
          <w:sz w:val="26"/>
          <w:szCs w:val="26"/>
        </w:rPr>
      </w:pPr>
      <w:r w:rsidRPr="00E529C7">
        <w:rPr>
          <w:rFonts w:ascii="Arial" w:hAnsi="Arial" w:cs="Arial"/>
          <w:b/>
          <w:sz w:val="26"/>
          <w:szCs w:val="26"/>
        </w:rPr>
        <w:t>SEGUNDO. NOTIFÍQUESE Y CÚMPLASE,</w:t>
      </w:r>
      <w:r w:rsidRPr="00E529C7">
        <w:rPr>
          <w:rFonts w:ascii="Arial" w:hAnsi="Arial" w:cs="Arial"/>
          <w:sz w:val="26"/>
          <w:szCs w:val="26"/>
        </w:rPr>
        <w:t xml:space="preserve"> con copia certificada de la presente resolución, vuelvan las constancias remitidas a la Sala de origen, y en su oportunidad archívese el cuaderno de revisión como concluido. </w:t>
      </w:r>
      <w:bookmarkStart w:id="0" w:name="_GoBack"/>
      <w:bookmarkEnd w:id="0"/>
    </w:p>
    <w:p w:rsidR="002F607E" w:rsidRDefault="002F607E" w:rsidP="002F607E">
      <w:pPr>
        <w:spacing w:before="240" w:line="360" w:lineRule="auto"/>
        <w:ind w:firstLine="708"/>
        <w:jc w:val="both"/>
        <w:rPr>
          <w:rFonts w:ascii="Arial" w:hAnsi="Arial" w:cs="Arial"/>
          <w:sz w:val="26"/>
          <w:szCs w:val="26"/>
        </w:rPr>
      </w:pPr>
      <w:r w:rsidRPr="00E529C7">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r w:rsidRPr="00B329F0">
        <w:rPr>
          <w:rFonts w:ascii="Arial" w:hAnsi="Arial" w:cs="Arial"/>
          <w:sz w:val="26"/>
          <w:szCs w:val="26"/>
        </w:rPr>
        <w:t xml:space="preserve"> </w:t>
      </w:r>
    </w:p>
    <w:p w:rsidR="002F607E" w:rsidRPr="00B329F0" w:rsidRDefault="002F607E" w:rsidP="002F607E">
      <w:pPr>
        <w:spacing w:line="360" w:lineRule="auto"/>
        <w:ind w:left="1429"/>
        <w:contextualSpacing/>
        <w:jc w:val="both"/>
        <w:rPr>
          <w:rFonts w:ascii="Arial" w:hAnsi="Arial" w:cs="Arial"/>
          <w:b/>
          <w:sz w:val="26"/>
          <w:szCs w:val="26"/>
        </w:rPr>
      </w:pPr>
      <w:r w:rsidRPr="00B329F0">
        <w:rPr>
          <w:rFonts w:ascii="Arial" w:hAnsi="Arial" w:cs="Arial"/>
          <w:sz w:val="26"/>
          <w:szCs w:val="26"/>
        </w:rPr>
        <w:t xml:space="preserve">              </w:t>
      </w:r>
    </w:p>
    <w:p w:rsidR="00510AE6" w:rsidRPr="00DE007E" w:rsidRDefault="00510AE6" w:rsidP="00510AE6">
      <w:pPr>
        <w:spacing w:line="360" w:lineRule="auto"/>
        <w:jc w:val="center"/>
        <w:rPr>
          <w:rFonts w:ascii="Arial" w:eastAsia="Calibri" w:hAnsi="Arial" w:cs="Arial"/>
          <w:b/>
          <w:sz w:val="14"/>
          <w:szCs w:val="26"/>
        </w:rPr>
      </w:pPr>
      <w:r w:rsidRPr="00DE007E">
        <w:rPr>
          <w:rFonts w:ascii="Arial" w:eastAsia="Calibri" w:hAnsi="Arial" w:cs="Arial"/>
          <w:b/>
          <w:sz w:val="14"/>
          <w:szCs w:val="26"/>
        </w:rPr>
        <w:lastRenderedPageBreak/>
        <w:t>LAS PRESENTES FIRMAS CORRESP</w:t>
      </w:r>
      <w:r>
        <w:rPr>
          <w:rFonts w:ascii="Arial" w:eastAsia="Calibri" w:hAnsi="Arial" w:cs="Arial"/>
          <w:b/>
          <w:sz w:val="14"/>
          <w:szCs w:val="26"/>
        </w:rPr>
        <w:t>ONDEN AL RECURSO DE REVISIÓN 292</w:t>
      </w:r>
      <w:r w:rsidRPr="00DE007E">
        <w:rPr>
          <w:rFonts w:ascii="Arial" w:eastAsia="Calibri" w:hAnsi="Arial" w:cs="Arial"/>
          <w:b/>
          <w:sz w:val="14"/>
          <w:szCs w:val="26"/>
        </w:rPr>
        <w:t>/2018</w:t>
      </w:r>
    </w:p>
    <w:p w:rsidR="00DE007E" w:rsidRDefault="00DE007E" w:rsidP="00F9295A">
      <w:pPr>
        <w:tabs>
          <w:tab w:val="left" w:pos="1985"/>
        </w:tabs>
        <w:spacing w:after="0" w:line="360" w:lineRule="auto"/>
        <w:ind w:firstLine="708"/>
        <w:jc w:val="both"/>
        <w:rPr>
          <w:rFonts w:ascii="Arial" w:hAnsi="Arial" w:cs="Arial"/>
          <w:sz w:val="26"/>
          <w:szCs w:val="26"/>
        </w:rPr>
      </w:pPr>
    </w:p>
    <w:p w:rsidR="00AF32D8" w:rsidRDefault="00AF32D8" w:rsidP="00510AE6">
      <w:pPr>
        <w:tabs>
          <w:tab w:val="left" w:pos="1985"/>
        </w:tabs>
        <w:spacing w:before="240" w:line="360" w:lineRule="auto"/>
        <w:jc w:val="both"/>
        <w:rPr>
          <w:rFonts w:ascii="Arial" w:eastAsiaTheme="minorEastAsia" w:hAnsi="Arial" w:cs="Arial"/>
          <w:sz w:val="26"/>
          <w:szCs w:val="26"/>
          <w:lang w:eastAsia="es-MX"/>
        </w:rPr>
      </w:pPr>
    </w:p>
    <w:p w:rsidR="00012B25" w:rsidRDefault="00012B25" w:rsidP="00AF32D8">
      <w:pPr>
        <w:tabs>
          <w:tab w:val="left" w:pos="1985"/>
        </w:tabs>
        <w:spacing w:before="240" w:line="360" w:lineRule="auto"/>
        <w:ind w:firstLine="708"/>
        <w:jc w:val="both"/>
        <w:rPr>
          <w:rFonts w:ascii="Arial" w:eastAsiaTheme="minorEastAsia" w:hAnsi="Arial" w:cs="Arial"/>
          <w:sz w:val="26"/>
          <w:szCs w:val="26"/>
          <w:lang w:eastAsia="es-MX"/>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 xml:space="preserve">MAGISTRADO ADRIAN QUIROGA AVENDAÑO </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PRESIDENTE</w:t>
      </w:r>
    </w:p>
    <w:p w:rsidR="00AF32D8" w:rsidRDefault="00AF32D8" w:rsidP="00AF32D8">
      <w:pPr>
        <w:spacing w:line="360" w:lineRule="auto"/>
        <w:rPr>
          <w:rFonts w:ascii="Arial" w:eastAsia="Calibri" w:hAnsi="Arial" w:cs="Arial"/>
          <w:b/>
          <w:sz w:val="26"/>
          <w:szCs w:val="26"/>
        </w:rPr>
      </w:pPr>
    </w:p>
    <w:p w:rsidR="00510AE6" w:rsidRDefault="00510AE6" w:rsidP="00510AE6">
      <w:pPr>
        <w:spacing w:line="360" w:lineRule="auto"/>
        <w:rPr>
          <w:rFonts w:ascii="Arial" w:eastAsia="Calibri" w:hAnsi="Arial" w:cs="Arial"/>
          <w:sz w:val="26"/>
          <w:szCs w:val="26"/>
        </w:rPr>
      </w:pPr>
    </w:p>
    <w:p w:rsidR="00DE007E" w:rsidRDefault="00DE007E"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AF32D8" w:rsidRDefault="00AF32D8" w:rsidP="00663BE4">
      <w:pPr>
        <w:spacing w:line="360" w:lineRule="auto"/>
        <w:rPr>
          <w:rFonts w:ascii="Arial" w:eastAsia="Calibri" w:hAnsi="Arial" w:cs="Arial"/>
          <w:sz w:val="26"/>
          <w:szCs w:val="26"/>
        </w:rPr>
      </w:pPr>
    </w:p>
    <w:p w:rsidR="00012B25" w:rsidRDefault="00012B25" w:rsidP="00012B25">
      <w:pPr>
        <w:spacing w:line="360" w:lineRule="auto"/>
        <w:rPr>
          <w:rFonts w:ascii="Arial" w:eastAsia="Calibri" w:hAnsi="Arial" w:cs="Arial"/>
          <w:sz w:val="26"/>
          <w:szCs w:val="26"/>
        </w:rPr>
      </w:pPr>
    </w:p>
    <w:p w:rsidR="00012B25" w:rsidRDefault="00012B25" w:rsidP="00AF32D8">
      <w:pPr>
        <w:spacing w:line="360" w:lineRule="auto"/>
        <w:jc w:val="center"/>
        <w:rPr>
          <w:rFonts w:ascii="Arial" w:eastAsia="Calibri" w:hAnsi="Arial" w:cs="Arial"/>
          <w:sz w:val="26"/>
          <w:szCs w:val="26"/>
        </w:rPr>
      </w:pPr>
    </w:p>
    <w:p w:rsidR="00AF32D8" w:rsidRDefault="00AF32D8" w:rsidP="00AF32D8">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AF32D8" w:rsidRDefault="00AF32D8" w:rsidP="00AF32D8">
      <w:pPr>
        <w:spacing w:line="360" w:lineRule="auto"/>
        <w:jc w:val="center"/>
        <w:rPr>
          <w:rFonts w:ascii="Arial" w:eastAsia="Calibri" w:hAnsi="Arial" w:cs="Arial"/>
          <w:sz w:val="26"/>
          <w:szCs w:val="26"/>
        </w:rPr>
      </w:pPr>
    </w:p>
    <w:p w:rsidR="00663BE4" w:rsidRDefault="00663BE4" w:rsidP="00663BE4">
      <w:pPr>
        <w:spacing w:line="360" w:lineRule="auto"/>
        <w:rPr>
          <w:rFonts w:ascii="Arial" w:eastAsia="Calibri" w:hAnsi="Arial" w:cs="Arial"/>
          <w:sz w:val="26"/>
          <w:szCs w:val="26"/>
        </w:rPr>
      </w:pPr>
    </w:p>
    <w:p w:rsidR="00DE007E" w:rsidRDefault="00DE007E" w:rsidP="00663BE4">
      <w:pPr>
        <w:spacing w:line="36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MAGISTRADA MARIA ELENA VILLA DE JARQUIN</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00741">
      <w:pPr>
        <w:spacing w:after="0" w:line="240" w:lineRule="auto"/>
        <w:rPr>
          <w:rFonts w:ascii="Arial" w:eastAsia="Calibri" w:hAnsi="Arial" w:cs="Arial"/>
          <w:sz w:val="26"/>
          <w:szCs w:val="26"/>
        </w:rPr>
      </w:pPr>
    </w:p>
    <w:p w:rsidR="00663BE4" w:rsidRDefault="00663BE4" w:rsidP="00DE007E">
      <w:pPr>
        <w:spacing w:after="0" w:line="240" w:lineRule="auto"/>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MAGISTRADO MANUEL VELASCO ALCANTARA</w:t>
      </w: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663BE4" w:rsidRDefault="00663BE4"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DE007E" w:rsidRDefault="00DE007E" w:rsidP="00AF32D8">
      <w:pPr>
        <w:spacing w:after="0" w:line="240" w:lineRule="auto"/>
        <w:jc w:val="center"/>
        <w:rPr>
          <w:rFonts w:ascii="Arial" w:eastAsia="Calibri" w:hAnsi="Arial" w:cs="Arial"/>
          <w:sz w:val="26"/>
          <w:szCs w:val="26"/>
        </w:rPr>
      </w:pPr>
    </w:p>
    <w:p w:rsidR="00AF32D8" w:rsidRDefault="00AF32D8" w:rsidP="00AF32D8">
      <w:pPr>
        <w:spacing w:after="0" w:line="240" w:lineRule="auto"/>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F32D8" w:rsidRDefault="00AF32D8" w:rsidP="00AF32D8">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p w:rsidR="00AF32D8" w:rsidRDefault="00AF32D8" w:rsidP="00AF32D8">
      <w:pPr>
        <w:spacing w:line="360" w:lineRule="auto"/>
        <w:ind w:firstLine="708"/>
        <w:jc w:val="both"/>
        <w:rPr>
          <w:sz w:val="26"/>
          <w:szCs w:val="26"/>
        </w:rPr>
      </w:pPr>
    </w:p>
    <w:p w:rsidR="0023434D" w:rsidRPr="00AF32D8" w:rsidRDefault="0023434D" w:rsidP="00AF32D8"/>
    <w:sectPr w:rsidR="0023434D" w:rsidRPr="00AF32D8" w:rsidSect="002932AE">
      <w:headerReference w:type="even" r:id="rId8"/>
      <w:headerReference w:type="default" r:id="rId9"/>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6AD" w:rsidRDefault="007B56AD">
      <w:pPr>
        <w:spacing w:after="0" w:line="240" w:lineRule="auto"/>
      </w:pPr>
      <w:r>
        <w:separator/>
      </w:r>
    </w:p>
  </w:endnote>
  <w:endnote w:type="continuationSeparator" w:id="0">
    <w:p w:rsidR="007B56AD" w:rsidRDefault="007B5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6AD" w:rsidRDefault="007B56AD">
      <w:pPr>
        <w:spacing w:after="0" w:line="240" w:lineRule="auto"/>
      </w:pPr>
      <w:r>
        <w:separator/>
      </w:r>
    </w:p>
  </w:footnote>
  <w:footnote w:type="continuationSeparator" w:id="0">
    <w:p w:rsidR="007B56AD" w:rsidRDefault="007B5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4678D0" w:rsidP="00D25099">
        <w:pPr>
          <w:pStyle w:val="Encabezado"/>
          <w:jc w:val="center"/>
        </w:pPr>
        <w:r>
          <w:rPr>
            <w:noProof/>
            <w:lang w:val="es-MX" w:eastAsia="es-MX"/>
          </w:rPr>
          <w:drawing>
            <wp:anchor distT="0" distB="0" distL="114300" distR="114300" simplePos="0" relativeHeight="251658240" behindDoc="0" locked="0" layoutInCell="1" allowOverlap="1" wp14:anchorId="2F5803E2" wp14:editId="5E99B58A">
              <wp:simplePos x="0" y="0"/>
              <wp:positionH relativeFrom="column">
                <wp:posOffset>5585460</wp:posOffset>
              </wp:positionH>
              <wp:positionV relativeFrom="paragraph">
                <wp:posOffset>5664835</wp:posOffset>
              </wp:positionV>
              <wp:extent cx="923925" cy="885825"/>
              <wp:effectExtent l="0" t="0" r="9525" b="9525"/>
              <wp:wrapNone/>
              <wp:docPr id="4" name="Imagen 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r w:rsidR="00E61AB6">
          <w:fldChar w:fldCharType="begin"/>
        </w:r>
        <w:r w:rsidR="00E61AB6">
          <w:instrText>PAGE   \* MERGEFORMAT</w:instrText>
        </w:r>
        <w:r w:rsidR="00E61AB6">
          <w:fldChar w:fldCharType="separate"/>
        </w:r>
        <w:r w:rsidR="00AB21F1">
          <w:rPr>
            <w:noProof/>
          </w:rPr>
          <w:t>6</w:t>
        </w:r>
        <w:r w:rsidR="00E61AB6">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AB21F1">
          <w:rPr>
            <w:noProof/>
          </w:rPr>
          <w:t>5</w:t>
        </w:r>
        <w:r>
          <w:rPr>
            <w:noProof/>
          </w:rPr>
          <w:fldChar w:fldCharType="end"/>
        </w:r>
      </w:p>
      <w:p w:rsidR="00E61AB6" w:rsidRDefault="00AB21F1" w:rsidP="008C74CA">
        <w:pPr>
          <w:pStyle w:val="Encabezado"/>
          <w:jc w:val="center"/>
        </w:pPr>
      </w:p>
    </w:sdtContent>
  </w:sdt>
  <w:p w:rsidR="00E61AB6" w:rsidRDefault="00E61AB6" w:rsidP="00256B01">
    <w:pPr>
      <w:pStyle w:val="Encabezado"/>
      <w:jc w:val="center"/>
    </w:pPr>
  </w:p>
  <w:p w:rsidR="00E61AB6" w:rsidRDefault="004678D0"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-1362075</wp:posOffset>
          </wp:positionH>
          <wp:positionV relativeFrom="paragraph">
            <wp:posOffset>4872355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4C133104"/>
    <w:multiLevelType w:val="hybridMultilevel"/>
    <w:tmpl w:val="18B64F16"/>
    <w:lvl w:ilvl="0" w:tplc="650C120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72DA6740"/>
    <w:multiLevelType w:val="hybridMultilevel"/>
    <w:tmpl w:val="52C48AB0"/>
    <w:lvl w:ilvl="0" w:tplc="F3164C16">
      <w:start w:val="1"/>
      <w:numFmt w:val="decimal"/>
      <w:lvlText w:val="%1."/>
      <w:lvlJc w:val="left"/>
      <w:pPr>
        <w:ind w:left="92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
  </w:num>
  <w:num w:numId="7">
    <w:abstractNumId w:val="2"/>
  </w:num>
  <w:num w:numId="8">
    <w:abstractNumId w:val="7"/>
  </w:num>
  <w:num w:numId="9">
    <w:abstractNumId w:val="4"/>
  </w:num>
  <w:num w:numId="10">
    <w:abstractNumId w:val="5"/>
  </w:num>
  <w:num w:numId="11">
    <w:abstractNumId w:val="6"/>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2369"/>
    <w:rsid w:val="00012B25"/>
    <w:rsid w:val="0001664B"/>
    <w:rsid w:val="000169A3"/>
    <w:rsid w:val="00017C09"/>
    <w:rsid w:val="00021DF1"/>
    <w:rsid w:val="0002236D"/>
    <w:rsid w:val="00026C11"/>
    <w:rsid w:val="000330FB"/>
    <w:rsid w:val="0003331C"/>
    <w:rsid w:val="00035047"/>
    <w:rsid w:val="00035379"/>
    <w:rsid w:val="00036D01"/>
    <w:rsid w:val="000410A1"/>
    <w:rsid w:val="00041D15"/>
    <w:rsid w:val="00042914"/>
    <w:rsid w:val="00042B31"/>
    <w:rsid w:val="0004575F"/>
    <w:rsid w:val="00045A11"/>
    <w:rsid w:val="00050B7F"/>
    <w:rsid w:val="00050C5A"/>
    <w:rsid w:val="00053617"/>
    <w:rsid w:val="00053C13"/>
    <w:rsid w:val="00055CE8"/>
    <w:rsid w:val="0005701D"/>
    <w:rsid w:val="00057174"/>
    <w:rsid w:val="00057817"/>
    <w:rsid w:val="000612E4"/>
    <w:rsid w:val="000616B5"/>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96C2D"/>
    <w:rsid w:val="000A1494"/>
    <w:rsid w:val="000A4E40"/>
    <w:rsid w:val="000A6360"/>
    <w:rsid w:val="000A6EC7"/>
    <w:rsid w:val="000A7BA9"/>
    <w:rsid w:val="000B020E"/>
    <w:rsid w:val="000B0E70"/>
    <w:rsid w:val="000B1A06"/>
    <w:rsid w:val="000B3B3B"/>
    <w:rsid w:val="000B3F2E"/>
    <w:rsid w:val="000B4122"/>
    <w:rsid w:val="000C0E02"/>
    <w:rsid w:val="000C1F7C"/>
    <w:rsid w:val="000C313C"/>
    <w:rsid w:val="000C3DBF"/>
    <w:rsid w:val="000D0E1D"/>
    <w:rsid w:val="000D1BD0"/>
    <w:rsid w:val="000D29A1"/>
    <w:rsid w:val="000D2FDE"/>
    <w:rsid w:val="000E0D51"/>
    <w:rsid w:val="000E12D3"/>
    <w:rsid w:val="000E218B"/>
    <w:rsid w:val="000E2E24"/>
    <w:rsid w:val="000E322A"/>
    <w:rsid w:val="000E4110"/>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3A30"/>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099A"/>
    <w:rsid w:val="00171831"/>
    <w:rsid w:val="00172205"/>
    <w:rsid w:val="00172B29"/>
    <w:rsid w:val="001761CB"/>
    <w:rsid w:val="00180F55"/>
    <w:rsid w:val="001827CF"/>
    <w:rsid w:val="001843E8"/>
    <w:rsid w:val="00184B23"/>
    <w:rsid w:val="00185C83"/>
    <w:rsid w:val="00190DE9"/>
    <w:rsid w:val="001914B9"/>
    <w:rsid w:val="00191A27"/>
    <w:rsid w:val="00192287"/>
    <w:rsid w:val="00192D2F"/>
    <w:rsid w:val="00194A88"/>
    <w:rsid w:val="00194C5C"/>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973"/>
    <w:rsid w:val="001D0A5A"/>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08C3"/>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32AE"/>
    <w:rsid w:val="0029542B"/>
    <w:rsid w:val="00296748"/>
    <w:rsid w:val="002A0B1C"/>
    <w:rsid w:val="002A28E5"/>
    <w:rsid w:val="002A2985"/>
    <w:rsid w:val="002A4088"/>
    <w:rsid w:val="002A411F"/>
    <w:rsid w:val="002A5510"/>
    <w:rsid w:val="002A6940"/>
    <w:rsid w:val="002A6EF0"/>
    <w:rsid w:val="002A72DF"/>
    <w:rsid w:val="002B2AF4"/>
    <w:rsid w:val="002B3CD7"/>
    <w:rsid w:val="002B44AC"/>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07E"/>
    <w:rsid w:val="002F69D0"/>
    <w:rsid w:val="002F7173"/>
    <w:rsid w:val="002F7484"/>
    <w:rsid w:val="0030144E"/>
    <w:rsid w:val="00301A26"/>
    <w:rsid w:val="00302511"/>
    <w:rsid w:val="00302C57"/>
    <w:rsid w:val="00303020"/>
    <w:rsid w:val="003032E2"/>
    <w:rsid w:val="00304999"/>
    <w:rsid w:val="0030731D"/>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77FE1"/>
    <w:rsid w:val="00380BAC"/>
    <w:rsid w:val="003818BD"/>
    <w:rsid w:val="00381DC3"/>
    <w:rsid w:val="00382FD0"/>
    <w:rsid w:val="003873E7"/>
    <w:rsid w:val="00387C97"/>
    <w:rsid w:val="00395802"/>
    <w:rsid w:val="003965ED"/>
    <w:rsid w:val="003A0ACC"/>
    <w:rsid w:val="003A1F55"/>
    <w:rsid w:val="003A3A38"/>
    <w:rsid w:val="003B1512"/>
    <w:rsid w:val="003B20F0"/>
    <w:rsid w:val="003B2E9F"/>
    <w:rsid w:val="003B2FF4"/>
    <w:rsid w:val="003B373B"/>
    <w:rsid w:val="003B4BAF"/>
    <w:rsid w:val="003B68EA"/>
    <w:rsid w:val="003B6C7E"/>
    <w:rsid w:val="003B7C7A"/>
    <w:rsid w:val="003C0AC1"/>
    <w:rsid w:val="003C21BA"/>
    <w:rsid w:val="003C3C72"/>
    <w:rsid w:val="003C4A93"/>
    <w:rsid w:val="003C63BE"/>
    <w:rsid w:val="003D1C8C"/>
    <w:rsid w:val="003D1EF2"/>
    <w:rsid w:val="003D5E2A"/>
    <w:rsid w:val="003D707F"/>
    <w:rsid w:val="003D7F85"/>
    <w:rsid w:val="003E0B3C"/>
    <w:rsid w:val="003E0F2A"/>
    <w:rsid w:val="003E14E9"/>
    <w:rsid w:val="003E15CF"/>
    <w:rsid w:val="003E2B2E"/>
    <w:rsid w:val="003E2C06"/>
    <w:rsid w:val="003E4484"/>
    <w:rsid w:val="003E52CC"/>
    <w:rsid w:val="003E5B1E"/>
    <w:rsid w:val="003E5FDE"/>
    <w:rsid w:val="003E7801"/>
    <w:rsid w:val="003E7C2E"/>
    <w:rsid w:val="003E7C91"/>
    <w:rsid w:val="003F0345"/>
    <w:rsid w:val="003F09E7"/>
    <w:rsid w:val="003F47AD"/>
    <w:rsid w:val="003F5E8A"/>
    <w:rsid w:val="003F7035"/>
    <w:rsid w:val="00400164"/>
    <w:rsid w:val="0040457E"/>
    <w:rsid w:val="00404D0E"/>
    <w:rsid w:val="00407B2F"/>
    <w:rsid w:val="00411707"/>
    <w:rsid w:val="00412972"/>
    <w:rsid w:val="0041349D"/>
    <w:rsid w:val="004138D3"/>
    <w:rsid w:val="0041760B"/>
    <w:rsid w:val="004179B2"/>
    <w:rsid w:val="00423A9D"/>
    <w:rsid w:val="00424229"/>
    <w:rsid w:val="00427081"/>
    <w:rsid w:val="00433FAD"/>
    <w:rsid w:val="004407BC"/>
    <w:rsid w:val="00441D6B"/>
    <w:rsid w:val="004426E6"/>
    <w:rsid w:val="00444733"/>
    <w:rsid w:val="00447E3A"/>
    <w:rsid w:val="004503A6"/>
    <w:rsid w:val="00454494"/>
    <w:rsid w:val="004547D3"/>
    <w:rsid w:val="004567C7"/>
    <w:rsid w:val="00457CC7"/>
    <w:rsid w:val="004628A3"/>
    <w:rsid w:val="004633DC"/>
    <w:rsid w:val="004678D0"/>
    <w:rsid w:val="004715AF"/>
    <w:rsid w:val="00472E19"/>
    <w:rsid w:val="00474E30"/>
    <w:rsid w:val="0047763B"/>
    <w:rsid w:val="00485388"/>
    <w:rsid w:val="004870D8"/>
    <w:rsid w:val="00491DA5"/>
    <w:rsid w:val="004961AD"/>
    <w:rsid w:val="00496E71"/>
    <w:rsid w:val="00497E3B"/>
    <w:rsid w:val="004A2326"/>
    <w:rsid w:val="004A319F"/>
    <w:rsid w:val="004A4ECC"/>
    <w:rsid w:val="004A54A3"/>
    <w:rsid w:val="004A6399"/>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8F2"/>
    <w:rsid w:val="00510956"/>
    <w:rsid w:val="00510AE6"/>
    <w:rsid w:val="00510C9F"/>
    <w:rsid w:val="005115C3"/>
    <w:rsid w:val="00512FF2"/>
    <w:rsid w:val="0051428C"/>
    <w:rsid w:val="00515E05"/>
    <w:rsid w:val="00516F56"/>
    <w:rsid w:val="00517C59"/>
    <w:rsid w:val="00520000"/>
    <w:rsid w:val="0052075A"/>
    <w:rsid w:val="00526DC4"/>
    <w:rsid w:val="00527DCF"/>
    <w:rsid w:val="005300DF"/>
    <w:rsid w:val="00531A5A"/>
    <w:rsid w:val="00531A6D"/>
    <w:rsid w:val="00531B0F"/>
    <w:rsid w:val="00531B2A"/>
    <w:rsid w:val="00531DE3"/>
    <w:rsid w:val="00533C34"/>
    <w:rsid w:val="0053422E"/>
    <w:rsid w:val="00534C95"/>
    <w:rsid w:val="0053715D"/>
    <w:rsid w:val="005410B3"/>
    <w:rsid w:val="00541ACF"/>
    <w:rsid w:val="00541B18"/>
    <w:rsid w:val="00542671"/>
    <w:rsid w:val="005443FC"/>
    <w:rsid w:val="00544A76"/>
    <w:rsid w:val="00545D35"/>
    <w:rsid w:val="005478F9"/>
    <w:rsid w:val="0055061B"/>
    <w:rsid w:val="00551263"/>
    <w:rsid w:val="00551897"/>
    <w:rsid w:val="00553578"/>
    <w:rsid w:val="00557727"/>
    <w:rsid w:val="005609AA"/>
    <w:rsid w:val="00563B9C"/>
    <w:rsid w:val="00565465"/>
    <w:rsid w:val="00567E8E"/>
    <w:rsid w:val="0057052D"/>
    <w:rsid w:val="005707BD"/>
    <w:rsid w:val="00571B02"/>
    <w:rsid w:val="005720EB"/>
    <w:rsid w:val="005758AC"/>
    <w:rsid w:val="005770F4"/>
    <w:rsid w:val="005776B9"/>
    <w:rsid w:val="00580F64"/>
    <w:rsid w:val="005817AB"/>
    <w:rsid w:val="005864C3"/>
    <w:rsid w:val="005903F7"/>
    <w:rsid w:val="005913ED"/>
    <w:rsid w:val="00593333"/>
    <w:rsid w:val="00594670"/>
    <w:rsid w:val="00595186"/>
    <w:rsid w:val="00597C5A"/>
    <w:rsid w:val="005A0A32"/>
    <w:rsid w:val="005A0D5F"/>
    <w:rsid w:val="005A1C28"/>
    <w:rsid w:val="005A3800"/>
    <w:rsid w:val="005A415D"/>
    <w:rsid w:val="005A493F"/>
    <w:rsid w:val="005B13A7"/>
    <w:rsid w:val="005B2365"/>
    <w:rsid w:val="005B3428"/>
    <w:rsid w:val="005B74A1"/>
    <w:rsid w:val="005C0B46"/>
    <w:rsid w:val="005C2C8E"/>
    <w:rsid w:val="005C32A7"/>
    <w:rsid w:val="005C3AA7"/>
    <w:rsid w:val="005C414F"/>
    <w:rsid w:val="005C770C"/>
    <w:rsid w:val="005C7C2F"/>
    <w:rsid w:val="005D1684"/>
    <w:rsid w:val="005D1BD9"/>
    <w:rsid w:val="005D2BE8"/>
    <w:rsid w:val="005D3F0B"/>
    <w:rsid w:val="005D411C"/>
    <w:rsid w:val="005D4300"/>
    <w:rsid w:val="005D46E5"/>
    <w:rsid w:val="005D536A"/>
    <w:rsid w:val="005D62CD"/>
    <w:rsid w:val="005D65FC"/>
    <w:rsid w:val="005D74CC"/>
    <w:rsid w:val="005D751A"/>
    <w:rsid w:val="005D786E"/>
    <w:rsid w:val="005E025B"/>
    <w:rsid w:val="005E18B0"/>
    <w:rsid w:val="005E1B22"/>
    <w:rsid w:val="005E245F"/>
    <w:rsid w:val="005E31AD"/>
    <w:rsid w:val="005E3275"/>
    <w:rsid w:val="005E40A8"/>
    <w:rsid w:val="005E5273"/>
    <w:rsid w:val="005E76E1"/>
    <w:rsid w:val="005F0B76"/>
    <w:rsid w:val="005F1575"/>
    <w:rsid w:val="005F35AE"/>
    <w:rsid w:val="006012BD"/>
    <w:rsid w:val="00602086"/>
    <w:rsid w:val="006030E1"/>
    <w:rsid w:val="006031E8"/>
    <w:rsid w:val="0060326D"/>
    <w:rsid w:val="0060423E"/>
    <w:rsid w:val="00605D2B"/>
    <w:rsid w:val="006062DA"/>
    <w:rsid w:val="00607309"/>
    <w:rsid w:val="00607F3D"/>
    <w:rsid w:val="006105BC"/>
    <w:rsid w:val="006108C8"/>
    <w:rsid w:val="00610C46"/>
    <w:rsid w:val="00611349"/>
    <w:rsid w:val="00611746"/>
    <w:rsid w:val="00611DD6"/>
    <w:rsid w:val="006150FB"/>
    <w:rsid w:val="00616F53"/>
    <w:rsid w:val="00620173"/>
    <w:rsid w:val="00621035"/>
    <w:rsid w:val="00621070"/>
    <w:rsid w:val="00630C62"/>
    <w:rsid w:val="00633FA0"/>
    <w:rsid w:val="00634208"/>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3BE4"/>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603"/>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C3773"/>
    <w:rsid w:val="006D1203"/>
    <w:rsid w:val="006D4142"/>
    <w:rsid w:val="006D42FF"/>
    <w:rsid w:val="006D4B71"/>
    <w:rsid w:val="006D7AAA"/>
    <w:rsid w:val="006E04EF"/>
    <w:rsid w:val="006E19FC"/>
    <w:rsid w:val="006E1B16"/>
    <w:rsid w:val="006E22F2"/>
    <w:rsid w:val="006E27BA"/>
    <w:rsid w:val="006E43D3"/>
    <w:rsid w:val="006E44A9"/>
    <w:rsid w:val="006E6519"/>
    <w:rsid w:val="006F0897"/>
    <w:rsid w:val="006F0D29"/>
    <w:rsid w:val="006F2412"/>
    <w:rsid w:val="006F253C"/>
    <w:rsid w:val="006F3363"/>
    <w:rsid w:val="006F53BB"/>
    <w:rsid w:val="006F5760"/>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01E3"/>
    <w:rsid w:val="00752052"/>
    <w:rsid w:val="00752B02"/>
    <w:rsid w:val="00753CA1"/>
    <w:rsid w:val="00755251"/>
    <w:rsid w:val="007568F4"/>
    <w:rsid w:val="007569A2"/>
    <w:rsid w:val="0075724E"/>
    <w:rsid w:val="007633A0"/>
    <w:rsid w:val="0076494C"/>
    <w:rsid w:val="00766389"/>
    <w:rsid w:val="0077356E"/>
    <w:rsid w:val="007737E8"/>
    <w:rsid w:val="00773DC9"/>
    <w:rsid w:val="007758EE"/>
    <w:rsid w:val="00776E5E"/>
    <w:rsid w:val="0077739D"/>
    <w:rsid w:val="007806D4"/>
    <w:rsid w:val="0078132A"/>
    <w:rsid w:val="00782019"/>
    <w:rsid w:val="0078202A"/>
    <w:rsid w:val="00785325"/>
    <w:rsid w:val="00787152"/>
    <w:rsid w:val="00790A33"/>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56AD"/>
    <w:rsid w:val="007B6958"/>
    <w:rsid w:val="007C078E"/>
    <w:rsid w:val="007C4D7C"/>
    <w:rsid w:val="007C4FC7"/>
    <w:rsid w:val="007C5134"/>
    <w:rsid w:val="007C6CD3"/>
    <w:rsid w:val="007C7870"/>
    <w:rsid w:val="007C7943"/>
    <w:rsid w:val="007C7AD1"/>
    <w:rsid w:val="007D2543"/>
    <w:rsid w:val="007D4645"/>
    <w:rsid w:val="007D4E0F"/>
    <w:rsid w:val="007D55DA"/>
    <w:rsid w:val="007D6D8D"/>
    <w:rsid w:val="007D7972"/>
    <w:rsid w:val="007E1BC3"/>
    <w:rsid w:val="007E32FC"/>
    <w:rsid w:val="007E37BF"/>
    <w:rsid w:val="007E503E"/>
    <w:rsid w:val="007E52F1"/>
    <w:rsid w:val="007E6F05"/>
    <w:rsid w:val="007E7DD4"/>
    <w:rsid w:val="007F125D"/>
    <w:rsid w:val="007F1451"/>
    <w:rsid w:val="007F3488"/>
    <w:rsid w:val="007F4057"/>
    <w:rsid w:val="007F43B4"/>
    <w:rsid w:val="007F4ED0"/>
    <w:rsid w:val="007F566C"/>
    <w:rsid w:val="007F5AE4"/>
    <w:rsid w:val="007F64F9"/>
    <w:rsid w:val="007F7B65"/>
    <w:rsid w:val="007F7F91"/>
    <w:rsid w:val="0080043A"/>
    <w:rsid w:val="00801F35"/>
    <w:rsid w:val="0080399F"/>
    <w:rsid w:val="00805C67"/>
    <w:rsid w:val="00807736"/>
    <w:rsid w:val="00807D70"/>
    <w:rsid w:val="00815878"/>
    <w:rsid w:val="0082010D"/>
    <w:rsid w:val="00821C04"/>
    <w:rsid w:val="00823AD6"/>
    <w:rsid w:val="0083002A"/>
    <w:rsid w:val="00830884"/>
    <w:rsid w:val="00831537"/>
    <w:rsid w:val="00831A3F"/>
    <w:rsid w:val="00832757"/>
    <w:rsid w:val="00832BFA"/>
    <w:rsid w:val="00832FE5"/>
    <w:rsid w:val="0083489B"/>
    <w:rsid w:val="0084114B"/>
    <w:rsid w:val="00841573"/>
    <w:rsid w:val="00841CA9"/>
    <w:rsid w:val="00842ED4"/>
    <w:rsid w:val="00845EA4"/>
    <w:rsid w:val="00847A1D"/>
    <w:rsid w:val="00847F39"/>
    <w:rsid w:val="008550F0"/>
    <w:rsid w:val="00855650"/>
    <w:rsid w:val="00855B19"/>
    <w:rsid w:val="008561AA"/>
    <w:rsid w:val="008572F6"/>
    <w:rsid w:val="00857BD3"/>
    <w:rsid w:val="00860037"/>
    <w:rsid w:val="00860FEF"/>
    <w:rsid w:val="008618D9"/>
    <w:rsid w:val="0086361E"/>
    <w:rsid w:val="008649E5"/>
    <w:rsid w:val="00864F72"/>
    <w:rsid w:val="00866679"/>
    <w:rsid w:val="0086740D"/>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542F"/>
    <w:rsid w:val="00897C9D"/>
    <w:rsid w:val="008A20F1"/>
    <w:rsid w:val="008A2A09"/>
    <w:rsid w:val="008A47B2"/>
    <w:rsid w:val="008A5670"/>
    <w:rsid w:val="008A6B4E"/>
    <w:rsid w:val="008B02EC"/>
    <w:rsid w:val="008B073B"/>
    <w:rsid w:val="008B1D4F"/>
    <w:rsid w:val="008B2E64"/>
    <w:rsid w:val="008B2FDE"/>
    <w:rsid w:val="008B4B2E"/>
    <w:rsid w:val="008B4EBC"/>
    <w:rsid w:val="008B5E35"/>
    <w:rsid w:val="008C297E"/>
    <w:rsid w:val="008C380D"/>
    <w:rsid w:val="008C508D"/>
    <w:rsid w:val="008C74CA"/>
    <w:rsid w:val="008D04B8"/>
    <w:rsid w:val="008D1236"/>
    <w:rsid w:val="008D38EC"/>
    <w:rsid w:val="008E1E39"/>
    <w:rsid w:val="008E215F"/>
    <w:rsid w:val="008E4231"/>
    <w:rsid w:val="008E586E"/>
    <w:rsid w:val="008E5A8E"/>
    <w:rsid w:val="008E5DC8"/>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4D6B"/>
    <w:rsid w:val="009159DA"/>
    <w:rsid w:val="00920D15"/>
    <w:rsid w:val="009210A6"/>
    <w:rsid w:val="009233B3"/>
    <w:rsid w:val="00926FCD"/>
    <w:rsid w:val="00926FD4"/>
    <w:rsid w:val="00927607"/>
    <w:rsid w:val="00931E3D"/>
    <w:rsid w:val="0094005B"/>
    <w:rsid w:val="00943709"/>
    <w:rsid w:val="00943B62"/>
    <w:rsid w:val="009443A6"/>
    <w:rsid w:val="00945C2C"/>
    <w:rsid w:val="0094607A"/>
    <w:rsid w:val="00947785"/>
    <w:rsid w:val="00956CD1"/>
    <w:rsid w:val="009622E2"/>
    <w:rsid w:val="009623FA"/>
    <w:rsid w:val="00963968"/>
    <w:rsid w:val="00964969"/>
    <w:rsid w:val="00964A87"/>
    <w:rsid w:val="00964BF0"/>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D1ED8"/>
    <w:rsid w:val="009D4A0A"/>
    <w:rsid w:val="009D6659"/>
    <w:rsid w:val="009D6AA4"/>
    <w:rsid w:val="009D7058"/>
    <w:rsid w:val="009E0336"/>
    <w:rsid w:val="009E10EC"/>
    <w:rsid w:val="009E3A9A"/>
    <w:rsid w:val="009E5841"/>
    <w:rsid w:val="009E7213"/>
    <w:rsid w:val="009E7F4B"/>
    <w:rsid w:val="009F50FA"/>
    <w:rsid w:val="00A00741"/>
    <w:rsid w:val="00A022D9"/>
    <w:rsid w:val="00A033BB"/>
    <w:rsid w:val="00A0357E"/>
    <w:rsid w:val="00A045F4"/>
    <w:rsid w:val="00A05B4F"/>
    <w:rsid w:val="00A10387"/>
    <w:rsid w:val="00A14761"/>
    <w:rsid w:val="00A21B13"/>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096F"/>
    <w:rsid w:val="00A51216"/>
    <w:rsid w:val="00A5314A"/>
    <w:rsid w:val="00A55BA3"/>
    <w:rsid w:val="00A57F60"/>
    <w:rsid w:val="00A61A6E"/>
    <w:rsid w:val="00A65B8D"/>
    <w:rsid w:val="00A67424"/>
    <w:rsid w:val="00A703CE"/>
    <w:rsid w:val="00A7188F"/>
    <w:rsid w:val="00A7216C"/>
    <w:rsid w:val="00A75E55"/>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97B3E"/>
    <w:rsid w:val="00AA0100"/>
    <w:rsid w:val="00AA0A4A"/>
    <w:rsid w:val="00AA27AB"/>
    <w:rsid w:val="00AA29E9"/>
    <w:rsid w:val="00AA38C5"/>
    <w:rsid w:val="00AA3C93"/>
    <w:rsid w:val="00AA3DF2"/>
    <w:rsid w:val="00AA512C"/>
    <w:rsid w:val="00AB00F1"/>
    <w:rsid w:val="00AB0764"/>
    <w:rsid w:val="00AB10A6"/>
    <w:rsid w:val="00AB19C6"/>
    <w:rsid w:val="00AB1E7B"/>
    <w:rsid w:val="00AB213D"/>
    <w:rsid w:val="00AB21F1"/>
    <w:rsid w:val="00AB4741"/>
    <w:rsid w:val="00AB559F"/>
    <w:rsid w:val="00AB628D"/>
    <w:rsid w:val="00AB641E"/>
    <w:rsid w:val="00AC1530"/>
    <w:rsid w:val="00AC1D64"/>
    <w:rsid w:val="00AC2BA3"/>
    <w:rsid w:val="00AC50FD"/>
    <w:rsid w:val="00AD1E25"/>
    <w:rsid w:val="00AD38ED"/>
    <w:rsid w:val="00AD4282"/>
    <w:rsid w:val="00AD77FD"/>
    <w:rsid w:val="00AE1A7A"/>
    <w:rsid w:val="00AE4894"/>
    <w:rsid w:val="00AE5AC8"/>
    <w:rsid w:val="00AE6C12"/>
    <w:rsid w:val="00AE7181"/>
    <w:rsid w:val="00AF32D8"/>
    <w:rsid w:val="00AF6174"/>
    <w:rsid w:val="00AF6B54"/>
    <w:rsid w:val="00AF6F6A"/>
    <w:rsid w:val="00B049EC"/>
    <w:rsid w:val="00B04DD6"/>
    <w:rsid w:val="00B078A6"/>
    <w:rsid w:val="00B10264"/>
    <w:rsid w:val="00B10FF6"/>
    <w:rsid w:val="00B1212B"/>
    <w:rsid w:val="00B14213"/>
    <w:rsid w:val="00B15800"/>
    <w:rsid w:val="00B173E2"/>
    <w:rsid w:val="00B177F2"/>
    <w:rsid w:val="00B216FE"/>
    <w:rsid w:val="00B244A4"/>
    <w:rsid w:val="00B26CCB"/>
    <w:rsid w:val="00B31114"/>
    <w:rsid w:val="00B31B5C"/>
    <w:rsid w:val="00B34D98"/>
    <w:rsid w:val="00B35503"/>
    <w:rsid w:val="00B37C1A"/>
    <w:rsid w:val="00B37E5F"/>
    <w:rsid w:val="00B408F8"/>
    <w:rsid w:val="00B45AA5"/>
    <w:rsid w:val="00B461BE"/>
    <w:rsid w:val="00B466DA"/>
    <w:rsid w:val="00B5088E"/>
    <w:rsid w:val="00B517B3"/>
    <w:rsid w:val="00B51D39"/>
    <w:rsid w:val="00B53176"/>
    <w:rsid w:val="00B55C20"/>
    <w:rsid w:val="00B55F21"/>
    <w:rsid w:val="00B606D6"/>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9CD"/>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C00D17"/>
    <w:rsid w:val="00C02A64"/>
    <w:rsid w:val="00C06278"/>
    <w:rsid w:val="00C06502"/>
    <w:rsid w:val="00C06661"/>
    <w:rsid w:val="00C077BB"/>
    <w:rsid w:val="00C11344"/>
    <w:rsid w:val="00C12055"/>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3ADF"/>
    <w:rsid w:val="00C446B2"/>
    <w:rsid w:val="00C45315"/>
    <w:rsid w:val="00C46DE0"/>
    <w:rsid w:val="00C52510"/>
    <w:rsid w:val="00C52BDC"/>
    <w:rsid w:val="00C539E3"/>
    <w:rsid w:val="00C55168"/>
    <w:rsid w:val="00C56885"/>
    <w:rsid w:val="00C57680"/>
    <w:rsid w:val="00C57997"/>
    <w:rsid w:val="00C57C9F"/>
    <w:rsid w:val="00C57DE8"/>
    <w:rsid w:val="00C607C9"/>
    <w:rsid w:val="00C6230B"/>
    <w:rsid w:val="00C625C8"/>
    <w:rsid w:val="00C669B9"/>
    <w:rsid w:val="00C70AD4"/>
    <w:rsid w:val="00C70DE3"/>
    <w:rsid w:val="00C72D55"/>
    <w:rsid w:val="00C732C5"/>
    <w:rsid w:val="00C734EC"/>
    <w:rsid w:val="00C747C2"/>
    <w:rsid w:val="00C80261"/>
    <w:rsid w:val="00C80FE1"/>
    <w:rsid w:val="00C811FA"/>
    <w:rsid w:val="00C8246A"/>
    <w:rsid w:val="00C830CA"/>
    <w:rsid w:val="00C83120"/>
    <w:rsid w:val="00C836D2"/>
    <w:rsid w:val="00C8387E"/>
    <w:rsid w:val="00C83BAB"/>
    <w:rsid w:val="00C84197"/>
    <w:rsid w:val="00C84663"/>
    <w:rsid w:val="00C904A0"/>
    <w:rsid w:val="00C9115E"/>
    <w:rsid w:val="00C9167C"/>
    <w:rsid w:val="00C926A1"/>
    <w:rsid w:val="00C9405A"/>
    <w:rsid w:val="00C94AA0"/>
    <w:rsid w:val="00C94C27"/>
    <w:rsid w:val="00C95207"/>
    <w:rsid w:val="00C962CF"/>
    <w:rsid w:val="00CA1B76"/>
    <w:rsid w:val="00CA4468"/>
    <w:rsid w:val="00CA4E8C"/>
    <w:rsid w:val="00CA6573"/>
    <w:rsid w:val="00CA7887"/>
    <w:rsid w:val="00CB1B3A"/>
    <w:rsid w:val="00CB27A4"/>
    <w:rsid w:val="00CB2A82"/>
    <w:rsid w:val="00CB621B"/>
    <w:rsid w:val="00CB65EC"/>
    <w:rsid w:val="00CB6E8A"/>
    <w:rsid w:val="00CC1DB1"/>
    <w:rsid w:val="00CC7CEF"/>
    <w:rsid w:val="00CD0468"/>
    <w:rsid w:val="00CD1491"/>
    <w:rsid w:val="00CD5B46"/>
    <w:rsid w:val="00CD64C9"/>
    <w:rsid w:val="00CD64DE"/>
    <w:rsid w:val="00CD6EC0"/>
    <w:rsid w:val="00CE50AD"/>
    <w:rsid w:val="00CE5195"/>
    <w:rsid w:val="00CE51E4"/>
    <w:rsid w:val="00CF10FC"/>
    <w:rsid w:val="00CF1E45"/>
    <w:rsid w:val="00CF5631"/>
    <w:rsid w:val="00CF6971"/>
    <w:rsid w:val="00CF7993"/>
    <w:rsid w:val="00D00905"/>
    <w:rsid w:val="00D00AC1"/>
    <w:rsid w:val="00D014AF"/>
    <w:rsid w:val="00D03926"/>
    <w:rsid w:val="00D03B93"/>
    <w:rsid w:val="00D05425"/>
    <w:rsid w:val="00D1093F"/>
    <w:rsid w:val="00D10E5C"/>
    <w:rsid w:val="00D12214"/>
    <w:rsid w:val="00D12D3B"/>
    <w:rsid w:val="00D154BF"/>
    <w:rsid w:val="00D1598E"/>
    <w:rsid w:val="00D16225"/>
    <w:rsid w:val="00D16547"/>
    <w:rsid w:val="00D2010F"/>
    <w:rsid w:val="00D20368"/>
    <w:rsid w:val="00D22035"/>
    <w:rsid w:val="00D24260"/>
    <w:rsid w:val="00D2489A"/>
    <w:rsid w:val="00D24BE6"/>
    <w:rsid w:val="00D25099"/>
    <w:rsid w:val="00D25F12"/>
    <w:rsid w:val="00D309C0"/>
    <w:rsid w:val="00D33C66"/>
    <w:rsid w:val="00D34A5A"/>
    <w:rsid w:val="00D35A50"/>
    <w:rsid w:val="00D35BF1"/>
    <w:rsid w:val="00D3635F"/>
    <w:rsid w:val="00D378CF"/>
    <w:rsid w:val="00D37E6E"/>
    <w:rsid w:val="00D434D5"/>
    <w:rsid w:val="00D43BA6"/>
    <w:rsid w:val="00D44218"/>
    <w:rsid w:val="00D4494B"/>
    <w:rsid w:val="00D45843"/>
    <w:rsid w:val="00D50C63"/>
    <w:rsid w:val="00D5482F"/>
    <w:rsid w:val="00D566F5"/>
    <w:rsid w:val="00D56752"/>
    <w:rsid w:val="00D56F54"/>
    <w:rsid w:val="00D5720A"/>
    <w:rsid w:val="00D57960"/>
    <w:rsid w:val="00D617C8"/>
    <w:rsid w:val="00D62375"/>
    <w:rsid w:val="00D63A6F"/>
    <w:rsid w:val="00D70AB8"/>
    <w:rsid w:val="00D70D48"/>
    <w:rsid w:val="00D7104A"/>
    <w:rsid w:val="00D718E2"/>
    <w:rsid w:val="00D723E9"/>
    <w:rsid w:val="00D73B5B"/>
    <w:rsid w:val="00D73D39"/>
    <w:rsid w:val="00D74FDC"/>
    <w:rsid w:val="00D81285"/>
    <w:rsid w:val="00D81429"/>
    <w:rsid w:val="00D82506"/>
    <w:rsid w:val="00D871A9"/>
    <w:rsid w:val="00D9154A"/>
    <w:rsid w:val="00D91AF2"/>
    <w:rsid w:val="00D927CA"/>
    <w:rsid w:val="00D93271"/>
    <w:rsid w:val="00D942A7"/>
    <w:rsid w:val="00D96319"/>
    <w:rsid w:val="00DA0CA2"/>
    <w:rsid w:val="00DA158D"/>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07E"/>
    <w:rsid w:val="00DE06FD"/>
    <w:rsid w:val="00DE1EB5"/>
    <w:rsid w:val="00DE2129"/>
    <w:rsid w:val="00DE28BF"/>
    <w:rsid w:val="00DE44E9"/>
    <w:rsid w:val="00DE4A89"/>
    <w:rsid w:val="00DE5048"/>
    <w:rsid w:val="00DE6690"/>
    <w:rsid w:val="00DE7637"/>
    <w:rsid w:val="00DF09B8"/>
    <w:rsid w:val="00DF15EE"/>
    <w:rsid w:val="00DF2313"/>
    <w:rsid w:val="00DF53EA"/>
    <w:rsid w:val="00E006B6"/>
    <w:rsid w:val="00E013E9"/>
    <w:rsid w:val="00E02840"/>
    <w:rsid w:val="00E02932"/>
    <w:rsid w:val="00E0313D"/>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4392"/>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87733"/>
    <w:rsid w:val="00E90E54"/>
    <w:rsid w:val="00E91FF2"/>
    <w:rsid w:val="00E94929"/>
    <w:rsid w:val="00E94FF3"/>
    <w:rsid w:val="00E9514D"/>
    <w:rsid w:val="00EA0F7F"/>
    <w:rsid w:val="00EA2C19"/>
    <w:rsid w:val="00EA379C"/>
    <w:rsid w:val="00EA37E1"/>
    <w:rsid w:val="00EA3C9C"/>
    <w:rsid w:val="00EA4780"/>
    <w:rsid w:val="00EA4997"/>
    <w:rsid w:val="00EA4DC3"/>
    <w:rsid w:val="00EA4F63"/>
    <w:rsid w:val="00EA5167"/>
    <w:rsid w:val="00EA7123"/>
    <w:rsid w:val="00EB37B1"/>
    <w:rsid w:val="00EB4DFF"/>
    <w:rsid w:val="00EC2DA8"/>
    <w:rsid w:val="00EC45FC"/>
    <w:rsid w:val="00EC4A4E"/>
    <w:rsid w:val="00EC6A8E"/>
    <w:rsid w:val="00EC6BCB"/>
    <w:rsid w:val="00ED073E"/>
    <w:rsid w:val="00ED1D5C"/>
    <w:rsid w:val="00ED29CB"/>
    <w:rsid w:val="00ED2E55"/>
    <w:rsid w:val="00ED54D9"/>
    <w:rsid w:val="00ED5DDA"/>
    <w:rsid w:val="00ED7D48"/>
    <w:rsid w:val="00EE1352"/>
    <w:rsid w:val="00EE1F02"/>
    <w:rsid w:val="00EE3E2A"/>
    <w:rsid w:val="00EE46B7"/>
    <w:rsid w:val="00EE480B"/>
    <w:rsid w:val="00EE695C"/>
    <w:rsid w:val="00EF363A"/>
    <w:rsid w:val="00F0156D"/>
    <w:rsid w:val="00F02AED"/>
    <w:rsid w:val="00F02DE0"/>
    <w:rsid w:val="00F053FC"/>
    <w:rsid w:val="00F06CB3"/>
    <w:rsid w:val="00F079CC"/>
    <w:rsid w:val="00F07A83"/>
    <w:rsid w:val="00F07FC2"/>
    <w:rsid w:val="00F12336"/>
    <w:rsid w:val="00F123A4"/>
    <w:rsid w:val="00F13DD5"/>
    <w:rsid w:val="00F14813"/>
    <w:rsid w:val="00F1519C"/>
    <w:rsid w:val="00F16359"/>
    <w:rsid w:val="00F20C21"/>
    <w:rsid w:val="00F21698"/>
    <w:rsid w:val="00F24A07"/>
    <w:rsid w:val="00F2514D"/>
    <w:rsid w:val="00F277ED"/>
    <w:rsid w:val="00F27F68"/>
    <w:rsid w:val="00F321E1"/>
    <w:rsid w:val="00F3568E"/>
    <w:rsid w:val="00F35DBE"/>
    <w:rsid w:val="00F36D77"/>
    <w:rsid w:val="00F370E1"/>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62D24"/>
    <w:rsid w:val="00F6398A"/>
    <w:rsid w:val="00F654C4"/>
    <w:rsid w:val="00F668B1"/>
    <w:rsid w:val="00F72E7B"/>
    <w:rsid w:val="00F7450D"/>
    <w:rsid w:val="00F762D5"/>
    <w:rsid w:val="00F76381"/>
    <w:rsid w:val="00F7668F"/>
    <w:rsid w:val="00F81765"/>
    <w:rsid w:val="00F82312"/>
    <w:rsid w:val="00F83C99"/>
    <w:rsid w:val="00F841EA"/>
    <w:rsid w:val="00F8426B"/>
    <w:rsid w:val="00F8623A"/>
    <w:rsid w:val="00F8652F"/>
    <w:rsid w:val="00F90B7E"/>
    <w:rsid w:val="00F90CCF"/>
    <w:rsid w:val="00F92334"/>
    <w:rsid w:val="00F9295A"/>
    <w:rsid w:val="00F972BF"/>
    <w:rsid w:val="00FA0211"/>
    <w:rsid w:val="00FA03C8"/>
    <w:rsid w:val="00FA0F1F"/>
    <w:rsid w:val="00FA17DB"/>
    <w:rsid w:val="00FA26F7"/>
    <w:rsid w:val="00FA3C84"/>
    <w:rsid w:val="00FA4E53"/>
    <w:rsid w:val="00FA5C27"/>
    <w:rsid w:val="00FB0E2A"/>
    <w:rsid w:val="00FB1E09"/>
    <w:rsid w:val="00FB4039"/>
    <w:rsid w:val="00FB409B"/>
    <w:rsid w:val="00FB4892"/>
    <w:rsid w:val="00FB6C65"/>
    <w:rsid w:val="00FB6DF3"/>
    <w:rsid w:val="00FC0ED3"/>
    <w:rsid w:val="00FC1289"/>
    <w:rsid w:val="00FC15D5"/>
    <w:rsid w:val="00FC28C0"/>
    <w:rsid w:val="00FC397B"/>
    <w:rsid w:val="00FC479D"/>
    <w:rsid w:val="00FC6AFB"/>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846AB79-1C01-4F0F-B409-A28E2F2A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2D8"/>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corte4fondo">
    <w:name w:val="corte4 fondo"/>
    <w:basedOn w:val="Normal"/>
    <w:link w:val="corte4fondoCar"/>
    <w:rsid w:val="00620173"/>
    <w:pPr>
      <w:spacing w:after="0" w:line="360" w:lineRule="auto"/>
      <w:ind w:firstLine="709"/>
      <w:jc w:val="both"/>
    </w:pPr>
    <w:rPr>
      <w:rFonts w:ascii="Arial" w:eastAsia="Times New Roman" w:hAnsi="Arial" w:cs="Times New Roman"/>
      <w:sz w:val="30"/>
      <w:szCs w:val="20"/>
      <w:lang w:val="es-ES_tradnl" w:eastAsia="es-ES"/>
    </w:rPr>
  </w:style>
  <w:style w:type="character" w:customStyle="1" w:styleId="corte4fondoCar">
    <w:name w:val="corte4 fondo Car"/>
    <w:link w:val="corte4fondo"/>
    <w:rsid w:val="00620173"/>
    <w:rPr>
      <w:rFonts w:ascii="Arial" w:eastAsia="Times New Roman" w:hAnsi="Arial" w:cs="Times New Roman"/>
      <w:sz w:val="30"/>
      <w:szCs w:val="20"/>
      <w:lang w:val="es-ES_tradnl" w:eastAsia="es-ES"/>
    </w:rPr>
  </w:style>
  <w:style w:type="character" w:customStyle="1" w:styleId="red">
    <w:name w:val="red"/>
    <w:basedOn w:val="Fuentedeprrafopredeter"/>
    <w:rsid w:val="003E1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3093">
      <w:bodyDiv w:val="1"/>
      <w:marLeft w:val="0"/>
      <w:marRight w:val="0"/>
      <w:marTop w:val="0"/>
      <w:marBottom w:val="0"/>
      <w:divBdr>
        <w:top w:val="none" w:sz="0" w:space="0" w:color="auto"/>
        <w:left w:val="none" w:sz="0" w:space="0" w:color="auto"/>
        <w:bottom w:val="none" w:sz="0" w:space="0" w:color="auto"/>
        <w:right w:val="none" w:sz="0" w:space="0" w:color="auto"/>
      </w:divBdr>
      <w:divsChild>
        <w:div w:id="1197036357">
          <w:marLeft w:val="0"/>
          <w:marRight w:val="0"/>
          <w:marTop w:val="0"/>
          <w:marBottom w:val="40"/>
          <w:divBdr>
            <w:top w:val="none" w:sz="0" w:space="0" w:color="auto"/>
            <w:left w:val="none" w:sz="0" w:space="0" w:color="auto"/>
            <w:bottom w:val="none" w:sz="0" w:space="0" w:color="auto"/>
            <w:right w:val="none" w:sz="0" w:space="0" w:color="auto"/>
          </w:divBdr>
        </w:div>
        <w:div w:id="791047889">
          <w:marLeft w:val="0"/>
          <w:marRight w:val="0"/>
          <w:marTop w:val="0"/>
          <w:marBottom w:val="68"/>
          <w:divBdr>
            <w:top w:val="none" w:sz="0" w:space="0" w:color="auto"/>
            <w:left w:val="none" w:sz="0" w:space="0" w:color="auto"/>
            <w:bottom w:val="none" w:sz="0" w:space="0" w:color="auto"/>
            <w:right w:val="none" w:sz="0" w:space="0" w:color="auto"/>
          </w:divBdr>
        </w:div>
      </w:divsChild>
    </w:div>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64404024">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908542954">
      <w:bodyDiv w:val="1"/>
      <w:marLeft w:val="0"/>
      <w:marRight w:val="0"/>
      <w:marTop w:val="0"/>
      <w:marBottom w:val="0"/>
      <w:divBdr>
        <w:top w:val="none" w:sz="0" w:space="0" w:color="auto"/>
        <w:left w:val="none" w:sz="0" w:space="0" w:color="auto"/>
        <w:bottom w:val="none" w:sz="0" w:space="0" w:color="auto"/>
        <w:right w:val="none" w:sz="0" w:space="0" w:color="auto"/>
      </w:divBdr>
    </w:div>
    <w:div w:id="1226645708">
      <w:bodyDiv w:val="1"/>
      <w:marLeft w:val="0"/>
      <w:marRight w:val="0"/>
      <w:marTop w:val="0"/>
      <w:marBottom w:val="0"/>
      <w:divBdr>
        <w:top w:val="none" w:sz="0" w:space="0" w:color="auto"/>
        <w:left w:val="none" w:sz="0" w:space="0" w:color="auto"/>
        <w:bottom w:val="none" w:sz="0" w:space="0" w:color="auto"/>
        <w:right w:val="none" w:sz="0" w:space="0" w:color="auto"/>
      </w:divBdr>
      <w:divsChild>
        <w:div w:id="285698288">
          <w:marLeft w:val="0"/>
          <w:marRight w:val="0"/>
          <w:marTop w:val="0"/>
          <w:marBottom w:val="68"/>
          <w:divBdr>
            <w:top w:val="none" w:sz="0" w:space="0" w:color="auto"/>
            <w:left w:val="none" w:sz="0" w:space="0" w:color="auto"/>
            <w:bottom w:val="none" w:sz="0" w:space="0" w:color="auto"/>
            <w:right w:val="none" w:sz="0" w:space="0" w:color="auto"/>
          </w:divBdr>
        </w:div>
        <w:div w:id="2000494242">
          <w:marLeft w:val="0"/>
          <w:marRight w:val="0"/>
          <w:marTop w:val="0"/>
          <w:marBottom w:val="68"/>
          <w:divBdr>
            <w:top w:val="none" w:sz="0" w:space="0" w:color="auto"/>
            <w:left w:val="none" w:sz="0" w:space="0" w:color="auto"/>
            <w:bottom w:val="none" w:sz="0" w:space="0" w:color="auto"/>
            <w:right w:val="none" w:sz="0" w:space="0" w:color="auto"/>
          </w:divBdr>
        </w:div>
        <w:div w:id="1164469533">
          <w:marLeft w:val="0"/>
          <w:marRight w:val="0"/>
          <w:marTop w:val="0"/>
          <w:marBottom w:val="68"/>
          <w:divBdr>
            <w:top w:val="none" w:sz="0" w:space="0" w:color="auto"/>
            <w:left w:val="none" w:sz="0" w:space="0" w:color="auto"/>
            <w:bottom w:val="none" w:sz="0" w:space="0" w:color="auto"/>
            <w:right w:val="none" w:sz="0" w:space="0" w:color="auto"/>
          </w:divBdr>
        </w:div>
        <w:div w:id="894701839">
          <w:marLeft w:val="0"/>
          <w:marRight w:val="0"/>
          <w:marTop w:val="0"/>
          <w:marBottom w:val="68"/>
          <w:divBdr>
            <w:top w:val="none" w:sz="0" w:space="0" w:color="auto"/>
            <w:left w:val="none" w:sz="0" w:space="0" w:color="auto"/>
            <w:bottom w:val="none" w:sz="0" w:space="0" w:color="auto"/>
            <w:right w:val="none" w:sz="0" w:space="0" w:color="auto"/>
          </w:divBdr>
        </w:div>
        <w:div w:id="45419318">
          <w:marLeft w:val="0"/>
          <w:marRight w:val="0"/>
          <w:marTop w:val="0"/>
          <w:marBottom w:val="68"/>
          <w:divBdr>
            <w:top w:val="none" w:sz="0" w:space="0" w:color="auto"/>
            <w:left w:val="none" w:sz="0" w:space="0" w:color="auto"/>
            <w:bottom w:val="none" w:sz="0" w:space="0" w:color="auto"/>
            <w:right w:val="none" w:sz="0" w:space="0" w:color="auto"/>
          </w:divBdr>
        </w:div>
        <w:div w:id="447821893">
          <w:marLeft w:val="0"/>
          <w:marRight w:val="0"/>
          <w:marTop w:val="0"/>
          <w:marBottom w:val="68"/>
          <w:divBdr>
            <w:top w:val="none" w:sz="0" w:space="0" w:color="auto"/>
            <w:left w:val="none" w:sz="0" w:space="0" w:color="auto"/>
            <w:bottom w:val="none" w:sz="0" w:space="0" w:color="auto"/>
            <w:right w:val="none" w:sz="0" w:space="0" w:color="auto"/>
          </w:divBdr>
        </w:div>
        <w:div w:id="1305349623">
          <w:marLeft w:val="0"/>
          <w:marRight w:val="0"/>
          <w:marTop w:val="0"/>
          <w:marBottom w:val="68"/>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361858383">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956063428">
      <w:bodyDiv w:val="1"/>
      <w:marLeft w:val="0"/>
      <w:marRight w:val="0"/>
      <w:marTop w:val="0"/>
      <w:marBottom w:val="0"/>
      <w:divBdr>
        <w:top w:val="none" w:sz="0" w:space="0" w:color="auto"/>
        <w:left w:val="none" w:sz="0" w:space="0" w:color="auto"/>
        <w:bottom w:val="none" w:sz="0" w:space="0" w:color="auto"/>
        <w:right w:val="none" w:sz="0" w:space="0" w:color="auto"/>
      </w:divBdr>
      <w:divsChild>
        <w:div w:id="1346127229">
          <w:marLeft w:val="0"/>
          <w:marRight w:val="0"/>
          <w:marTop w:val="0"/>
          <w:marBottom w:val="0"/>
          <w:divBdr>
            <w:top w:val="none" w:sz="0" w:space="0" w:color="auto"/>
            <w:left w:val="none" w:sz="0" w:space="0" w:color="auto"/>
            <w:bottom w:val="none" w:sz="0" w:space="0" w:color="auto"/>
            <w:right w:val="none" w:sz="0" w:space="0" w:color="auto"/>
          </w:divBdr>
        </w:div>
      </w:divsChild>
    </w:div>
    <w:div w:id="2022657815">
      <w:bodyDiv w:val="1"/>
      <w:marLeft w:val="0"/>
      <w:marRight w:val="0"/>
      <w:marTop w:val="0"/>
      <w:marBottom w:val="0"/>
      <w:divBdr>
        <w:top w:val="none" w:sz="0" w:space="0" w:color="auto"/>
        <w:left w:val="none" w:sz="0" w:space="0" w:color="auto"/>
        <w:bottom w:val="none" w:sz="0" w:space="0" w:color="auto"/>
        <w:right w:val="none" w:sz="0" w:space="0" w:color="auto"/>
      </w:divBdr>
      <w:divsChild>
        <w:div w:id="2022775465">
          <w:marLeft w:val="0"/>
          <w:marRight w:val="0"/>
          <w:marTop w:val="0"/>
          <w:marBottom w:val="68"/>
          <w:divBdr>
            <w:top w:val="none" w:sz="0" w:space="0" w:color="auto"/>
            <w:left w:val="none" w:sz="0" w:space="0" w:color="auto"/>
            <w:bottom w:val="none" w:sz="0" w:space="0" w:color="auto"/>
            <w:right w:val="none" w:sz="0" w:space="0" w:color="auto"/>
          </w:divBdr>
        </w:div>
        <w:div w:id="1401364823">
          <w:marLeft w:val="0"/>
          <w:marRight w:val="0"/>
          <w:marTop w:val="0"/>
          <w:marBottom w:val="40"/>
          <w:divBdr>
            <w:top w:val="none" w:sz="0" w:space="0" w:color="auto"/>
            <w:left w:val="none" w:sz="0" w:space="0" w:color="auto"/>
            <w:bottom w:val="none" w:sz="0" w:space="0" w:color="auto"/>
            <w:right w:val="none" w:sz="0" w:space="0" w:color="auto"/>
          </w:divBdr>
        </w:div>
        <w:div w:id="467211471">
          <w:marLeft w:val="0"/>
          <w:marRight w:val="0"/>
          <w:marTop w:val="0"/>
          <w:marBottom w:val="80"/>
          <w:divBdr>
            <w:top w:val="none" w:sz="0" w:space="0" w:color="auto"/>
            <w:left w:val="none" w:sz="0" w:space="0" w:color="auto"/>
            <w:bottom w:val="none" w:sz="0" w:space="0" w:color="auto"/>
            <w:right w:val="none" w:sz="0" w:space="0" w:color="auto"/>
          </w:divBdr>
        </w:div>
        <w:div w:id="1174564631">
          <w:marLeft w:val="0"/>
          <w:marRight w:val="0"/>
          <w:marTop w:val="0"/>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CD2A4-B448-4065-8654-4179F0A5B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1942</Words>
  <Characters>10683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19</cp:revision>
  <cp:lastPrinted>2018-12-11T18:53:00Z</cp:lastPrinted>
  <dcterms:created xsi:type="dcterms:W3CDTF">2018-11-21T22:02:00Z</dcterms:created>
  <dcterms:modified xsi:type="dcterms:W3CDTF">2019-02-05T07:08:00Z</dcterms:modified>
</cp:coreProperties>
</file>