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00139">
        <w:rPr>
          <w:rFonts w:ascii="Arial" w:hAnsi="Arial" w:cs="Arial"/>
          <w:b/>
          <w:sz w:val="26"/>
          <w:szCs w:val="26"/>
        </w:rPr>
        <w:t>28</w:t>
      </w:r>
      <w:r w:rsidR="007D6376">
        <w:rPr>
          <w:rFonts w:ascii="Arial" w:hAnsi="Arial" w:cs="Arial"/>
          <w:b/>
          <w:sz w:val="26"/>
          <w:szCs w:val="26"/>
        </w:rPr>
        <w:t>2</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D6376">
        <w:rPr>
          <w:rFonts w:ascii="Arial" w:hAnsi="Arial" w:cs="Arial"/>
          <w:b/>
          <w:sz w:val="26"/>
          <w:szCs w:val="26"/>
        </w:rPr>
        <w:t>301</w:t>
      </w:r>
      <w:r w:rsidR="006F66FB">
        <w:rPr>
          <w:rFonts w:ascii="Arial" w:hAnsi="Arial" w:cs="Arial"/>
          <w:b/>
          <w:sz w:val="26"/>
          <w:szCs w:val="26"/>
        </w:rPr>
        <w:t>/</w:t>
      </w:r>
      <w:r w:rsidRPr="00CB6405">
        <w:rPr>
          <w:rFonts w:ascii="Arial" w:hAnsi="Arial" w:cs="Arial"/>
          <w:b/>
          <w:sz w:val="26"/>
          <w:szCs w:val="26"/>
        </w:rPr>
        <w:t>201</w:t>
      </w:r>
      <w:r w:rsidR="007D6376">
        <w:rPr>
          <w:rFonts w:ascii="Arial" w:hAnsi="Arial" w:cs="Arial"/>
          <w:b/>
          <w:sz w:val="26"/>
          <w:szCs w:val="26"/>
        </w:rPr>
        <w:t>6</w:t>
      </w:r>
      <w:r w:rsidRPr="00CB6405">
        <w:rPr>
          <w:rFonts w:ascii="Arial" w:hAnsi="Arial" w:cs="Arial"/>
          <w:b/>
          <w:sz w:val="26"/>
          <w:szCs w:val="26"/>
        </w:rPr>
        <w:t xml:space="preserve"> </w:t>
      </w:r>
      <w:r w:rsidR="007D6376">
        <w:rPr>
          <w:rFonts w:ascii="Arial" w:hAnsi="Arial" w:cs="Arial"/>
          <w:b/>
          <w:sz w:val="26"/>
          <w:szCs w:val="26"/>
        </w:rPr>
        <w:t xml:space="preserve">SEXTA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B76DE5">
        <w:rPr>
          <w:rFonts w:ascii="Arial" w:hAnsi="Arial" w:cs="Arial"/>
          <w:b/>
          <w:sz w:val="26"/>
          <w:szCs w:val="26"/>
        </w:rPr>
        <w:t xml:space="preserve">VEINTIDÓS </w:t>
      </w:r>
      <w:r>
        <w:rPr>
          <w:rFonts w:ascii="Arial" w:hAnsi="Arial" w:cs="Arial"/>
          <w:b/>
          <w:sz w:val="26"/>
          <w:szCs w:val="26"/>
        </w:rPr>
        <w:t xml:space="preserve">DE </w:t>
      </w:r>
      <w:r w:rsidR="007D6376">
        <w:rPr>
          <w:rFonts w:ascii="Arial" w:hAnsi="Arial" w:cs="Arial"/>
          <w:b/>
          <w:sz w:val="26"/>
          <w:szCs w:val="26"/>
        </w:rPr>
        <w:t>NOVIEMBRE</w:t>
      </w:r>
      <w:r w:rsidR="00371B19">
        <w:rPr>
          <w:rFonts w:ascii="Arial" w:hAnsi="Arial" w:cs="Arial"/>
          <w:b/>
          <w:sz w:val="26"/>
          <w:szCs w:val="26"/>
        </w:rPr>
        <w:t xml:space="preserve"> </w:t>
      </w:r>
      <w:r>
        <w:rPr>
          <w:rFonts w:ascii="Arial" w:hAnsi="Arial" w:cs="Arial"/>
          <w:b/>
          <w:sz w:val="26"/>
          <w:szCs w:val="26"/>
        </w:rPr>
        <w:t>DE DOS MIL DIECIOCHO.</w:t>
      </w:r>
    </w:p>
    <w:p w:rsidR="007D6376" w:rsidRPr="00CB6405" w:rsidRDefault="00C06661" w:rsidP="007D6376">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D6376">
        <w:rPr>
          <w:rFonts w:ascii="Arial" w:hAnsi="Arial" w:cs="Arial"/>
          <w:b/>
          <w:sz w:val="26"/>
          <w:szCs w:val="26"/>
        </w:rPr>
        <w:t>282</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E07406">
        <w:rPr>
          <w:rFonts w:ascii="Arial" w:hAnsi="Arial" w:cs="Arial"/>
          <w:b/>
          <w:sz w:val="26"/>
          <w:szCs w:val="26"/>
        </w:rPr>
        <w:t>***********</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w:t>
      </w:r>
      <w:r w:rsidR="007D6376">
        <w:rPr>
          <w:rFonts w:ascii="Arial" w:hAnsi="Arial" w:cs="Arial"/>
          <w:sz w:val="26"/>
          <w:szCs w:val="26"/>
        </w:rPr>
        <w:t xml:space="preserve">resolución de veintiuno de junio </w:t>
      </w:r>
      <w:r w:rsidR="00C346BF">
        <w:rPr>
          <w:rFonts w:ascii="Arial" w:hAnsi="Arial" w:cs="Arial"/>
          <w:sz w:val="26"/>
          <w:szCs w:val="26"/>
        </w:rPr>
        <w:t>de 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7D6376">
        <w:rPr>
          <w:rFonts w:ascii="Arial" w:hAnsi="Arial" w:cs="Arial"/>
          <w:b/>
          <w:sz w:val="26"/>
          <w:szCs w:val="26"/>
        </w:rPr>
        <w:t>0301</w:t>
      </w:r>
      <w:r w:rsidRPr="00CB6405">
        <w:rPr>
          <w:rFonts w:ascii="Arial" w:hAnsi="Arial" w:cs="Arial"/>
          <w:b/>
          <w:sz w:val="26"/>
          <w:szCs w:val="26"/>
        </w:rPr>
        <w:t>/201</w:t>
      </w:r>
      <w:r w:rsidR="007D6376">
        <w:rPr>
          <w:rFonts w:ascii="Arial" w:hAnsi="Arial" w:cs="Arial"/>
          <w:b/>
          <w:sz w:val="26"/>
          <w:szCs w:val="26"/>
        </w:rPr>
        <w:t>6</w:t>
      </w:r>
      <w:r w:rsidRPr="00CB6405">
        <w:rPr>
          <w:rFonts w:ascii="Arial" w:hAnsi="Arial" w:cs="Arial"/>
          <w:sz w:val="26"/>
          <w:szCs w:val="26"/>
        </w:rPr>
        <w:t xml:space="preserve"> de la </w:t>
      </w:r>
      <w:r w:rsidR="007D6376">
        <w:rPr>
          <w:rFonts w:ascii="Arial" w:hAnsi="Arial" w:cs="Arial"/>
          <w:sz w:val="26"/>
          <w:szCs w:val="26"/>
        </w:rPr>
        <w:t>Sexta</w:t>
      </w:r>
      <w:r w:rsidR="00270ACE">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7D6376">
        <w:rPr>
          <w:rFonts w:ascii="Arial" w:hAnsi="Arial" w:cs="Arial"/>
          <w:sz w:val="26"/>
          <w:szCs w:val="26"/>
        </w:rPr>
        <w:t xml:space="preserve">el </w:t>
      </w:r>
      <w:r w:rsidR="007D6376" w:rsidRPr="007D6376">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70ACE">
        <w:rPr>
          <w:rFonts w:ascii="Arial" w:hAnsi="Arial" w:cs="Arial"/>
          <w:sz w:val="26"/>
          <w:szCs w:val="26"/>
        </w:rPr>
        <w:t>l</w:t>
      </w:r>
      <w:r w:rsidR="007D6376">
        <w:rPr>
          <w:rFonts w:ascii="Arial" w:hAnsi="Arial" w:cs="Arial"/>
          <w:sz w:val="26"/>
          <w:szCs w:val="26"/>
        </w:rPr>
        <w:t xml:space="preserve"> entonces </w:t>
      </w:r>
      <w:r w:rsidR="007D6376">
        <w:rPr>
          <w:rFonts w:ascii="Arial" w:hAnsi="Arial" w:cs="Arial"/>
          <w:b/>
          <w:sz w:val="26"/>
          <w:szCs w:val="26"/>
        </w:rPr>
        <w:t>PROCURADOR GENERAL DE JUSTICIA DEL ESTADO y otros</w:t>
      </w:r>
      <w:r w:rsidRPr="006B3BEA">
        <w:rPr>
          <w:rFonts w:ascii="Arial" w:hAnsi="Arial" w:cs="Arial"/>
          <w:sz w:val="26"/>
          <w:szCs w:val="26"/>
        </w:rPr>
        <w:t>;</w:t>
      </w:r>
      <w:r w:rsidRPr="00CB6405">
        <w:rPr>
          <w:rFonts w:ascii="Arial" w:hAnsi="Arial" w:cs="Arial"/>
          <w:b/>
          <w:sz w:val="26"/>
          <w:szCs w:val="26"/>
        </w:rPr>
        <w:t xml:space="preserve"> </w:t>
      </w:r>
      <w:r w:rsidR="007D6376" w:rsidRPr="00CB6405">
        <w:rPr>
          <w:rFonts w:ascii="Arial" w:hAnsi="Arial" w:cs="Arial"/>
          <w:sz w:val="26"/>
          <w:szCs w:val="26"/>
        </w:rPr>
        <w:t xml:space="preserve">por lo que con fundamento en los artículos 207 y 208 de la Ley de Justicia Administrativa para el Estado de Oaxaca, </w:t>
      </w:r>
      <w:r w:rsidR="007D6376">
        <w:rPr>
          <w:rFonts w:ascii="Arial" w:hAnsi="Arial" w:cs="Arial"/>
          <w:bCs/>
          <w:iCs/>
          <w:sz w:val="26"/>
          <w:szCs w:val="26"/>
        </w:rPr>
        <w:t>vigente al inicio del juicio natural</w:t>
      </w:r>
      <w:r w:rsidR="007D6376">
        <w:rPr>
          <w:rFonts w:ascii="Arial" w:hAnsi="Arial" w:cs="Arial"/>
          <w:sz w:val="26"/>
          <w:szCs w:val="26"/>
        </w:rPr>
        <w:t xml:space="preserve">, </w:t>
      </w:r>
      <w:r w:rsidR="007D6376"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w:t>
      </w:r>
      <w:r w:rsidR="00270ACE">
        <w:rPr>
          <w:rFonts w:ascii="Arial" w:hAnsi="Arial" w:cs="Arial"/>
          <w:sz w:val="26"/>
          <w:szCs w:val="26"/>
        </w:rPr>
        <w:t xml:space="preserve">la </w:t>
      </w:r>
      <w:r w:rsidR="007D6376">
        <w:rPr>
          <w:rFonts w:ascii="Arial" w:hAnsi="Arial" w:cs="Arial"/>
          <w:sz w:val="26"/>
          <w:szCs w:val="26"/>
        </w:rPr>
        <w:t xml:space="preserve">resolución de veintiuno </w:t>
      </w:r>
      <w:r w:rsidR="00A10656">
        <w:rPr>
          <w:rFonts w:ascii="Arial" w:hAnsi="Arial" w:cs="Arial"/>
          <w:sz w:val="26"/>
          <w:szCs w:val="26"/>
        </w:rPr>
        <w:t xml:space="preserve">de </w:t>
      </w:r>
      <w:r w:rsidR="007D6376">
        <w:rPr>
          <w:rFonts w:ascii="Arial" w:hAnsi="Arial" w:cs="Arial"/>
          <w:sz w:val="26"/>
          <w:szCs w:val="26"/>
        </w:rPr>
        <w:t xml:space="preserve">junio </w:t>
      </w:r>
      <w:r w:rsidR="00A10656">
        <w:rPr>
          <w:rFonts w:ascii="Arial" w:hAnsi="Arial" w:cs="Arial"/>
          <w:sz w:val="26"/>
          <w:szCs w:val="26"/>
        </w:rPr>
        <w:t>de dos mil dieciocho</w:t>
      </w:r>
      <w:r w:rsidRPr="00CB6405">
        <w:rPr>
          <w:rFonts w:ascii="Arial" w:hAnsi="Arial" w:cs="Arial"/>
          <w:sz w:val="26"/>
          <w:szCs w:val="26"/>
        </w:rPr>
        <w:t>, dictad</w:t>
      </w:r>
      <w:r w:rsidR="007D6376">
        <w:rPr>
          <w:rFonts w:ascii="Arial" w:hAnsi="Arial" w:cs="Arial"/>
          <w:sz w:val="26"/>
          <w:szCs w:val="26"/>
        </w:rPr>
        <w:t>a</w:t>
      </w:r>
      <w:r>
        <w:rPr>
          <w:rFonts w:ascii="Arial" w:hAnsi="Arial" w:cs="Arial"/>
          <w:sz w:val="26"/>
          <w:szCs w:val="26"/>
        </w:rPr>
        <w:t xml:space="preserve"> </w:t>
      </w:r>
      <w:r w:rsidRPr="00CB6405">
        <w:rPr>
          <w:rFonts w:ascii="Arial" w:hAnsi="Arial" w:cs="Arial"/>
          <w:sz w:val="26"/>
          <w:szCs w:val="26"/>
        </w:rPr>
        <w:t xml:space="preserve">por la </w:t>
      </w:r>
      <w:r w:rsidR="007D6376">
        <w:rPr>
          <w:rFonts w:ascii="Arial" w:hAnsi="Arial" w:cs="Arial"/>
          <w:sz w:val="26"/>
          <w:szCs w:val="26"/>
        </w:rPr>
        <w:t>Sexta</w:t>
      </w:r>
      <w:r w:rsidR="00A10656">
        <w:rPr>
          <w:rFonts w:ascii="Arial" w:hAnsi="Arial" w:cs="Arial"/>
          <w:sz w:val="26"/>
          <w:szCs w:val="26"/>
        </w:rPr>
        <w:t xml:space="preserve"> </w:t>
      </w:r>
      <w:r w:rsidRPr="00CB6405">
        <w:rPr>
          <w:rFonts w:ascii="Arial" w:hAnsi="Arial" w:cs="Arial"/>
          <w:sz w:val="26"/>
          <w:szCs w:val="26"/>
        </w:rPr>
        <w:t xml:space="preserve">Sala Unitaria de Primera Instancia </w:t>
      </w:r>
      <w:r w:rsidR="00E07406">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0ACE">
        <w:rPr>
          <w:rFonts w:ascii="Arial" w:hAnsi="Arial" w:cs="Arial"/>
          <w:bCs/>
          <w:sz w:val="26"/>
          <w:szCs w:val="26"/>
        </w:rPr>
        <w:t xml:space="preserve">Los puntos resolutivos de la </w:t>
      </w:r>
      <w:r w:rsidR="007D6376">
        <w:rPr>
          <w:rFonts w:ascii="Arial" w:hAnsi="Arial" w:cs="Arial"/>
          <w:bCs/>
          <w:sz w:val="26"/>
          <w:szCs w:val="26"/>
        </w:rPr>
        <w:t xml:space="preserve">resolución </w:t>
      </w:r>
      <w:r w:rsidR="00270ACE">
        <w:rPr>
          <w:rFonts w:ascii="Arial" w:hAnsi="Arial" w:cs="Arial"/>
          <w:bCs/>
          <w:sz w:val="26"/>
          <w:szCs w:val="26"/>
        </w:rPr>
        <w:t>recurrida son los siguientes</w:t>
      </w:r>
      <w:r w:rsidR="00C06661">
        <w:rPr>
          <w:rFonts w:ascii="Arial" w:hAnsi="Arial" w:cs="Arial"/>
          <w:bCs/>
          <w:sz w:val="26"/>
          <w:szCs w:val="26"/>
        </w:rPr>
        <w:t>:</w:t>
      </w:r>
    </w:p>
    <w:p w:rsidR="006B52CD" w:rsidRPr="008274A1" w:rsidRDefault="00C37A09" w:rsidP="00ED05F5">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8274A1">
        <w:rPr>
          <w:rFonts w:ascii="Arial" w:eastAsia="Times New Roman" w:hAnsi="Arial" w:cs="Arial"/>
          <w:bCs/>
          <w:i/>
          <w:iCs/>
          <w:lang w:eastAsia="es-ES"/>
        </w:rPr>
        <w:t>“</w:t>
      </w:r>
      <w:r w:rsidR="00270ACE" w:rsidRPr="008274A1">
        <w:rPr>
          <w:rFonts w:ascii="Arial" w:eastAsia="Times New Roman" w:hAnsi="Arial" w:cs="Arial"/>
          <w:b/>
          <w:bCs/>
          <w:i/>
          <w:iCs/>
          <w:lang w:eastAsia="es-ES"/>
        </w:rPr>
        <w:t xml:space="preserve">PRIMERO.- </w:t>
      </w:r>
      <w:r w:rsidR="00270ACE" w:rsidRPr="008274A1">
        <w:rPr>
          <w:rFonts w:ascii="Arial" w:eastAsia="Times New Roman" w:hAnsi="Arial" w:cs="Arial"/>
          <w:bCs/>
          <w:i/>
          <w:iCs/>
          <w:lang w:eastAsia="es-ES"/>
        </w:rPr>
        <w:t xml:space="preserve">Esta </w:t>
      </w:r>
      <w:r w:rsidR="007D6376" w:rsidRPr="008274A1">
        <w:rPr>
          <w:rFonts w:ascii="Arial" w:eastAsia="Times New Roman" w:hAnsi="Arial" w:cs="Arial"/>
          <w:bCs/>
          <w:i/>
          <w:iCs/>
          <w:lang w:eastAsia="es-ES"/>
        </w:rPr>
        <w:t xml:space="preserve">Sexta </w:t>
      </w:r>
      <w:r w:rsidR="00270ACE" w:rsidRPr="008274A1">
        <w:rPr>
          <w:rFonts w:ascii="Arial" w:eastAsia="Times New Roman" w:hAnsi="Arial" w:cs="Arial"/>
          <w:bCs/>
          <w:i/>
          <w:iCs/>
          <w:lang w:eastAsia="es-ES"/>
        </w:rPr>
        <w:t xml:space="preserve">Sala </w:t>
      </w:r>
      <w:r w:rsidR="007D6376" w:rsidRPr="008274A1">
        <w:rPr>
          <w:rFonts w:ascii="Arial" w:eastAsia="Times New Roman" w:hAnsi="Arial" w:cs="Arial"/>
          <w:bCs/>
          <w:i/>
          <w:iCs/>
          <w:lang w:eastAsia="es-ES"/>
        </w:rPr>
        <w:t xml:space="preserve">Unitaria </w:t>
      </w:r>
      <w:r w:rsidR="00270ACE" w:rsidRPr="008274A1">
        <w:rPr>
          <w:rFonts w:ascii="Arial" w:eastAsia="Times New Roman" w:hAnsi="Arial" w:cs="Arial"/>
          <w:bCs/>
          <w:i/>
          <w:iCs/>
          <w:lang w:eastAsia="es-ES"/>
        </w:rPr>
        <w:t xml:space="preserve">de Primera Instancia </w:t>
      </w:r>
      <w:r w:rsidR="007D6376" w:rsidRPr="008274A1">
        <w:rPr>
          <w:rFonts w:ascii="Arial" w:eastAsia="Times New Roman" w:hAnsi="Arial" w:cs="Arial"/>
          <w:bCs/>
          <w:i/>
          <w:iCs/>
          <w:lang w:eastAsia="es-ES"/>
        </w:rPr>
        <w:t>del Tribunal de Justicia Administrativa del Estado, fue</w:t>
      </w:r>
      <w:r w:rsidR="00270ACE" w:rsidRPr="008274A1">
        <w:rPr>
          <w:rFonts w:ascii="Arial" w:eastAsia="Times New Roman" w:hAnsi="Arial" w:cs="Arial"/>
          <w:bCs/>
          <w:i/>
          <w:iCs/>
          <w:lang w:eastAsia="es-ES"/>
        </w:rPr>
        <w:t xml:space="preserve"> competente para conocer y resolver el presente asunto</w:t>
      </w:r>
      <w:r w:rsidR="00270ACE" w:rsidRPr="008274A1">
        <w:rPr>
          <w:rFonts w:ascii="Arial" w:eastAsia="Times New Roman" w:hAnsi="Arial" w:cs="Arial"/>
          <w:b/>
          <w:bCs/>
          <w:i/>
          <w:iCs/>
          <w:lang w:eastAsia="es-ES"/>
        </w:rPr>
        <w:t>.</w:t>
      </w:r>
      <w:r w:rsidR="00270ACE" w:rsidRPr="008274A1">
        <w:rPr>
          <w:rFonts w:ascii="Arial" w:eastAsia="Times New Roman" w:hAnsi="Arial" w:cs="Arial"/>
          <w:bCs/>
          <w:i/>
          <w:iCs/>
          <w:lang w:eastAsia="es-ES"/>
        </w:rPr>
        <w:t>-</w:t>
      </w:r>
      <w:r w:rsidR="008274A1">
        <w:rPr>
          <w:rFonts w:ascii="Arial" w:eastAsia="Times New Roman" w:hAnsi="Arial" w:cs="Arial"/>
          <w:bCs/>
          <w:i/>
          <w:iCs/>
          <w:lang w:eastAsia="es-ES"/>
        </w:rPr>
        <w:t xml:space="preserve"> - - - - - - - - - </w:t>
      </w:r>
      <w:r w:rsidR="00270ACE" w:rsidRPr="008274A1">
        <w:rPr>
          <w:rFonts w:ascii="Arial" w:eastAsia="Times New Roman" w:hAnsi="Arial" w:cs="Arial"/>
          <w:b/>
          <w:bCs/>
          <w:i/>
          <w:iCs/>
          <w:lang w:eastAsia="es-ES"/>
        </w:rPr>
        <w:t xml:space="preserve">SEGUNDO.- </w:t>
      </w:r>
      <w:r w:rsidR="007D6376" w:rsidRPr="008274A1">
        <w:rPr>
          <w:rFonts w:ascii="Arial" w:eastAsia="Times New Roman" w:hAnsi="Arial" w:cs="Arial"/>
          <w:bCs/>
          <w:i/>
          <w:iCs/>
          <w:lang w:eastAsia="es-ES"/>
        </w:rPr>
        <w:t>Por las razones expuestas en el considerando CUARTO y QUINTO se SOBRESEE el juicio</w:t>
      </w:r>
      <w:r w:rsidR="00270ACE" w:rsidRPr="008274A1">
        <w:rPr>
          <w:rFonts w:ascii="Arial" w:eastAsia="Times New Roman" w:hAnsi="Arial" w:cs="Arial"/>
          <w:bCs/>
          <w:i/>
          <w:iCs/>
          <w:lang w:eastAsia="es-ES"/>
        </w:rPr>
        <w:t xml:space="preserve">.- - - - - - - - - - </w:t>
      </w:r>
      <w:r w:rsidR="00270ACE" w:rsidRPr="008274A1">
        <w:rPr>
          <w:rFonts w:ascii="Arial" w:eastAsia="Times New Roman" w:hAnsi="Arial" w:cs="Arial"/>
          <w:b/>
          <w:bCs/>
          <w:i/>
          <w:iCs/>
          <w:lang w:eastAsia="es-ES"/>
        </w:rPr>
        <w:t xml:space="preserve">TERCERO.- </w:t>
      </w:r>
      <w:r w:rsidR="007D6376" w:rsidRPr="008274A1">
        <w:rPr>
          <w:rFonts w:ascii="Arial" w:eastAsia="Times New Roman" w:hAnsi="Arial" w:cs="Arial"/>
          <w:bCs/>
          <w:i/>
          <w:iCs/>
          <w:lang w:eastAsia="es-ES"/>
        </w:rPr>
        <w:t xml:space="preserve">Conforme a lo dispuesto en los artículos 142, fracción I y 143 fracciones I y II, de la Ley de la materia </w:t>
      </w:r>
      <w:r w:rsidR="00A56024" w:rsidRPr="008274A1">
        <w:rPr>
          <w:rFonts w:ascii="Arial" w:eastAsia="Times New Roman" w:hAnsi="Arial" w:cs="Arial"/>
          <w:b/>
          <w:bCs/>
          <w:i/>
          <w:iCs/>
          <w:lang w:eastAsia="es-ES"/>
        </w:rPr>
        <w:t xml:space="preserve">NOTIFÍQUESE </w:t>
      </w:r>
      <w:r w:rsidR="007D6376" w:rsidRPr="008274A1">
        <w:rPr>
          <w:rFonts w:ascii="Arial" w:eastAsia="Times New Roman" w:hAnsi="Arial" w:cs="Arial"/>
          <w:b/>
          <w:bCs/>
          <w:i/>
          <w:iCs/>
          <w:lang w:eastAsia="es-ES"/>
        </w:rPr>
        <w:t xml:space="preserve">PERSONALMENTE AL ACTOR Y POR OFICIO A LAS AUTORIDADES DEMANDADAS.- </w:t>
      </w:r>
      <w:r w:rsidR="00A56024" w:rsidRPr="008274A1">
        <w:rPr>
          <w:rFonts w:ascii="Arial" w:eastAsia="Times New Roman" w:hAnsi="Arial" w:cs="Arial"/>
          <w:b/>
          <w:bCs/>
          <w:i/>
          <w:iCs/>
          <w:lang w:eastAsia="es-ES"/>
        </w:rPr>
        <w:t>CÚMPLASE</w:t>
      </w:r>
      <w:r w:rsidR="00A56024" w:rsidRPr="008274A1">
        <w:rPr>
          <w:rFonts w:ascii="Arial" w:eastAsia="Times New Roman" w:hAnsi="Arial" w:cs="Arial"/>
          <w:bCs/>
          <w:i/>
          <w:iCs/>
          <w:lang w:eastAsia="es-ES"/>
        </w:rPr>
        <w:t xml:space="preserve">.- - - </w:t>
      </w:r>
      <w:r w:rsidR="008274A1">
        <w:rPr>
          <w:rFonts w:ascii="Arial" w:eastAsia="Times New Roman" w:hAnsi="Arial" w:cs="Arial"/>
          <w:bCs/>
          <w:i/>
          <w:iCs/>
          <w:lang w:eastAsia="es-ES"/>
        </w:rPr>
        <w:t>- - - - - - - - -</w:t>
      </w:r>
      <w:r w:rsidR="007D6376" w:rsidRPr="008274A1">
        <w:rPr>
          <w:rFonts w:ascii="Arial" w:eastAsia="Times New Roman" w:hAnsi="Arial" w:cs="Arial"/>
          <w:bCs/>
          <w:i/>
          <w:iCs/>
          <w:lang w:eastAsia="es-ES"/>
        </w:rPr>
        <w:t xml:space="preserve"> </w:t>
      </w:r>
      <w:r w:rsidR="00742758" w:rsidRPr="008274A1">
        <w:rPr>
          <w:rFonts w:ascii="Arial" w:eastAsia="Times New Roman" w:hAnsi="Arial" w:cs="Arial"/>
          <w:bCs/>
          <w:i/>
          <w:iCs/>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D6376" w:rsidRPr="00CB6405" w:rsidRDefault="007D6376" w:rsidP="007D6376">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lastRenderedPageBreak/>
        <w:t>PRIMERO.</w:t>
      </w:r>
      <w:r>
        <w:rPr>
          <w:rFonts w:ascii="Arial" w:hAnsi="Arial" w:cs="Arial"/>
          <w:b/>
          <w:bCs/>
          <w:iCs/>
          <w:sz w:val="26"/>
          <w:szCs w:val="26"/>
        </w:rPr>
        <w:t xml:space="preserve"> </w:t>
      </w:r>
      <w:r w:rsidR="008274A1" w:rsidRPr="0073338E">
        <w:rPr>
          <w:rFonts w:ascii="Arial" w:hAnsi="Arial" w:cs="Arial"/>
          <w:bCs/>
          <w:iCs/>
          <w:sz w:val="26"/>
          <w:szCs w:val="26"/>
        </w:rPr>
        <w:t xml:space="preserve">Esta Sala Superior es competente para conocer del presente asunto, </w:t>
      </w:r>
      <w:r w:rsidR="008274A1"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8274A1" w:rsidRPr="00F66D81">
        <w:rPr>
          <w:rFonts w:ascii="Arial" w:hAnsi="Arial" w:cs="Arial"/>
          <w:bCs/>
          <w:iCs/>
          <w:sz w:val="26"/>
          <w:szCs w:val="26"/>
          <w:lang w:eastAsia="es-ES"/>
        </w:rPr>
        <w:t xml:space="preserve">en el Extra del Periódico Oficial del Gobierno del Estado el 16 dieciséis de enero de 2018 dos mil dieciocho, </w:t>
      </w:r>
      <w:r w:rsidR="008274A1" w:rsidRPr="00F66D81">
        <w:rPr>
          <w:rFonts w:ascii="Arial" w:hAnsi="Arial" w:cs="Arial"/>
          <w:bCs/>
          <w:iCs/>
          <w:sz w:val="26"/>
          <w:szCs w:val="26"/>
        </w:rPr>
        <w:t>86, 88, 92, 93, fracción I, 94, 201, 206 y 208, de la Ley de Justicia Administrativa para el Estado de O</w:t>
      </w:r>
      <w:r w:rsidR="008274A1">
        <w:rPr>
          <w:rFonts w:ascii="Arial" w:hAnsi="Arial" w:cs="Arial"/>
          <w:bCs/>
          <w:iCs/>
          <w:sz w:val="26"/>
          <w:szCs w:val="26"/>
        </w:rPr>
        <w:t xml:space="preserve">axaca, vigente hasta el veinte </w:t>
      </w:r>
      <w:r w:rsidR="008274A1" w:rsidRPr="00F66D81">
        <w:rPr>
          <w:rFonts w:ascii="Arial" w:hAnsi="Arial" w:cs="Arial"/>
          <w:bCs/>
          <w:iCs/>
          <w:sz w:val="26"/>
          <w:szCs w:val="26"/>
        </w:rPr>
        <w:t>de octubre de dos mil diecisiete</w:t>
      </w:r>
      <w:r w:rsidR="008274A1" w:rsidRPr="00983363">
        <w:rPr>
          <w:rFonts w:ascii="Arial" w:hAnsi="Arial" w:cs="Arial"/>
          <w:bCs/>
          <w:iCs/>
          <w:sz w:val="26"/>
          <w:szCs w:val="26"/>
        </w:rPr>
        <w:t>,</w:t>
      </w:r>
      <w:r w:rsidR="008274A1">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resolución de veintiuno de junio de dos mil dieciocho,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301/2016</w:t>
      </w:r>
      <w:r w:rsidRPr="00CB6405">
        <w:rPr>
          <w:rFonts w:ascii="Arial" w:hAnsi="Arial" w:cs="Arial"/>
          <w:sz w:val="26"/>
          <w:szCs w:val="26"/>
        </w:rPr>
        <w:t>.</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4B7A6A" w:rsidRDefault="00E91FCC" w:rsidP="00E91FCC">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4B7A6A">
        <w:rPr>
          <w:rFonts w:ascii="Arial" w:hAnsi="Arial" w:cs="Arial"/>
          <w:color w:val="000000"/>
          <w:sz w:val="26"/>
          <w:szCs w:val="26"/>
        </w:rPr>
        <w:t>Se duele el revisionista de la determinación de Primera Instancia en la que dice, se tiene por legalmente realizada la notificación de veinticin</w:t>
      </w:r>
      <w:r w:rsidR="00046FB1">
        <w:rPr>
          <w:rFonts w:ascii="Arial" w:hAnsi="Arial" w:cs="Arial"/>
          <w:color w:val="000000"/>
          <w:sz w:val="26"/>
          <w:szCs w:val="26"/>
        </w:rPr>
        <w:t>co de febrero de dos mil quince</w:t>
      </w:r>
      <w:r w:rsidR="004B7A6A">
        <w:rPr>
          <w:rFonts w:ascii="Arial" w:hAnsi="Arial" w:cs="Arial"/>
          <w:color w:val="000000"/>
          <w:sz w:val="26"/>
          <w:szCs w:val="26"/>
        </w:rPr>
        <w:t xml:space="preserve"> que impugnó</w:t>
      </w:r>
      <w:r w:rsidR="00046FB1">
        <w:rPr>
          <w:rFonts w:ascii="Arial" w:hAnsi="Arial" w:cs="Arial"/>
          <w:color w:val="000000"/>
          <w:sz w:val="26"/>
          <w:szCs w:val="26"/>
        </w:rPr>
        <w:t>; arguyendo en esencia al respecto, que el Magistrado</w:t>
      </w:r>
      <w:r w:rsidR="004B7A6A">
        <w:rPr>
          <w:rFonts w:ascii="Arial" w:hAnsi="Arial" w:cs="Arial"/>
          <w:color w:val="000000"/>
          <w:sz w:val="26"/>
          <w:szCs w:val="26"/>
        </w:rPr>
        <w:t xml:space="preserve"> omitió que dicha notificación</w:t>
      </w:r>
      <w:r w:rsidR="00046FB1">
        <w:rPr>
          <w:rFonts w:ascii="Arial" w:hAnsi="Arial" w:cs="Arial"/>
          <w:color w:val="000000"/>
          <w:sz w:val="26"/>
          <w:szCs w:val="26"/>
        </w:rPr>
        <w:t>,</w:t>
      </w:r>
      <w:r w:rsidR="004B7A6A">
        <w:rPr>
          <w:rFonts w:ascii="Arial" w:hAnsi="Arial" w:cs="Arial"/>
          <w:color w:val="000000"/>
          <w:sz w:val="26"/>
          <w:szCs w:val="26"/>
        </w:rPr>
        <w:t xml:space="preserve"> adolece de vicios formales y de fondo</w:t>
      </w:r>
      <w:r w:rsidR="00046FB1">
        <w:rPr>
          <w:rFonts w:ascii="Arial" w:hAnsi="Arial" w:cs="Arial"/>
          <w:color w:val="000000"/>
          <w:sz w:val="26"/>
          <w:szCs w:val="26"/>
        </w:rPr>
        <w:t>, porque el Agente del Ministerio Público de la Mesa III de Quejas de la Visitaduría de la entonces Procuraduría General de Justicia del Estado, incumplió con lo dispuesto por los artículos 73, 106, 107, 108, 109, 110 fracción X, 113 y 116 párrafo tercero del Código de Procedimientos Civiles; pues la notificación rebaso en exceso el tiempo que establece la ley para su realización, además que la resolución no le fue notificada en su domicilio, sino mediante una supuesta comparecencia espontánea. Cita como apoyo el criterio de rubro: “</w:t>
      </w:r>
      <w:r w:rsidR="00046FB1" w:rsidRPr="00046FB1">
        <w:rPr>
          <w:rFonts w:ascii="Arial" w:hAnsi="Arial" w:cs="Arial"/>
          <w:i/>
          <w:color w:val="000000"/>
        </w:rPr>
        <w:t>CONCEPTOS DE VIOLACIÓN. CUANDO EL QUEJOSO ARGUMENTE INOBSERVANCIA A LOS PRINCIPIOS DE CONGRUENCIA Y EXHAUSTIVIDAD DE LA SENTENCIA IMPUGNADA EN EL AMPARO DIRECTO, BASTA QUE EN AQUELLOS MENCIONES CUALES FUERON LAS CONSIDERACIÓNES OMITIDAS</w:t>
      </w:r>
      <w:r w:rsidR="00046FB1">
        <w:rPr>
          <w:rFonts w:ascii="Arial" w:hAnsi="Arial" w:cs="Arial"/>
          <w:color w:val="000000"/>
          <w:sz w:val="26"/>
          <w:szCs w:val="26"/>
        </w:rPr>
        <w:t xml:space="preserve">” </w:t>
      </w:r>
    </w:p>
    <w:p w:rsidR="00046FB1" w:rsidRDefault="00046FB1" w:rsidP="00FF1E8A">
      <w:pPr>
        <w:spacing w:before="240" w:line="360" w:lineRule="auto"/>
        <w:ind w:firstLine="709"/>
        <w:jc w:val="both"/>
        <w:rPr>
          <w:rFonts w:ascii="Arial" w:eastAsia="Calibri" w:hAnsi="Arial" w:cs="Arial"/>
          <w:bCs/>
          <w:sz w:val="26"/>
          <w:szCs w:val="26"/>
          <w:lang w:val="es-MX"/>
        </w:rPr>
      </w:pPr>
      <w:r>
        <w:rPr>
          <w:rFonts w:ascii="Arial" w:eastAsia="Calibri" w:hAnsi="Arial" w:cs="Arial"/>
          <w:bCs/>
          <w:sz w:val="26"/>
          <w:szCs w:val="26"/>
        </w:rPr>
        <w:t>Esta</w:t>
      </w:r>
      <w:r w:rsidR="00FF1E8A">
        <w:rPr>
          <w:rFonts w:ascii="Arial" w:eastAsia="Calibri" w:hAnsi="Arial" w:cs="Arial"/>
          <w:bCs/>
          <w:sz w:val="26"/>
          <w:szCs w:val="26"/>
        </w:rPr>
        <w:t>s</w:t>
      </w:r>
      <w:r>
        <w:rPr>
          <w:rFonts w:ascii="Arial" w:eastAsia="Calibri" w:hAnsi="Arial" w:cs="Arial"/>
          <w:bCs/>
          <w:sz w:val="26"/>
          <w:szCs w:val="26"/>
        </w:rPr>
        <w:t xml:space="preserve"> alegaciones resultan </w:t>
      </w:r>
      <w:r w:rsidR="00FF1E8A" w:rsidRPr="00FF1E8A">
        <w:rPr>
          <w:rFonts w:ascii="Arial" w:eastAsia="Calibri" w:hAnsi="Arial" w:cs="Arial"/>
          <w:b/>
          <w:bCs/>
          <w:sz w:val="26"/>
          <w:szCs w:val="26"/>
        </w:rPr>
        <w:t>ineficaces</w:t>
      </w:r>
      <w:r w:rsidR="00FF1E8A">
        <w:rPr>
          <w:rFonts w:ascii="Arial" w:eastAsia="Calibri" w:hAnsi="Arial" w:cs="Arial"/>
          <w:bCs/>
          <w:sz w:val="26"/>
          <w:szCs w:val="26"/>
        </w:rPr>
        <w:t xml:space="preserve">; pues </w:t>
      </w:r>
      <w:r w:rsidR="00FF1E8A">
        <w:rPr>
          <w:rFonts w:ascii="Arial" w:hAnsi="Arial" w:cs="Arial"/>
          <w:bCs/>
          <w:color w:val="000000"/>
          <w:sz w:val="26"/>
          <w:szCs w:val="26"/>
          <w:lang w:val="es-MX"/>
        </w:rPr>
        <w:t xml:space="preserve">del estudio a las constancias que integran el expediente de Primera Instancia, que merecen pleno valor probatorio de conformidad con lo dispuesto por </w:t>
      </w:r>
      <w:r w:rsidR="00FF1E8A">
        <w:rPr>
          <w:rFonts w:ascii="Arial" w:hAnsi="Arial" w:cs="Arial"/>
          <w:sz w:val="26"/>
          <w:szCs w:val="26"/>
        </w:rPr>
        <w:t xml:space="preserve">el </w:t>
      </w:r>
      <w:r w:rsidR="00FF1E8A">
        <w:rPr>
          <w:rFonts w:ascii="Arial" w:hAnsi="Arial" w:cs="Arial"/>
          <w:sz w:val="26"/>
          <w:szCs w:val="26"/>
        </w:rPr>
        <w:lastRenderedPageBreak/>
        <w:t xml:space="preserve">artículo 173 </w:t>
      </w:r>
      <w:r w:rsidR="00FF1E8A" w:rsidRPr="009802AF">
        <w:rPr>
          <w:rFonts w:ascii="Arial" w:hAnsi="Arial" w:cs="Arial"/>
          <w:sz w:val="26"/>
          <w:szCs w:val="26"/>
        </w:rPr>
        <w:t>fracción I</w:t>
      </w:r>
      <w:r w:rsidR="00FF1E8A" w:rsidRPr="009802AF">
        <w:rPr>
          <w:rStyle w:val="Refdenotaalpie"/>
          <w:rFonts w:ascii="Arial" w:hAnsi="Arial" w:cs="Arial"/>
          <w:color w:val="000000"/>
          <w:sz w:val="26"/>
          <w:szCs w:val="26"/>
        </w:rPr>
        <w:footnoteReference w:id="1"/>
      </w:r>
      <w:r w:rsidR="00FF1E8A" w:rsidRPr="009802AF">
        <w:rPr>
          <w:rFonts w:ascii="Arial" w:hAnsi="Arial" w:cs="Arial"/>
          <w:sz w:val="26"/>
          <w:szCs w:val="26"/>
        </w:rPr>
        <w:t xml:space="preserve"> de la Ley de Justicia Administrativa para el Estado de </w:t>
      </w:r>
      <w:r w:rsidR="00FF1E8A">
        <w:rPr>
          <w:rFonts w:ascii="Arial" w:hAnsi="Arial" w:cs="Arial"/>
          <w:sz w:val="26"/>
          <w:szCs w:val="26"/>
        </w:rPr>
        <w:t>Oaxaca,</w:t>
      </w:r>
      <w:r w:rsidR="00FF1E8A">
        <w:rPr>
          <w:rFonts w:ascii="Arial" w:hAnsi="Arial" w:cs="Arial"/>
          <w:bCs/>
          <w:color w:val="000000"/>
          <w:sz w:val="26"/>
          <w:szCs w:val="26"/>
          <w:lang w:val="es-MX"/>
        </w:rPr>
        <w:t xml:space="preserve"> </w:t>
      </w:r>
      <w:r w:rsidR="00FF1E8A">
        <w:rPr>
          <w:rFonts w:ascii="Arial" w:eastAsia="Calibri" w:hAnsi="Arial" w:cs="Arial"/>
          <w:bCs/>
          <w:sz w:val="26"/>
          <w:szCs w:val="26"/>
        </w:rPr>
        <w:t xml:space="preserve">vigente a la fecha de inicio del juicio natural, </w:t>
      </w:r>
      <w:r w:rsidR="00FF1E8A">
        <w:rPr>
          <w:rFonts w:ascii="Arial" w:hAnsi="Arial" w:cs="Arial"/>
          <w:bCs/>
          <w:color w:val="000000"/>
          <w:sz w:val="26"/>
          <w:szCs w:val="26"/>
          <w:lang w:val="es-MX"/>
        </w:rPr>
        <w:t>por tratarse de actuaciones judiciales, se</w:t>
      </w:r>
      <w:r>
        <w:rPr>
          <w:rFonts w:ascii="Arial" w:eastAsia="Calibri" w:hAnsi="Arial" w:cs="Arial"/>
          <w:bCs/>
          <w:sz w:val="26"/>
          <w:szCs w:val="26"/>
        </w:rPr>
        <w:t xml:space="preserve"> desprende que </w:t>
      </w:r>
      <w:r w:rsidR="00FF1E8A">
        <w:rPr>
          <w:rFonts w:ascii="Arial" w:eastAsia="Calibri" w:hAnsi="Arial" w:cs="Arial"/>
          <w:bCs/>
          <w:sz w:val="26"/>
          <w:szCs w:val="26"/>
        </w:rPr>
        <w:t xml:space="preserve">el aquí recurrente </w:t>
      </w:r>
      <w:r>
        <w:rPr>
          <w:rFonts w:ascii="Arial" w:eastAsia="Calibri" w:hAnsi="Arial" w:cs="Arial"/>
          <w:bCs/>
          <w:sz w:val="26"/>
          <w:szCs w:val="26"/>
        </w:rPr>
        <w:t xml:space="preserve">nada dijo respecto de lo que destaca en el presente recurso de revisión, con lo que se concluye que los argumentos que alude constituyen </w:t>
      </w:r>
      <w:r w:rsidRPr="00FF1E8A">
        <w:rPr>
          <w:rFonts w:ascii="Arial" w:eastAsia="Calibri" w:hAnsi="Arial" w:cs="Arial"/>
          <w:b/>
          <w:bCs/>
          <w:sz w:val="26"/>
          <w:szCs w:val="26"/>
        </w:rPr>
        <w:t>cuestiones novedosas</w:t>
      </w:r>
      <w:r>
        <w:rPr>
          <w:rFonts w:ascii="Arial" w:eastAsia="Calibri" w:hAnsi="Arial" w:cs="Arial"/>
          <w:bCs/>
          <w:sz w:val="26"/>
          <w:szCs w:val="26"/>
        </w:rPr>
        <w:t xml:space="preserve"> que no fueron objeto de la litis de Primera Instancia, y que por tanto, esta superioridad está imposibilitada para pronunciarse al respecto, pues de hacerlo se estaría dando oportunidad a una de las partes a mejorar con ello los argumentos realizados en la tramitación del juicio, lo que colocaría a su contraparte en franca desventaja e indefensión, por lo que no está permitido a esta Superioridad en atención a los principios de igualdad procesal y de congruencia.</w:t>
      </w:r>
    </w:p>
    <w:p w:rsidR="00046FB1" w:rsidRDefault="00046FB1" w:rsidP="00046FB1">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tesis dictada por el Tercer Tribunal Colegiado en Materia Administrativa del Primer Circuito, en la octava época, publicada en el Semanario Judicial de la Federación, tomo VIII, septiembre de 1991, visible a página 95, cuyo rubro y texto son el siguiente:</w:t>
      </w:r>
    </w:p>
    <w:p w:rsidR="00046FB1" w:rsidRPr="008274A1" w:rsidRDefault="00046FB1" w:rsidP="00046FB1">
      <w:pPr>
        <w:widowControl w:val="0"/>
        <w:autoSpaceDE w:val="0"/>
        <w:autoSpaceDN w:val="0"/>
        <w:adjustRightInd w:val="0"/>
        <w:spacing w:after="0" w:line="360" w:lineRule="auto"/>
        <w:ind w:left="1134" w:right="616"/>
        <w:jc w:val="both"/>
        <w:rPr>
          <w:rFonts w:ascii="Arial" w:eastAsia="Times New Roman" w:hAnsi="Arial" w:cs="Times New Roman"/>
          <w:i/>
          <w:color w:val="000000"/>
        </w:rPr>
      </w:pPr>
      <w:r w:rsidRPr="008274A1">
        <w:rPr>
          <w:rFonts w:ascii="Arial" w:eastAsia="Times New Roman" w:hAnsi="Arial" w:cs="Times New Roman"/>
          <w:b/>
          <w:i/>
          <w:color w:val="000000"/>
        </w:rPr>
        <w:t xml:space="preserve">“AGRAVIOS EN LA REVISION, SON INATENDIBLES CUANDO SE PRETENDA INTRODUCIR UNA O MAS CUESTIONES QUE NO FORMEN PARTE DE LA LITIS. </w:t>
      </w:r>
      <w:r w:rsidRPr="008274A1">
        <w:rPr>
          <w:rFonts w:ascii="Arial" w:eastAsia="Times New Roman" w:hAnsi="Arial" w:cs="Times New Roman"/>
          <w:i/>
          <w:color w:val="000000"/>
        </w:rPr>
        <w:t xml:space="preserve">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la 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pretenda introducir una o más cuestiones que no formen parte de la litis,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w:t>
      </w:r>
      <w:r w:rsidRPr="008274A1">
        <w:rPr>
          <w:rFonts w:ascii="Arial" w:eastAsia="Times New Roman" w:hAnsi="Arial" w:cs="Times New Roman"/>
          <w:i/>
          <w:color w:val="000000"/>
        </w:rPr>
        <w:lastRenderedPageBreak/>
        <w:t>introducidas por virtud del recurso respectivo.”</w:t>
      </w:r>
    </w:p>
    <w:p w:rsidR="006A7D58" w:rsidRDefault="00FF1E8A" w:rsidP="0051124E">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Aunado a lo anterior, sus manifestaciones no </w:t>
      </w:r>
      <w:r w:rsidR="00635B5D">
        <w:rPr>
          <w:rFonts w:ascii="Arial" w:eastAsia="Calibri" w:hAnsi="Arial" w:cs="Arial"/>
          <w:bCs/>
          <w:sz w:val="26"/>
          <w:szCs w:val="26"/>
        </w:rPr>
        <w:t>combat</w:t>
      </w:r>
      <w:r>
        <w:rPr>
          <w:rFonts w:ascii="Arial" w:eastAsia="Calibri" w:hAnsi="Arial" w:cs="Arial"/>
          <w:bCs/>
          <w:sz w:val="26"/>
          <w:szCs w:val="26"/>
        </w:rPr>
        <w:t>en</w:t>
      </w:r>
      <w:r w:rsidR="00635B5D">
        <w:rPr>
          <w:rFonts w:ascii="Arial" w:eastAsia="Calibri" w:hAnsi="Arial" w:cs="Arial"/>
          <w:bCs/>
          <w:sz w:val="26"/>
          <w:szCs w:val="26"/>
        </w:rPr>
        <w:t xml:space="preserve"> de con argumentos lógicos – jurídicos, la consideración sustancial de la Primera Instancia para </w:t>
      </w:r>
      <w:r w:rsidR="00946C1E">
        <w:rPr>
          <w:rFonts w:ascii="Arial" w:hAnsi="Arial" w:cs="Arial"/>
          <w:color w:val="000000"/>
          <w:sz w:val="26"/>
          <w:szCs w:val="26"/>
        </w:rPr>
        <w:t xml:space="preserve">decretar </w:t>
      </w:r>
      <w:r>
        <w:rPr>
          <w:rFonts w:ascii="Arial" w:hAnsi="Arial" w:cs="Arial"/>
          <w:color w:val="000000"/>
          <w:sz w:val="26"/>
          <w:szCs w:val="26"/>
        </w:rPr>
        <w:t>el sobreseimiento</w:t>
      </w:r>
      <w:r w:rsidR="006A7D58">
        <w:rPr>
          <w:rFonts w:ascii="Arial" w:hAnsi="Arial" w:cs="Arial"/>
          <w:color w:val="000000"/>
          <w:sz w:val="26"/>
          <w:szCs w:val="26"/>
        </w:rPr>
        <w:t>;</w:t>
      </w:r>
      <w:r>
        <w:rPr>
          <w:rFonts w:ascii="Arial" w:hAnsi="Arial" w:cs="Arial"/>
          <w:color w:val="000000"/>
          <w:sz w:val="26"/>
          <w:szCs w:val="26"/>
        </w:rPr>
        <w:t xml:space="preserve"> consistente en</w:t>
      </w:r>
      <w:r w:rsidR="00A05FED">
        <w:rPr>
          <w:rFonts w:ascii="Arial" w:hAnsi="Arial" w:cs="Arial"/>
          <w:color w:val="000000"/>
          <w:sz w:val="26"/>
          <w:szCs w:val="26"/>
        </w:rPr>
        <w:t xml:space="preserve"> la declaración de legalidad de la certificación hecha por el Agente del Ministerio P</w:t>
      </w:r>
      <w:r w:rsidR="006A7D58">
        <w:rPr>
          <w:rFonts w:ascii="Arial" w:hAnsi="Arial" w:cs="Arial"/>
          <w:color w:val="000000"/>
          <w:sz w:val="26"/>
          <w:szCs w:val="26"/>
        </w:rPr>
        <w:t>úblico de la Mesa Tres de Quejas, adscrito a la Visitaduría de la Procuraduría General de Justicia del Estado, en conjunto con el Secretario de esa misma dependencia, bajos los siguientes argumentos:</w:t>
      </w:r>
    </w:p>
    <w:p w:rsidR="00FF1E8A" w:rsidRDefault="00946C1E"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color w:val="000000"/>
          <w:sz w:val="26"/>
          <w:szCs w:val="26"/>
        </w:rPr>
        <w:t>“</w:t>
      </w:r>
      <w:r w:rsidR="00FF1E8A">
        <w:rPr>
          <w:rFonts w:ascii="Arial" w:hAnsi="Arial" w:cs="Arial"/>
          <w:i/>
          <w:color w:val="000000"/>
          <w:sz w:val="24"/>
          <w:szCs w:val="24"/>
        </w:rPr>
        <w:t xml:space="preserve">De lo anterior transcrito, se advierte que tanto el Agente del Ministerio Público de la Mesa Tres de Quejas, adscrito a la Visitaduría de la Procuraduría General de Justicia del Estado, como el Secretario de la misma dependencia, certificaron que el día 25 veinticinco de febrero de 2015 dos mil quince, compareció ante ellos para notificarse </w:t>
      </w:r>
      <w:r w:rsidR="00E07406">
        <w:rPr>
          <w:rFonts w:ascii="Arial" w:hAnsi="Arial" w:cs="Arial"/>
          <w:i/>
          <w:color w:val="000000"/>
          <w:sz w:val="24"/>
          <w:szCs w:val="24"/>
        </w:rPr>
        <w:t>***********</w:t>
      </w:r>
      <w:r w:rsidR="00FF1E8A">
        <w:rPr>
          <w:rFonts w:ascii="Arial" w:hAnsi="Arial" w:cs="Arial"/>
          <w:i/>
          <w:color w:val="000000"/>
          <w:sz w:val="24"/>
          <w:szCs w:val="24"/>
        </w:rPr>
        <w:t>, y así hacerse sabedor del contenido de la resolución de fecha 9 nueve de febrero de 2015 dos mil quince,</w:t>
      </w:r>
      <w:r w:rsidR="00A05FED">
        <w:rPr>
          <w:rFonts w:ascii="Arial" w:hAnsi="Arial" w:cs="Arial"/>
          <w:i/>
          <w:color w:val="000000"/>
          <w:sz w:val="24"/>
          <w:szCs w:val="24"/>
        </w:rPr>
        <w:t xml:space="preserve"> emitida por el Procurador General de Justicia del Estado. Ahora bien dicha certificación tiene pleno valor probatorio al tenor de las siguientes consideraciones de mérito:</w:t>
      </w:r>
    </w:p>
    <w:p w:rsidR="006A7D58" w:rsidRDefault="006A7D58"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i/>
          <w:color w:val="000000"/>
          <w:sz w:val="24"/>
          <w:szCs w:val="24"/>
        </w:rPr>
        <w:t>A). En primer término, cabe mencionar que de conformidad con el artículo 5 de la Ley de Justicia Administrativa para el Estado de Oaxaca, vigente para la instrucción del presente juicio, todos los actos administrativos emitidos por autoridades competentes tendrán pleno valor probatorio en términos del artículo 173</w:t>
      </w:r>
      <w:r w:rsidR="006B59C6">
        <w:rPr>
          <w:rFonts w:ascii="Arial" w:hAnsi="Arial" w:cs="Arial"/>
          <w:i/>
          <w:color w:val="000000"/>
          <w:sz w:val="24"/>
          <w:szCs w:val="24"/>
        </w:rPr>
        <w:t xml:space="preserve"> fracción primera I de la Ley de Justicia Administrativa para el Estado de Oaxaca</w:t>
      </w:r>
      <w:r w:rsidR="00CE1CBF">
        <w:rPr>
          <w:rFonts w:ascii="Arial" w:hAnsi="Arial" w:cs="Arial"/>
          <w:i/>
          <w:color w:val="000000"/>
          <w:sz w:val="24"/>
          <w:szCs w:val="24"/>
        </w:rPr>
        <w:t>:</w:t>
      </w:r>
    </w:p>
    <w:p w:rsidR="002C3EAA" w:rsidRDefault="002C3EAA"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i/>
          <w:color w:val="000000"/>
          <w:sz w:val="24"/>
          <w:szCs w:val="24"/>
        </w:rPr>
        <w:t>…</w:t>
      </w:r>
    </w:p>
    <w:p w:rsidR="002C3EAA" w:rsidRDefault="002C3EAA"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i/>
          <w:color w:val="000000"/>
          <w:sz w:val="24"/>
          <w:szCs w:val="24"/>
        </w:rPr>
        <w:t>De lo anterior se concluye, que la legalidad de la certificación hecha por el Agente del Ministerio Público, en compañía del Secretario, deviene por ministerio de ley al constatar un documento público, emitido por autoridad competente en</w:t>
      </w:r>
      <w:r w:rsidR="008274A1">
        <w:rPr>
          <w:rFonts w:ascii="Arial" w:hAnsi="Arial" w:cs="Arial"/>
          <w:i/>
          <w:color w:val="000000"/>
          <w:sz w:val="24"/>
          <w:szCs w:val="24"/>
        </w:rPr>
        <w:t xml:space="preserve"> ejercicio de sus funciones.</w:t>
      </w:r>
    </w:p>
    <w:p w:rsidR="002C3EAA" w:rsidRDefault="002C3EAA"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i/>
          <w:color w:val="000000"/>
          <w:sz w:val="24"/>
          <w:szCs w:val="24"/>
        </w:rPr>
        <w:t>B). Por otro lado, resulta oportuno pronunciarse que la técnica jurídica dimanada de diversos Tribunales, refiere que cuando los Agentes del Ministerio Público, actúan junto con sus Secretarios, sus actuaciones tiene fe y legalidad…</w:t>
      </w:r>
    </w:p>
    <w:p w:rsidR="008274A1" w:rsidRDefault="002C3EAA" w:rsidP="006A7D58">
      <w:pPr>
        <w:tabs>
          <w:tab w:val="left" w:pos="1134"/>
          <w:tab w:val="left" w:pos="7797"/>
        </w:tabs>
        <w:spacing w:before="240" w:line="360" w:lineRule="auto"/>
        <w:ind w:left="1134" w:right="333"/>
        <w:jc w:val="both"/>
        <w:rPr>
          <w:rFonts w:ascii="Arial" w:hAnsi="Arial" w:cs="Arial"/>
          <w:i/>
          <w:color w:val="000000"/>
          <w:sz w:val="24"/>
          <w:szCs w:val="24"/>
        </w:rPr>
      </w:pPr>
      <w:r>
        <w:rPr>
          <w:rFonts w:ascii="Arial" w:hAnsi="Arial" w:cs="Arial"/>
          <w:i/>
          <w:color w:val="000000"/>
          <w:sz w:val="24"/>
          <w:szCs w:val="24"/>
        </w:rPr>
        <w:t xml:space="preserve">Ahora, de una interpretación exegética de ambas tesis, se tiene que en los dos criterios se contempla a los Secretarios </w:t>
      </w:r>
      <w:r>
        <w:rPr>
          <w:rFonts w:ascii="Arial" w:hAnsi="Arial" w:cs="Arial"/>
          <w:i/>
          <w:color w:val="000000"/>
          <w:sz w:val="24"/>
          <w:szCs w:val="24"/>
        </w:rPr>
        <w:lastRenderedPageBreak/>
        <w:t>auxiliares</w:t>
      </w:r>
      <w:r w:rsidR="007A281C">
        <w:rPr>
          <w:rFonts w:ascii="Arial" w:hAnsi="Arial" w:cs="Arial"/>
          <w:i/>
          <w:color w:val="000000"/>
          <w:sz w:val="24"/>
          <w:szCs w:val="24"/>
        </w:rPr>
        <w:t xml:space="preserve"> como fedatarios de las actuaciones en las que tiene participación el Ministerio Público. Luego entonces, </w:t>
      </w:r>
      <w:r w:rsidR="00FF766C">
        <w:rPr>
          <w:rFonts w:ascii="Arial" w:hAnsi="Arial" w:cs="Arial"/>
          <w:i/>
          <w:color w:val="000000"/>
          <w:sz w:val="24"/>
          <w:szCs w:val="24"/>
        </w:rPr>
        <w:t xml:space="preserve">dado que el diccionario Oxford define a los fedatarios como ´Notario o funcionario que tiene autoridad y competencia para aprobar o confirmar la autenticidad de un documento, un hecho, etc…; por lo tanto, se concluye que la certificación de la comparecencia espontánea del Ciudadano </w:t>
      </w:r>
      <w:r w:rsidR="00E07406">
        <w:rPr>
          <w:rFonts w:ascii="Arial" w:hAnsi="Arial" w:cs="Arial"/>
          <w:i/>
          <w:color w:val="000000"/>
          <w:sz w:val="24"/>
          <w:szCs w:val="24"/>
        </w:rPr>
        <w:t>***********</w:t>
      </w:r>
      <w:r w:rsidR="00FF766C">
        <w:rPr>
          <w:rFonts w:ascii="Arial" w:hAnsi="Arial" w:cs="Arial"/>
          <w:i/>
          <w:color w:val="000000"/>
          <w:sz w:val="24"/>
          <w:szCs w:val="24"/>
        </w:rPr>
        <w:t>, donde se dio cuenta con que el mismo recibió la resolución aquí impugnada y se negó a firma su comparecencia, tiene plena eficacia jurídica, puesto que fue firmada tanto por el Agente del Ministerio Público de la Mesa Tres de Quejas, adscrito a la Visitaduría de la Procuraduría General de Justicia del Estado, como por el Secretario de la misma dependencia, con lo que en concordancia con los criterios antes descritos, tal certificación tiene fe púb</w:t>
      </w:r>
      <w:r w:rsidR="008274A1">
        <w:rPr>
          <w:rFonts w:ascii="Arial" w:hAnsi="Arial" w:cs="Arial"/>
          <w:i/>
          <w:color w:val="000000"/>
          <w:sz w:val="24"/>
          <w:szCs w:val="24"/>
        </w:rPr>
        <w:t>lica y plena eficacia jurídica.</w:t>
      </w:r>
    </w:p>
    <w:p w:rsidR="00635B5D" w:rsidRDefault="00FF766C" w:rsidP="00FF766C">
      <w:pPr>
        <w:tabs>
          <w:tab w:val="left" w:pos="1134"/>
          <w:tab w:val="left" w:pos="7797"/>
        </w:tabs>
        <w:spacing w:before="240" w:line="360" w:lineRule="auto"/>
        <w:ind w:left="1134" w:right="333"/>
        <w:jc w:val="both"/>
        <w:rPr>
          <w:rFonts w:ascii="Arial" w:hAnsi="Arial" w:cs="Arial"/>
          <w:color w:val="000000"/>
          <w:sz w:val="26"/>
          <w:szCs w:val="26"/>
        </w:rPr>
      </w:pPr>
      <w:r>
        <w:rPr>
          <w:rFonts w:ascii="Arial" w:hAnsi="Arial" w:cs="Arial"/>
          <w:i/>
          <w:color w:val="000000"/>
          <w:sz w:val="24"/>
          <w:szCs w:val="24"/>
        </w:rPr>
        <w:t>C). En otro orden de ideas, la Primera Sala de la Suprema Corte de Justicia de la Nación, ha estimado mediante Tesis 394 que en la diligencia de notificación, el hecho de que los notificados se nieguen a firmar la diligencia, no le resta el valor probatorio a la notificación en sí misma, siempre y cuando el actuario asiente la causa, motivo, razón o circunstancia que acredite tal hecho. Así pues, de una interpretación teleológica de ese criterio Jurisprudencia, por identidad se estima que el mismo criterio aplica en el presente caso concreto, puesto que la certificación de que el hoy acto compareció para notificarse de la resolución de 9 nueve de febrero de 2015 dos mil quince, fue firmada por las autoridades legitimadas para ello y en la misma se manifiesta claramente que no fue el deseo del hoy actor, firmar su comparecencia</w:t>
      </w:r>
      <w:r w:rsidR="007D491F" w:rsidRPr="007D491F">
        <w:rPr>
          <w:rFonts w:ascii="Arial" w:hAnsi="Arial" w:cs="Arial"/>
          <w:i/>
          <w:color w:val="000000"/>
          <w:sz w:val="24"/>
          <w:szCs w:val="24"/>
        </w:rPr>
        <w:t>…</w:t>
      </w:r>
      <w:r w:rsidR="007D491F">
        <w:rPr>
          <w:rFonts w:ascii="Arial" w:hAnsi="Arial" w:cs="Arial"/>
          <w:color w:val="000000"/>
          <w:sz w:val="26"/>
          <w:szCs w:val="26"/>
        </w:rPr>
        <w:t>”</w:t>
      </w:r>
    </w:p>
    <w:p w:rsidR="00635B5D" w:rsidRDefault="00635B5D" w:rsidP="00FF766C">
      <w:pPr>
        <w:spacing w:before="240" w:line="360" w:lineRule="auto"/>
        <w:ind w:firstLine="708"/>
        <w:jc w:val="both"/>
        <w:rPr>
          <w:rFonts w:ascii="Arial" w:hAnsi="Arial" w:cs="Arial"/>
          <w:sz w:val="26"/>
          <w:szCs w:val="26"/>
        </w:rPr>
      </w:pPr>
      <w:r>
        <w:rPr>
          <w:rFonts w:ascii="Arial" w:hAnsi="Arial" w:cs="Arial"/>
          <w:sz w:val="26"/>
          <w:szCs w:val="26"/>
        </w:rPr>
        <w:t>Determinación respecto de la cual como ya se dijo</w:t>
      </w:r>
      <w:r w:rsidR="009710B3">
        <w:rPr>
          <w:rFonts w:ascii="Arial" w:hAnsi="Arial" w:cs="Arial"/>
          <w:sz w:val="26"/>
          <w:szCs w:val="26"/>
        </w:rPr>
        <w:t xml:space="preserve">, </w:t>
      </w:r>
      <w:r w:rsidR="007302A0">
        <w:rPr>
          <w:rFonts w:ascii="Arial" w:hAnsi="Arial" w:cs="Arial"/>
          <w:sz w:val="26"/>
          <w:szCs w:val="26"/>
        </w:rPr>
        <w:t>e</w:t>
      </w:r>
      <w:r w:rsidR="009710B3">
        <w:rPr>
          <w:rFonts w:ascii="Arial" w:hAnsi="Arial" w:cs="Arial"/>
          <w:sz w:val="26"/>
          <w:szCs w:val="26"/>
        </w:rPr>
        <w:t>l recurrente soslayó</w:t>
      </w:r>
      <w:r>
        <w:rPr>
          <w:rFonts w:ascii="Arial" w:hAnsi="Arial" w:cs="Arial"/>
          <w:sz w:val="26"/>
          <w:szCs w:val="26"/>
        </w:rPr>
        <w:t xml:space="preserve"> emiti</w:t>
      </w:r>
      <w:r w:rsidR="009710B3">
        <w:rPr>
          <w:rFonts w:ascii="Arial" w:hAnsi="Arial" w:cs="Arial"/>
          <w:sz w:val="26"/>
          <w:szCs w:val="26"/>
        </w:rPr>
        <w:t>r</w:t>
      </w:r>
      <w:r>
        <w:rPr>
          <w:rFonts w:ascii="Arial" w:hAnsi="Arial" w:cs="Arial"/>
          <w:sz w:val="26"/>
          <w:szCs w:val="26"/>
        </w:rPr>
        <w:t xml:space="preserve"> manifestación combativa alguna, </w:t>
      </w:r>
      <w:r w:rsidR="009710B3">
        <w:rPr>
          <w:rFonts w:ascii="Arial" w:hAnsi="Arial" w:cs="Arial"/>
          <w:sz w:val="26"/>
          <w:szCs w:val="26"/>
        </w:rPr>
        <w:t xml:space="preserve">al limitarse únicamente a señalar que </w:t>
      </w:r>
      <w:r w:rsidR="00FF766C">
        <w:rPr>
          <w:rFonts w:ascii="Arial" w:hAnsi="Arial" w:cs="Arial"/>
          <w:color w:val="000000"/>
          <w:sz w:val="26"/>
          <w:szCs w:val="26"/>
        </w:rPr>
        <w:t>la notificación de veinticinco de febrero de dos mil quince que impugnó, adolece de vicios formales y de fondo, porque el Agente del Ministerio Público de la Mesa III de Quejas de la Visitaduría de la entonces Procuraduría General de Justicia del Estado, incumplió con lo dispuesto por los artículos 73, 106, 107, 108, 109, 110 fracción X, 113 y 116 párrafo tercero del Código de Procedimientos Civiles</w:t>
      </w:r>
      <w:r>
        <w:rPr>
          <w:rFonts w:ascii="Arial" w:hAnsi="Arial" w:cs="Arial"/>
          <w:sz w:val="26"/>
          <w:szCs w:val="26"/>
        </w:rPr>
        <w:t>.</w:t>
      </w:r>
    </w:p>
    <w:p w:rsidR="00946C1E" w:rsidRPr="002B506D" w:rsidRDefault="00946C1E" w:rsidP="00946C1E">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 xml:space="preserve">IV.3o. J/12 dictada por el Tercer Tribunal Colegiado del Cuarto Circuito, publicada en la Gaceta del </w:t>
      </w:r>
      <w:r w:rsidRPr="002B506D">
        <w:rPr>
          <w:rFonts w:ascii="Arial" w:eastAsia="Times New Roman" w:hAnsi="Arial"/>
          <w:color w:val="000000" w:themeColor="text1"/>
          <w:sz w:val="26"/>
          <w:szCs w:val="26"/>
          <w:lang w:val="es-MX"/>
        </w:rPr>
        <w:lastRenderedPageBreak/>
        <w:t>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946C1E" w:rsidRPr="008274A1" w:rsidRDefault="00946C1E" w:rsidP="00946C1E">
      <w:pPr>
        <w:spacing w:line="360" w:lineRule="auto"/>
        <w:ind w:left="1134" w:right="709"/>
        <w:jc w:val="both"/>
        <w:rPr>
          <w:rFonts w:ascii="Arial" w:hAnsi="Arial" w:cs="Arial"/>
          <w:bCs/>
          <w:i/>
          <w:color w:val="000000" w:themeColor="text1"/>
          <w:lang w:val="es-MX"/>
        </w:rPr>
      </w:pPr>
      <w:r w:rsidRPr="008274A1">
        <w:rPr>
          <w:rFonts w:ascii="Arial" w:eastAsia="Times New Roman" w:hAnsi="Arial"/>
          <w:b/>
          <w:i/>
          <w:color w:val="000000" w:themeColor="text1"/>
          <w:lang w:val="es-MX"/>
        </w:rPr>
        <w:t xml:space="preserve">“AGRAVIOS. DEBEN DE IMPUGNAR LA ILEGALIDAD DEL FALLO RECURRIDO. </w:t>
      </w:r>
      <w:r w:rsidRPr="008274A1">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8274A1" w:rsidRDefault="00481481" w:rsidP="0048148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resolución alzada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vigente la inicio del juicio natural</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481481">
        <w:rPr>
          <w:rFonts w:ascii="Arial" w:hAnsi="Arial" w:cs="Arial"/>
          <w:sz w:val="26"/>
          <w:szCs w:val="26"/>
          <w:lang w:val="es-MX"/>
        </w:rPr>
        <w:t xml:space="preserve"> la resolución </w:t>
      </w:r>
      <w:r w:rsidR="001F309C">
        <w:rPr>
          <w:rFonts w:ascii="Arial" w:hAnsi="Arial" w:cs="Arial"/>
          <w:sz w:val="26"/>
          <w:szCs w:val="26"/>
          <w:lang w:val="es-MX"/>
        </w:rPr>
        <w:t>recurrid</w:t>
      </w:r>
      <w:r w:rsidR="00870705">
        <w:rPr>
          <w:rFonts w:ascii="Arial" w:hAnsi="Arial" w:cs="Arial"/>
          <w:sz w:val="26"/>
          <w:szCs w:val="26"/>
          <w:lang w:val="es-MX"/>
        </w:rPr>
        <w:t>a</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w:t>
      </w:r>
      <w:bookmarkStart w:id="0" w:name="_GoBack"/>
      <w:bookmarkEnd w:id="0"/>
      <w:r>
        <w:rPr>
          <w:rFonts w:ascii="Arial" w:hAnsi="Arial" w:cs="Arial"/>
          <w:b/>
          <w:sz w:val="26"/>
          <w:szCs w:val="26"/>
        </w:rPr>
        <w:t>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481481">
        <w:rPr>
          <w:rFonts w:ascii="Arial" w:hAnsi="Arial" w:cs="Arial"/>
          <w:sz w:val="26"/>
          <w:szCs w:val="26"/>
        </w:rPr>
        <w:t>Sexta</w:t>
      </w:r>
      <w:r w:rsidR="00870705">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8274A1" w:rsidRPr="00963BC4" w:rsidRDefault="008274A1" w:rsidP="008274A1">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274A1" w:rsidRDefault="008274A1" w:rsidP="008274A1">
      <w:pPr>
        <w:spacing w:line="360" w:lineRule="auto"/>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after="0" w:line="240" w:lineRule="auto"/>
        <w:jc w:val="center"/>
        <w:rPr>
          <w:rFonts w:ascii="Arial" w:hAnsi="Arial" w:cs="Arial"/>
          <w:sz w:val="26"/>
          <w:szCs w:val="26"/>
        </w:rPr>
      </w:pPr>
      <w:r>
        <w:rPr>
          <w:rFonts w:ascii="Arial" w:hAnsi="Arial" w:cs="Arial"/>
          <w:sz w:val="26"/>
          <w:szCs w:val="26"/>
        </w:rPr>
        <w:t>MAGISTRADO ADRIÁN QUIROGA AVENDAÑO.</w:t>
      </w:r>
    </w:p>
    <w:p w:rsidR="008274A1" w:rsidRDefault="008274A1" w:rsidP="008274A1">
      <w:pPr>
        <w:spacing w:after="0" w:line="240" w:lineRule="auto"/>
        <w:jc w:val="center"/>
        <w:rPr>
          <w:rFonts w:ascii="Arial" w:hAnsi="Arial" w:cs="Arial"/>
          <w:sz w:val="26"/>
          <w:szCs w:val="26"/>
        </w:rPr>
      </w:pPr>
      <w:r>
        <w:rPr>
          <w:rFonts w:ascii="Arial" w:hAnsi="Arial" w:cs="Arial"/>
          <w:sz w:val="26"/>
          <w:szCs w:val="26"/>
        </w:rPr>
        <w:t>PRESIDENTE</w:t>
      </w:r>
    </w:p>
    <w:p w:rsidR="008274A1" w:rsidRDefault="008274A1" w:rsidP="008274A1">
      <w:pPr>
        <w:spacing w:line="360" w:lineRule="auto"/>
        <w:rPr>
          <w:rFonts w:ascii="Arial" w:hAnsi="Arial" w:cs="Arial"/>
          <w:sz w:val="26"/>
          <w:szCs w:val="26"/>
        </w:rPr>
      </w:pPr>
    </w:p>
    <w:p w:rsidR="008274A1" w:rsidRPr="00EE116C" w:rsidRDefault="008274A1" w:rsidP="008274A1">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282/2018</w:t>
      </w:r>
    </w:p>
    <w:p w:rsidR="008274A1" w:rsidRDefault="008274A1" w:rsidP="008274A1">
      <w:pPr>
        <w:spacing w:line="360" w:lineRule="auto"/>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jc w:val="center"/>
        <w:rPr>
          <w:rFonts w:ascii="Arial" w:hAnsi="Arial" w:cs="Arial"/>
          <w:sz w:val="26"/>
          <w:szCs w:val="26"/>
        </w:rPr>
      </w:pPr>
      <w:r>
        <w:rPr>
          <w:rFonts w:ascii="Arial" w:hAnsi="Arial" w:cs="Arial"/>
          <w:sz w:val="26"/>
          <w:szCs w:val="26"/>
        </w:rPr>
        <w:t>MAGISTRADO HUGO VILLEGAS AQUINO.</w:t>
      </w:r>
    </w:p>
    <w:p w:rsidR="008274A1" w:rsidRDefault="008274A1" w:rsidP="008274A1">
      <w:pPr>
        <w:spacing w:line="360" w:lineRule="auto"/>
        <w:jc w:val="center"/>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jc w:val="center"/>
        <w:rPr>
          <w:rFonts w:ascii="Arial" w:hAnsi="Arial" w:cs="Arial"/>
          <w:sz w:val="26"/>
          <w:szCs w:val="26"/>
        </w:rPr>
      </w:pPr>
      <w:r>
        <w:rPr>
          <w:rFonts w:ascii="Arial" w:hAnsi="Arial" w:cs="Arial"/>
          <w:sz w:val="26"/>
          <w:szCs w:val="26"/>
        </w:rPr>
        <w:t>MAGISTRADO ENRIQUE PACHECO MARTÍNEZ.</w:t>
      </w:r>
    </w:p>
    <w:p w:rsidR="008274A1" w:rsidRDefault="008274A1" w:rsidP="008274A1">
      <w:pPr>
        <w:spacing w:line="360" w:lineRule="auto"/>
        <w:jc w:val="center"/>
        <w:rPr>
          <w:rFonts w:ascii="Arial" w:hAnsi="Arial" w:cs="Arial"/>
          <w:sz w:val="26"/>
          <w:szCs w:val="26"/>
        </w:rPr>
      </w:pPr>
    </w:p>
    <w:p w:rsidR="008274A1" w:rsidRDefault="008274A1" w:rsidP="008274A1">
      <w:pPr>
        <w:spacing w:line="360" w:lineRule="auto"/>
        <w:jc w:val="center"/>
        <w:rPr>
          <w:rFonts w:ascii="Arial" w:hAnsi="Arial" w:cs="Arial"/>
          <w:sz w:val="26"/>
          <w:szCs w:val="26"/>
        </w:rPr>
      </w:pPr>
    </w:p>
    <w:p w:rsidR="008274A1" w:rsidRDefault="008274A1" w:rsidP="008274A1">
      <w:pPr>
        <w:spacing w:line="360" w:lineRule="auto"/>
        <w:rPr>
          <w:rFonts w:ascii="Arial" w:hAnsi="Arial" w:cs="Arial"/>
          <w:sz w:val="26"/>
          <w:szCs w:val="26"/>
        </w:rPr>
      </w:pPr>
    </w:p>
    <w:p w:rsidR="008274A1" w:rsidRDefault="008274A1" w:rsidP="008274A1">
      <w:pPr>
        <w:spacing w:line="360" w:lineRule="auto"/>
        <w:jc w:val="center"/>
        <w:rPr>
          <w:rFonts w:ascii="Arial" w:hAnsi="Arial" w:cs="Arial"/>
          <w:sz w:val="26"/>
          <w:szCs w:val="26"/>
        </w:rPr>
      </w:pPr>
      <w:r>
        <w:rPr>
          <w:rFonts w:ascii="Arial" w:hAnsi="Arial" w:cs="Arial"/>
          <w:sz w:val="26"/>
          <w:szCs w:val="26"/>
        </w:rPr>
        <w:t>MAGISTRADA MARÍA ELENA VILLA DE JARQUÍN</w:t>
      </w:r>
    </w:p>
    <w:p w:rsidR="008274A1" w:rsidRDefault="008274A1" w:rsidP="008274A1">
      <w:pPr>
        <w:rPr>
          <w:rFonts w:ascii="Arial" w:eastAsiaTheme="minorEastAsia" w:hAnsi="Arial" w:cs="Arial"/>
          <w:sz w:val="26"/>
          <w:szCs w:val="26"/>
          <w:lang w:eastAsia="es-MX"/>
        </w:rPr>
      </w:pPr>
    </w:p>
    <w:p w:rsidR="008274A1" w:rsidRDefault="008274A1" w:rsidP="008274A1">
      <w:pPr>
        <w:rPr>
          <w:rFonts w:ascii="Arial" w:eastAsiaTheme="minorEastAsia" w:hAnsi="Arial" w:cs="Arial"/>
          <w:sz w:val="26"/>
          <w:szCs w:val="26"/>
          <w:lang w:eastAsia="es-MX"/>
        </w:rPr>
      </w:pPr>
    </w:p>
    <w:p w:rsidR="008274A1" w:rsidRDefault="008274A1" w:rsidP="008274A1">
      <w:pPr>
        <w:jc w:val="center"/>
        <w:rPr>
          <w:rFonts w:ascii="Arial" w:eastAsiaTheme="minorEastAsia" w:hAnsi="Arial" w:cs="Arial"/>
          <w:sz w:val="26"/>
          <w:szCs w:val="26"/>
          <w:lang w:eastAsia="es-MX"/>
        </w:rPr>
      </w:pPr>
    </w:p>
    <w:p w:rsidR="008274A1" w:rsidRDefault="008274A1" w:rsidP="008274A1">
      <w:pPr>
        <w:jc w:val="center"/>
        <w:rPr>
          <w:rFonts w:ascii="Arial" w:eastAsiaTheme="minorEastAsia" w:hAnsi="Arial" w:cs="Arial"/>
          <w:sz w:val="26"/>
          <w:szCs w:val="26"/>
          <w:lang w:eastAsia="es-MX"/>
        </w:rPr>
      </w:pPr>
    </w:p>
    <w:p w:rsidR="008274A1" w:rsidRDefault="008274A1" w:rsidP="008274A1">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8274A1" w:rsidRDefault="008274A1" w:rsidP="008274A1">
      <w:pPr>
        <w:rPr>
          <w:rFonts w:ascii="Arial" w:hAnsi="Arial" w:cs="Arial"/>
          <w:sz w:val="26"/>
          <w:szCs w:val="26"/>
        </w:rPr>
      </w:pPr>
    </w:p>
    <w:p w:rsidR="008274A1" w:rsidRDefault="008274A1" w:rsidP="008274A1">
      <w:pPr>
        <w:rPr>
          <w:rFonts w:ascii="Arial" w:hAnsi="Arial" w:cs="Arial"/>
          <w:sz w:val="26"/>
          <w:szCs w:val="26"/>
        </w:rPr>
      </w:pPr>
    </w:p>
    <w:p w:rsidR="008274A1" w:rsidRDefault="008274A1" w:rsidP="008274A1">
      <w:pPr>
        <w:rPr>
          <w:rFonts w:ascii="Arial" w:hAnsi="Arial" w:cs="Arial"/>
          <w:sz w:val="26"/>
          <w:szCs w:val="26"/>
        </w:rPr>
      </w:pPr>
    </w:p>
    <w:p w:rsidR="008274A1" w:rsidRDefault="008274A1" w:rsidP="008274A1">
      <w:pPr>
        <w:rPr>
          <w:rFonts w:ascii="Arial" w:hAnsi="Arial" w:cs="Arial"/>
          <w:sz w:val="26"/>
          <w:szCs w:val="26"/>
        </w:rPr>
      </w:pPr>
      <w:r>
        <w:rPr>
          <w:rFonts w:ascii="Arial" w:hAnsi="Arial" w:cs="Arial"/>
          <w:sz w:val="26"/>
          <w:szCs w:val="26"/>
        </w:rPr>
        <w:t xml:space="preserve"> </w:t>
      </w:r>
    </w:p>
    <w:p w:rsidR="008274A1" w:rsidRDefault="008274A1" w:rsidP="008274A1">
      <w:pPr>
        <w:spacing w:after="0"/>
        <w:jc w:val="center"/>
        <w:rPr>
          <w:rFonts w:ascii="Arial" w:hAnsi="Arial" w:cs="Arial"/>
          <w:sz w:val="26"/>
          <w:szCs w:val="26"/>
        </w:rPr>
      </w:pPr>
      <w:r>
        <w:rPr>
          <w:rFonts w:ascii="Arial" w:hAnsi="Arial" w:cs="Arial"/>
          <w:sz w:val="26"/>
          <w:szCs w:val="26"/>
        </w:rPr>
        <w:t>LICENCIADA SANDRA PÉREZ CRUZ.</w:t>
      </w:r>
    </w:p>
    <w:p w:rsidR="008274A1" w:rsidRDefault="008274A1" w:rsidP="008274A1">
      <w:pPr>
        <w:spacing w:after="0"/>
        <w:jc w:val="center"/>
        <w:rPr>
          <w:rFonts w:ascii="Arial" w:hAnsi="Arial" w:cs="Arial"/>
          <w:sz w:val="26"/>
          <w:szCs w:val="26"/>
        </w:rPr>
      </w:pPr>
      <w:r>
        <w:rPr>
          <w:rFonts w:ascii="Arial" w:hAnsi="Arial" w:cs="Arial"/>
          <w:sz w:val="26"/>
          <w:szCs w:val="26"/>
        </w:rPr>
        <w:t>SECRETARIA GENERAL DE ACUERDOS.</w:t>
      </w:r>
    </w:p>
    <w:p w:rsidR="008274A1" w:rsidRPr="00514BDC" w:rsidRDefault="008274A1" w:rsidP="008274A1">
      <w:pPr>
        <w:spacing w:line="360" w:lineRule="auto"/>
        <w:ind w:right="49"/>
        <w:jc w:val="both"/>
        <w:rPr>
          <w:rFonts w:ascii="Arial" w:hAnsi="Arial" w:cs="Arial"/>
          <w:sz w:val="26"/>
          <w:szCs w:val="26"/>
        </w:rPr>
      </w:pPr>
    </w:p>
    <w:p w:rsidR="00380926" w:rsidRDefault="00380926" w:rsidP="008274A1">
      <w:pPr>
        <w:spacing w:line="360" w:lineRule="auto"/>
        <w:jc w:val="both"/>
        <w:rPr>
          <w:sz w:val="26"/>
          <w:szCs w:val="26"/>
        </w:rPr>
      </w:pPr>
    </w:p>
    <w:sectPr w:rsidR="00380926" w:rsidSect="008274A1">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E3" w:rsidRDefault="00505AE3">
      <w:pPr>
        <w:spacing w:after="0" w:line="240" w:lineRule="auto"/>
      </w:pPr>
      <w:r>
        <w:separator/>
      </w:r>
    </w:p>
  </w:endnote>
  <w:endnote w:type="continuationSeparator" w:id="0">
    <w:p w:rsidR="00505AE3" w:rsidRDefault="0050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19" w:rsidRDefault="00C60019">
    <w:pPr>
      <w:pStyle w:val="Piedepgina"/>
    </w:pPr>
    <w:r>
      <w:rPr>
        <w:noProof/>
        <w:lang w:val="es-MX" w:eastAsia="es-MX"/>
      </w:rPr>
      <w:drawing>
        <wp:anchor distT="0" distB="0" distL="114300" distR="114300" simplePos="0" relativeHeight="251658240" behindDoc="0" locked="0" layoutInCell="1" allowOverlap="1" wp14:anchorId="4080BC84" wp14:editId="25CCF031">
          <wp:simplePos x="0" y="0"/>
          <wp:positionH relativeFrom="column">
            <wp:posOffset>5737860</wp:posOffset>
          </wp:positionH>
          <wp:positionV relativeFrom="paragraph">
            <wp:posOffset>-5741670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E3" w:rsidRDefault="00505AE3">
      <w:pPr>
        <w:spacing w:after="0" w:line="240" w:lineRule="auto"/>
      </w:pPr>
      <w:r>
        <w:separator/>
      </w:r>
    </w:p>
  </w:footnote>
  <w:footnote w:type="continuationSeparator" w:id="0">
    <w:p w:rsidR="00505AE3" w:rsidRDefault="00505AE3">
      <w:pPr>
        <w:spacing w:after="0" w:line="240" w:lineRule="auto"/>
      </w:pPr>
      <w:r>
        <w:continuationSeparator/>
      </w:r>
    </w:p>
  </w:footnote>
  <w:footnote w:id="1">
    <w:p w:rsidR="00FF1E8A" w:rsidRDefault="00FF1E8A" w:rsidP="00FF1E8A">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FF1E8A" w:rsidRDefault="00FF1E8A" w:rsidP="00FF1E8A">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FF1E8A" w:rsidRDefault="00FF1E8A" w:rsidP="00FF1E8A">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E07406">
          <w:rPr>
            <w:noProof/>
          </w:rPr>
          <w:t>6</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07406">
          <w:rPr>
            <w:noProof/>
          </w:rPr>
          <w:t>5</w:t>
        </w:r>
        <w:r>
          <w:rPr>
            <w:noProof/>
          </w:rPr>
          <w:fldChar w:fldCharType="end"/>
        </w:r>
      </w:p>
      <w:p w:rsidR="008C74CA" w:rsidRDefault="00E07406" w:rsidP="008C74CA">
        <w:pPr>
          <w:pStyle w:val="Encabezado"/>
          <w:jc w:val="center"/>
        </w:pPr>
      </w:p>
    </w:sdtContent>
  </w:sdt>
  <w:p w:rsidR="00256B01" w:rsidRDefault="00256B01" w:rsidP="00256B01">
    <w:pPr>
      <w:pStyle w:val="Encabezado"/>
      <w:jc w:val="center"/>
    </w:pPr>
  </w:p>
  <w:p w:rsidR="007A2B3C" w:rsidRDefault="00C60019" w:rsidP="00256B01">
    <w:pPr>
      <w:pStyle w:val="Encabezado"/>
      <w:jc w:val="center"/>
    </w:pPr>
    <w:r>
      <w:rPr>
        <w:noProof/>
        <w:lang w:val="es-MX" w:eastAsia="es-MX"/>
      </w:rPr>
      <w:drawing>
        <wp:anchor distT="0" distB="0" distL="114300" distR="114300" simplePos="0" relativeHeight="251659264" behindDoc="0" locked="0" layoutInCell="1" allowOverlap="1" wp14:anchorId="36641197" wp14:editId="38039138">
          <wp:simplePos x="0" y="0"/>
          <wp:positionH relativeFrom="column">
            <wp:posOffset>-1209675</wp:posOffset>
          </wp:positionH>
          <wp:positionV relativeFrom="paragraph">
            <wp:posOffset>5462905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2666"/>
    <w:rsid w:val="00263720"/>
    <w:rsid w:val="0026762A"/>
    <w:rsid w:val="00267A88"/>
    <w:rsid w:val="00270ACE"/>
    <w:rsid w:val="002729E4"/>
    <w:rsid w:val="00273171"/>
    <w:rsid w:val="00274366"/>
    <w:rsid w:val="002802EC"/>
    <w:rsid w:val="002805AC"/>
    <w:rsid w:val="002811D0"/>
    <w:rsid w:val="002830AA"/>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5AE3"/>
    <w:rsid w:val="005068F2"/>
    <w:rsid w:val="00510956"/>
    <w:rsid w:val="00510C9F"/>
    <w:rsid w:val="0051124E"/>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F23"/>
    <w:rsid w:val="006C31AF"/>
    <w:rsid w:val="006C3540"/>
    <w:rsid w:val="006C3C4F"/>
    <w:rsid w:val="006C4D75"/>
    <w:rsid w:val="006C4EFE"/>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5878"/>
    <w:rsid w:val="0082010D"/>
    <w:rsid w:val="00821C04"/>
    <w:rsid w:val="008274A1"/>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D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019"/>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07406"/>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B20"/>
    <w:rsid w:val="00E90E54"/>
    <w:rsid w:val="00E91FCC"/>
    <w:rsid w:val="00E91FF2"/>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7F8"/>
    <w:rsid w:val="00F83C99"/>
    <w:rsid w:val="00F841EA"/>
    <w:rsid w:val="00F8426B"/>
    <w:rsid w:val="00F849C5"/>
    <w:rsid w:val="00F8623A"/>
    <w:rsid w:val="00F8652F"/>
    <w:rsid w:val="00F87E4D"/>
    <w:rsid w:val="00F90B7E"/>
    <w:rsid w:val="00F90CCF"/>
    <w:rsid w:val="00F92334"/>
    <w:rsid w:val="00F972BF"/>
    <w:rsid w:val="00F97C07"/>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8B5BB0-A336-426E-BBC9-5F9086F3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9EFB-C917-4023-B12B-D50B0DF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7</Pages>
  <Words>2016</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191</cp:revision>
  <cp:lastPrinted>2018-11-07T17:44:00Z</cp:lastPrinted>
  <dcterms:created xsi:type="dcterms:W3CDTF">2017-09-05T18:57:00Z</dcterms:created>
  <dcterms:modified xsi:type="dcterms:W3CDTF">2019-02-05T04:41:00Z</dcterms:modified>
</cp:coreProperties>
</file>