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984" w:tblpY="1579"/>
        <w:tblW w:w="9474" w:type="dxa"/>
        <w:tblLayout w:type="fixed"/>
        <w:tblCellMar>
          <w:left w:w="70" w:type="dxa"/>
          <w:right w:w="70" w:type="dxa"/>
        </w:tblCellMar>
        <w:tblLook w:val="04A0" w:firstRow="1" w:lastRow="0" w:firstColumn="1" w:lastColumn="0" w:noHBand="0" w:noVBand="1"/>
      </w:tblPr>
      <w:tblGrid>
        <w:gridCol w:w="2282"/>
        <w:gridCol w:w="7192"/>
      </w:tblGrid>
      <w:tr w:rsidR="00BE0682" w:rsidRPr="00BE0682" w:rsidTr="00BE0682">
        <w:trPr>
          <w:trHeight w:val="3477"/>
        </w:trPr>
        <w:tc>
          <w:tcPr>
            <w:tcW w:w="2282" w:type="dxa"/>
            <w:hideMark/>
          </w:tcPr>
          <w:p w:rsidR="00BE0682" w:rsidRPr="00BE0682" w:rsidRDefault="00BE0682" w:rsidP="00BE0682">
            <w:pPr>
              <w:spacing w:after="0" w:line="240" w:lineRule="auto"/>
              <w:rPr>
                <w:rFonts w:ascii="Arial" w:hAnsi="Arial" w:cs="Arial"/>
                <w:b/>
                <w:sz w:val="26"/>
                <w:szCs w:val="26"/>
              </w:rPr>
            </w:pPr>
            <w:bookmarkStart w:id="0" w:name="_GoBack"/>
            <w:bookmarkEnd w:id="0"/>
            <w:r w:rsidRPr="00BE0682">
              <w:rPr>
                <w:rFonts w:ascii="Arial" w:hAnsi="Arial" w:cs="Arial"/>
                <w:b/>
                <w:sz w:val="26"/>
                <w:szCs w:val="26"/>
              </w:rPr>
              <w:t xml:space="preserve">     </w:t>
            </w:r>
          </w:p>
        </w:tc>
        <w:tc>
          <w:tcPr>
            <w:tcW w:w="7192" w:type="dxa"/>
          </w:tcPr>
          <w:p w:rsidR="00BE0682" w:rsidRPr="00BE0682" w:rsidRDefault="00BE0682" w:rsidP="00BE0682">
            <w:pPr>
              <w:tabs>
                <w:tab w:val="left" w:pos="3103"/>
              </w:tabs>
              <w:spacing w:after="0" w:line="240" w:lineRule="auto"/>
              <w:jc w:val="both"/>
              <w:rPr>
                <w:rFonts w:ascii="Arial" w:hAnsi="Arial" w:cs="Arial"/>
                <w:b/>
                <w:i/>
                <w:iCs/>
                <w:caps/>
                <w:sz w:val="26"/>
                <w:szCs w:val="26"/>
              </w:rPr>
            </w:pPr>
            <w:r w:rsidRPr="00BE0682">
              <w:rPr>
                <w:rFonts w:ascii="Arial" w:hAnsi="Arial" w:cs="Arial"/>
                <w:b/>
                <w:i/>
                <w:iCs/>
                <w:caps/>
                <w:sz w:val="26"/>
                <w:szCs w:val="26"/>
              </w:rPr>
              <w:t xml:space="preserve">                       </w:t>
            </w:r>
          </w:p>
          <w:p w:rsidR="00BE0682" w:rsidRPr="00BE0682" w:rsidRDefault="00BE0682" w:rsidP="00BE0682">
            <w:pPr>
              <w:tabs>
                <w:tab w:val="left" w:pos="3103"/>
              </w:tabs>
              <w:spacing w:after="0" w:line="240" w:lineRule="auto"/>
              <w:ind w:left="2113"/>
              <w:jc w:val="both"/>
              <w:rPr>
                <w:rFonts w:ascii="Arial" w:hAnsi="Arial" w:cs="Arial"/>
                <w:b/>
                <w:iCs/>
                <w:caps/>
                <w:sz w:val="26"/>
                <w:szCs w:val="26"/>
              </w:rPr>
            </w:pPr>
            <w:r w:rsidRPr="00BE0682">
              <w:rPr>
                <w:rFonts w:ascii="Arial" w:hAnsi="Arial" w:cs="Arial"/>
                <w:b/>
                <w:iCs/>
                <w:caps/>
                <w:sz w:val="26"/>
                <w:szCs w:val="26"/>
              </w:rPr>
              <w:t>SALA SUPERIOR DEL TRIBUNAL DE JUSTICIA ADMINISTRATIVA DEL ESTADO DE OAXACA.</w:t>
            </w:r>
          </w:p>
          <w:p w:rsidR="00BE0682" w:rsidRPr="00BE0682" w:rsidRDefault="00BE0682" w:rsidP="00BE0682">
            <w:pPr>
              <w:pStyle w:val="Encabezado"/>
              <w:tabs>
                <w:tab w:val="clear" w:pos="4252"/>
              </w:tabs>
              <w:spacing w:line="256" w:lineRule="auto"/>
              <w:ind w:left="2113" w:right="51"/>
              <w:jc w:val="both"/>
              <w:rPr>
                <w:rFonts w:ascii="Arial" w:hAnsi="Arial" w:cs="Arial"/>
                <w:b/>
                <w:iCs/>
                <w:caps/>
                <w:sz w:val="26"/>
                <w:szCs w:val="26"/>
                <w:lang w:val="es-PE"/>
              </w:rPr>
            </w:pPr>
            <w:r w:rsidRPr="00BE0682">
              <w:rPr>
                <w:rFonts w:ascii="Arial" w:hAnsi="Arial" w:cs="Arial"/>
                <w:b/>
                <w:iCs/>
                <w:caps/>
                <w:sz w:val="26"/>
                <w:szCs w:val="26"/>
                <w:lang w:val="es-PE"/>
              </w:rPr>
              <w:t xml:space="preserve">               </w:t>
            </w:r>
          </w:p>
          <w:p w:rsidR="00BE0682" w:rsidRPr="00BE0682" w:rsidRDefault="00BE0682" w:rsidP="00BE0682">
            <w:pPr>
              <w:pStyle w:val="Encabezado"/>
              <w:tabs>
                <w:tab w:val="clear" w:pos="4252"/>
              </w:tabs>
              <w:spacing w:line="256" w:lineRule="auto"/>
              <w:ind w:left="2113" w:right="51"/>
              <w:jc w:val="both"/>
              <w:rPr>
                <w:rFonts w:ascii="Arial" w:hAnsi="Arial" w:cs="Arial"/>
                <w:b/>
                <w:iCs/>
                <w:caps/>
                <w:sz w:val="26"/>
                <w:szCs w:val="26"/>
                <w:lang w:val="es-PE"/>
              </w:rPr>
            </w:pPr>
            <w:r w:rsidRPr="00BE0682">
              <w:rPr>
                <w:rFonts w:ascii="Arial" w:hAnsi="Arial" w:cs="Arial"/>
                <w:b/>
                <w:iCs/>
                <w:caps/>
                <w:sz w:val="26"/>
                <w:szCs w:val="26"/>
                <w:lang w:val="es-PE"/>
              </w:rPr>
              <w:t xml:space="preserve">RECURSO DE REVISIÓN:   0273/2018 </w:t>
            </w:r>
          </w:p>
          <w:p w:rsidR="00BE0682" w:rsidRPr="00BE0682" w:rsidRDefault="00BE0682" w:rsidP="00BE0682">
            <w:pPr>
              <w:pStyle w:val="Encabezado"/>
              <w:tabs>
                <w:tab w:val="clear" w:pos="4252"/>
              </w:tabs>
              <w:spacing w:line="256" w:lineRule="auto"/>
              <w:ind w:left="2113" w:right="51"/>
              <w:jc w:val="both"/>
              <w:rPr>
                <w:rFonts w:ascii="Arial" w:hAnsi="Arial" w:cs="Arial"/>
                <w:b/>
                <w:iCs/>
                <w:caps/>
                <w:sz w:val="26"/>
                <w:szCs w:val="26"/>
                <w:lang w:val="es-PE"/>
              </w:rPr>
            </w:pPr>
          </w:p>
          <w:p w:rsidR="00BE0682" w:rsidRPr="00BE0682" w:rsidRDefault="00BE0682" w:rsidP="00BE0682">
            <w:pPr>
              <w:pStyle w:val="Encabezado"/>
              <w:tabs>
                <w:tab w:val="clear" w:pos="4252"/>
              </w:tabs>
              <w:spacing w:line="256" w:lineRule="auto"/>
              <w:ind w:left="2113" w:right="51"/>
              <w:jc w:val="both"/>
              <w:rPr>
                <w:rFonts w:ascii="Arial" w:hAnsi="Arial" w:cs="Arial"/>
                <w:b/>
                <w:iCs/>
                <w:caps/>
                <w:sz w:val="26"/>
                <w:szCs w:val="26"/>
                <w:lang w:val="es-PE"/>
              </w:rPr>
            </w:pPr>
            <w:r w:rsidRPr="00BE0682">
              <w:rPr>
                <w:rFonts w:ascii="Arial" w:hAnsi="Arial" w:cs="Arial"/>
                <w:b/>
                <w:iCs/>
                <w:caps/>
                <w:sz w:val="26"/>
                <w:szCs w:val="26"/>
                <w:lang w:val="es-PE"/>
              </w:rPr>
              <w:t>EXPEDIENTE: 097/2016 DE LA SÉPTIMA SALA UNITARIA DE PRIMERA INSTANCIA</w:t>
            </w:r>
          </w:p>
          <w:p w:rsidR="00BE0682" w:rsidRPr="00BE0682" w:rsidRDefault="00BE0682" w:rsidP="00BE0682">
            <w:pPr>
              <w:pStyle w:val="Encabezado"/>
              <w:tabs>
                <w:tab w:val="clear" w:pos="4252"/>
              </w:tabs>
              <w:spacing w:line="256" w:lineRule="auto"/>
              <w:ind w:left="2113" w:right="51"/>
              <w:jc w:val="both"/>
              <w:rPr>
                <w:rFonts w:ascii="Arial" w:hAnsi="Arial" w:cs="Arial"/>
                <w:b/>
                <w:iCs/>
                <w:caps/>
                <w:sz w:val="26"/>
                <w:szCs w:val="26"/>
                <w:lang w:val="es-PE"/>
              </w:rPr>
            </w:pPr>
            <w:r w:rsidRPr="00BE0682">
              <w:rPr>
                <w:rFonts w:ascii="Arial" w:hAnsi="Arial" w:cs="Arial"/>
                <w:b/>
                <w:iCs/>
                <w:caps/>
                <w:sz w:val="26"/>
                <w:szCs w:val="26"/>
                <w:lang w:val="es-PE"/>
              </w:rPr>
              <w:t xml:space="preserve">       </w:t>
            </w:r>
          </w:p>
          <w:p w:rsidR="00BE0682" w:rsidRPr="00BE0682" w:rsidRDefault="00BE0682" w:rsidP="00BE0682">
            <w:pPr>
              <w:pStyle w:val="Encabezado"/>
              <w:tabs>
                <w:tab w:val="clear" w:pos="4252"/>
              </w:tabs>
              <w:spacing w:line="256" w:lineRule="auto"/>
              <w:ind w:left="2113" w:right="51"/>
              <w:jc w:val="both"/>
              <w:rPr>
                <w:rFonts w:ascii="Arial" w:hAnsi="Arial" w:cs="Arial"/>
                <w:b/>
                <w:iCs/>
                <w:caps/>
                <w:sz w:val="26"/>
                <w:szCs w:val="26"/>
                <w:lang w:val="es-PE"/>
              </w:rPr>
            </w:pPr>
            <w:r w:rsidRPr="00BE0682">
              <w:rPr>
                <w:rFonts w:ascii="Arial" w:hAnsi="Arial" w:cs="Arial"/>
                <w:b/>
                <w:iCs/>
                <w:caps/>
                <w:sz w:val="26"/>
                <w:szCs w:val="26"/>
                <w:lang w:val="es-PE"/>
              </w:rPr>
              <w:t>ponente: magistrado HUGO VILLEGAS AQUINO.</w:t>
            </w:r>
          </w:p>
        </w:tc>
      </w:tr>
      <w:tr w:rsidR="00BE0682" w:rsidRPr="00BE0682" w:rsidTr="00BE0682">
        <w:trPr>
          <w:trHeight w:val="277"/>
        </w:trPr>
        <w:tc>
          <w:tcPr>
            <w:tcW w:w="2282" w:type="dxa"/>
          </w:tcPr>
          <w:p w:rsidR="00BE0682" w:rsidRPr="00BE0682" w:rsidRDefault="00BE0682" w:rsidP="00BE0682">
            <w:pPr>
              <w:spacing w:after="0" w:line="240" w:lineRule="auto"/>
              <w:rPr>
                <w:rFonts w:ascii="Arial" w:hAnsi="Arial" w:cs="Arial"/>
                <w:b/>
                <w:sz w:val="26"/>
                <w:szCs w:val="26"/>
              </w:rPr>
            </w:pPr>
          </w:p>
        </w:tc>
        <w:tc>
          <w:tcPr>
            <w:tcW w:w="7192" w:type="dxa"/>
            <w:hideMark/>
          </w:tcPr>
          <w:p w:rsidR="00BE0682" w:rsidRPr="00BE0682" w:rsidRDefault="00BE0682" w:rsidP="00BE0682">
            <w:pPr>
              <w:tabs>
                <w:tab w:val="left" w:pos="3103"/>
              </w:tabs>
              <w:spacing w:after="0" w:line="240" w:lineRule="auto"/>
              <w:ind w:left="2678" w:hanging="2961"/>
              <w:jc w:val="both"/>
              <w:rPr>
                <w:rFonts w:ascii="Arial" w:hAnsi="Arial" w:cs="Arial"/>
                <w:b/>
                <w:iCs/>
                <w:caps/>
                <w:sz w:val="26"/>
                <w:szCs w:val="26"/>
              </w:rPr>
            </w:pPr>
            <w:r w:rsidRPr="00BE0682">
              <w:rPr>
                <w:rFonts w:ascii="Arial" w:hAnsi="Arial" w:cs="Arial"/>
                <w:b/>
                <w:i/>
                <w:iCs/>
                <w:caps/>
                <w:sz w:val="26"/>
                <w:szCs w:val="26"/>
              </w:rPr>
              <w:t xml:space="preserve">                                          </w:t>
            </w:r>
          </w:p>
        </w:tc>
      </w:tr>
    </w:tbl>
    <w:p w:rsidR="00BE0682" w:rsidRPr="00BE0682" w:rsidRDefault="00BE0682" w:rsidP="00BE0682">
      <w:pPr>
        <w:spacing w:line="360" w:lineRule="auto"/>
        <w:jc w:val="both"/>
        <w:rPr>
          <w:rFonts w:ascii="Arial" w:hAnsi="Arial" w:cs="Arial"/>
          <w:b/>
          <w:sz w:val="26"/>
          <w:szCs w:val="26"/>
          <w:lang w:val="es-MX"/>
        </w:rPr>
      </w:pPr>
    </w:p>
    <w:p w:rsidR="00BE0682" w:rsidRPr="00BE0682" w:rsidRDefault="00BE0682" w:rsidP="00BE0682">
      <w:pPr>
        <w:spacing w:line="360" w:lineRule="auto"/>
        <w:jc w:val="both"/>
        <w:rPr>
          <w:rFonts w:ascii="Arial" w:hAnsi="Arial" w:cs="Arial"/>
          <w:b/>
          <w:sz w:val="26"/>
          <w:szCs w:val="26"/>
          <w:lang w:val="es-MX"/>
        </w:rPr>
      </w:pPr>
      <w:r w:rsidRPr="00BE0682">
        <w:rPr>
          <w:rFonts w:ascii="Arial" w:hAnsi="Arial" w:cs="Arial"/>
          <w:b/>
          <w:sz w:val="26"/>
          <w:szCs w:val="26"/>
          <w:lang w:val="es-MX"/>
        </w:rPr>
        <w:t xml:space="preserve">OAXACA DE JUÁREZ, OAXACA, CATORCE DE MARZO DE DOS MIL DIECINUEVE. </w:t>
      </w:r>
    </w:p>
    <w:p w:rsidR="00BE0682" w:rsidRPr="00BE0682" w:rsidRDefault="00BE0682" w:rsidP="00BE0682">
      <w:pPr>
        <w:spacing w:line="360" w:lineRule="auto"/>
        <w:ind w:firstLine="708"/>
        <w:jc w:val="both"/>
        <w:rPr>
          <w:rFonts w:ascii="Arial" w:hAnsi="Arial" w:cs="Arial"/>
          <w:sz w:val="26"/>
          <w:szCs w:val="26"/>
          <w:lang w:val="es-MX"/>
        </w:rPr>
      </w:pPr>
      <w:r w:rsidRPr="00BE0682">
        <w:rPr>
          <w:rFonts w:ascii="Arial" w:hAnsi="Arial" w:cs="Arial"/>
          <w:sz w:val="26"/>
          <w:szCs w:val="26"/>
          <w:lang w:val="es-MX"/>
        </w:rPr>
        <w:t xml:space="preserve">Por recibido el Cuaderno de Revisión </w:t>
      </w:r>
      <w:r w:rsidRPr="00BE0682">
        <w:rPr>
          <w:rFonts w:ascii="Arial" w:hAnsi="Arial" w:cs="Arial"/>
          <w:b/>
          <w:sz w:val="26"/>
          <w:szCs w:val="26"/>
          <w:lang w:val="es-MX"/>
        </w:rPr>
        <w:t>0273/2018</w:t>
      </w:r>
      <w:r w:rsidRPr="00BE0682">
        <w:rPr>
          <w:rFonts w:ascii="Arial" w:hAnsi="Arial" w:cs="Arial"/>
          <w:sz w:val="26"/>
          <w:szCs w:val="26"/>
          <w:lang w:val="es-MX"/>
        </w:rPr>
        <w:t xml:space="preserve">, que remite la Secretaría General de Acuerdos, con motivo del recurso de revisión interpuesto por el </w:t>
      </w:r>
      <w:r w:rsidRPr="00BE0682">
        <w:rPr>
          <w:rFonts w:ascii="Arial" w:hAnsi="Arial" w:cs="Arial"/>
          <w:b/>
          <w:sz w:val="26"/>
          <w:szCs w:val="26"/>
          <w:lang w:val="es-MX"/>
        </w:rPr>
        <w:t xml:space="preserve">SÍNDICO SEGUNDO DEL MUNICIPIO DE OAXACA DE JUÁREZ, </w:t>
      </w:r>
      <w:r w:rsidRPr="00BE0682">
        <w:rPr>
          <w:rFonts w:ascii="Arial" w:hAnsi="Arial" w:cs="Arial"/>
          <w:sz w:val="26"/>
          <w:szCs w:val="26"/>
          <w:lang w:val="es-MX"/>
        </w:rPr>
        <w:t>personalidad que acredita con la copia certificada del Acta de Sesión Solemne de 1 uno de enero de 2017 dos mil diecisiete del Honorable Ayuntamiento de Oaxaca de Juárez, Oaxaca en términos de lo estatuido por el artículo 120 de la Ley de Justicia Administrativa para el Estado de Oaxaca y como autoridad demandada, en contra de la resolución de 6 seis de junio de 2018 dos mil dieciocho</w:t>
      </w:r>
      <w:r>
        <w:rPr>
          <w:rFonts w:ascii="Arial" w:hAnsi="Arial" w:cs="Arial"/>
          <w:sz w:val="26"/>
          <w:szCs w:val="26"/>
          <w:lang w:val="es-MX"/>
        </w:rPr>
        <w:t>,</w:t>
      </w:r>
      <w:r w:rsidRPr="00BE0682">
        <w:rPr>
          <w:rFonts w:ascii="Arial" w:hAnsi="Arial" w:cs="Arial"/>
          <w:sz w:val="26"/>
          <w:szCs w:val="26"/>
          <w:lang w:val="es-MX"/>
        </w:rPr>
        <w:t xml:space="preserve"> dictada por la Séptima Sala Unitaria del Tribunal de Justicia Administrativa del Estado de Oaxaca en el expediente </w:t>
      </w:r>
      <w:r w:rsidRPr="00BE0682">
        <w:rPr>
          <w:rFonts w:ascii="Arial" w:hAnsi="Arial" w:cs="Arial"/>
          <w:b/>
          <w:sz w:val="26"/>
          <w:szCs w:val="26"/>
          <w:lang w:val="es-MX"/>
        </w:rPr>
        <w:t>097/2016</w:t>
      </w:r>
      <w:r w:rsidRPr="00BE0682">
        <w:rPr>
          <w:rFonts w:ascii="Arial" w:hAnsi="Arial" w:cs="Arial"/>
          <w:sz w:val="26"/>
          <w:szCs w:val="26"/>
          <w:lang w:val="es-MX"/>
        </w:rPr>
        <w:t xml:space="preserve"> de su índice, relativo al juicio de nulidad promovido por </w:t>
      </w:r>
      <w:r w:rsidR="0096276C">
        <w:rPr>
          <w:rFonts w:ascii="Arial" w:hAnsi="Arial" w:cs="Arial"/>
          <w:b/>
          <w:sz w:val="26"/>
          <w:szCs w:val="26"/>
          <w:lang w:val="es-MX"/>
        </w:rPr>
        <w:t>**********</w:t>
      </w:r>
      <w:r w:rsidRPr="00BE0682">
        <w:rPr>
          <w:rFonts w:ascii="Arial" w:hAnsi="Arial" w:cs="Arial"/>
          <w:b/>
          <w:sz w:val="26"/>
          <w:szCs w:val="26"/>
          <w:lang w:val="es-MX"/>
        </w:rPr>
        <w:t xml:space="preserve">como apoderado legal de LAS CERVEZAS MODELO EN OAXACA S.A. DE C.V. </w:t>
      </w:r>
      <w:r w:rsidRPr="00BE0682">
        <w:rPr>
          <w:rFonts w:ascii="Arial" w:hAnsi="Arial" w:cs="Arial"/>
          <w:sz w:val="26"/>
          <w:szCs w:val="26"/>
          <w:lang w:val="es-MX"/>
        </w:rPr>
        <w:t xml:space="preserve">en contra del </w:t>
      </w:r>
      <w:r w:rsidRPr="00BE0682">
        <w:rPr>
          <w:rFonts w:ascii="Arial" w:hAnsi="Arial" w:cs="Arial"/>
          <w:b/>
          <w:sz w:val="26"/>
          <w:szCs w:val="26"/>
          <w:lang w:val="es-MX"/>
        </w:rPr>
        <w:t xml:space="preserve">AYUNTAMIENTO CONSTITUCIONAL DE OAXACA DE JUÁREZ OAXACA Y OTRAS AUTORIDADES; </w:t>
      </w:r>
      <w:r w:rsidRPr="00BE0682">
        <w:rPr>
          <w:rFonts w:ascii="Arial" w:hAnsi="Arial" w:cs="Arial"/>
          <w:sz w:val="26"/>
          <w:szCs w:val="26"/>
          <w:lang w:val="es-MX"/>
        </w:rPr>
        <w:t xml:space="preserve">por lo que con fundamento en los artículos 206 y 207 de la Ley de Justicia Administrativa para el Estado de Oaxaca, </w:t>
      </w:r>
      <w:r>
        <w:rPr>
          <w:rFonts w:ascii="Arial" w:hAnsi="Arial" w:cs="Arial"/>
          <w:sz w:val="26"/>
          <w:szCs w:val="26"/>
          <w:lang w:val="es-MX"/>
        </w:rPr>
        <w:t xml:space="preserve">vigente hasta el veinte de octubre de dos mil diecisiete, </w:t>
      </w:r>
      <w:r w:rsidRPr="00BE0682">
        <w:rPr>
          <w:rFonts w:ascii="Arial" w:hAnsi="Arial" w:cs="Arial"/>
          <w:sz w:val="26"/>
          <w:szCs w:val="26"/>
          <w:lang w:val="es-MX"/>
        </w:rPr>
        <w:t>se admite.  En consecuencia, se procede a dictar resolución en los siguientes términos:</w:t>
      </w:r>
    </w:p>
    <w:p w:rsidR="00BE0682" w:rsidRPr="00BE0682" w:rsidRDefault="00BE0682" w:rsidP="00BE0682">
      <w:pPr>
        <w:spacing w:line="360" w:lineRule="auto"/>
        <w:jc w:val="center"/>
        <w:rPr>
          <w:rFonts w:ascii="Arial" w:hAnsi="Arial" w:cs="Arial"/>
          <w:b/>
          <w:bCs/>
          <w:sz w:val="26"/>
          <w:szCs w:val="26"/>
          <w:lang w:val="es-MX"/>
        </w:rPr>
      </w:pPr>
      <w:r w:rsidRPr="00BE0682">
        <w:rPr>
          <w:rFonts w:ascii="Arial" w:hAnsi="Arial" w:cs="Arial"/>
          <w:b/>
          <w:bCs/>
          <w:sz w:val="26"/>
          <w:szCs w:val="26"/>
          <w:lang w:val="es-MX"/>
        </w:rPr>
        <w:t>R E S U L T A N D O</w:t>
      </w:r>
    </w:p>
    <w:p w:rsidR="00BE0682" w:rsidRPr="00BE0682" w:rsidRDefault="00BE0682" w:rsidP="00BE0682">
      <w:pPr>
        <w:spacing w:line="360" w:lineRule="auto"/>
        <w:ind w:firstLine="709"/>
        <w:jc w:val="both"/>
        <w:rPr>
          <w:rFonts w:ascii="Arial" w:hAnsi="Arial" w:cs="Arial"/>
          <w:sz w:val="26"/>
          <w:szCs w:val="26"/>
          <w:lang w:val="es-MX"/>
        </w:rPr>
      </w:pPr>
      <w:r w:rsidRPr="00BE0682">
        <w:rPr>
          <w:rFonts w:ascii="Arial" w:hAnsi="Arial" w:cs="Arial"/>
          <w:b/>
          <w:bCs/>
          <w:sz w:val="26"/>
          <w:szCs w:val="26"/>
          <w:lang w:val="es-MX"/>
        </w:rPr>
        <w:t xml:space="preserve">PRIMERO. </w:t>
      </w:r>
      <w:r w:rsidRPr="00BE0682">
        <w:rPr>
          <w:rFonts w:ascii="Arial" w:hAnsi="Arial" w:cs="Arial"/>
          <w:sz w:val="26"/>
          <w:szCs w:val="26"/>
          <w:lang w:val="es-MX"/>
        </w:rPr>
        <w:t>Inconforme con la resolución de 6 seis de junio de 2018 dos mi dieciocho</w:t>
      </w:r>
      <w:r>
        <w:rPr>
          <w:rFonts w:ascii="Arial" w:hAnsi="Arial" w:cs="Arial"/>
          <w:sz w:val="26"/>
          <w:szCs w:val="26"/>
          <w:lang w:val="es-MX"/>
        </w:rPr>
        <w:t>,</w:t>
      </w:r>
      <w:r w:rsidRPr="00BE0682">
        <w:rPr>
          <w:rFonts w:ascii="Arial" w:hAnsi="Arial" w:cs="Arial"/>
          <w:sz w:val="26"/>
          <w:szCs w:val="26"/>
          <w:lang w:val="es-MX"/>
        </w:rPr>
        <w:t xml:space="preserve"> dictada por la Séptima Sala Unitaria de Primera </w:t>
      </w:r>
      <w:r w:rsidRPr="00BE0682">
        <w:rPr>
          <w:rFonts w:ascii="Arial" w:hAnsi="Arial" w:cs="Arial"/>
          <w:sz w:val="26"/>
          <w:szCs w:val="26"/>
          <w:lang w:val="es-MX"/>
        </w:rPr>
        <w:lastRenderedPageBreak/>
        <w:t xml:space="preserve">Instancia, el </w:t>
      </w:r>
      <w:r w:rsidRPr="00BE0682">
        <w:rPr>
          <w:rFonts w:ascii="Arial" w:hAnsi="Arial" w:cs="Arial"/>
          <w:b/>
          <w:sz w:val="26"/>
          <w:szCs w:val="26"/>
          <w:lang w:val="es-MX"/>
        </w:rPr>
        <w:t>SÍNDICO SEGUNDO DEL MUNICIPIO DE OAXACA DE JUÁREZ, OAXACA</w:t>
      </w:r>
      <w:r w:rsidRPr="00BE0682">
        <w:rPr>
          <w:rFonts w:ascii="Arial" w:hAnsi="Arial" w:cs="Arial"/>
          <w:sz w:val="26"/>
          <w:szCs w:val="26"/>
          <w:lang w:val="es-MX"/>
        </w:rPr>
        <w:t xml:space="preserve">,  interpone en su contra recurso de revisión. </w:t>
      </w:r>
    </w:p>
    <w:p w:rsidR="00BE0682" w:rsidRPr="00BE0682" w:rsidRDefault="00BE0682" w:rsidP="00BE0682">
      <w:pPr>
        <w:spacing w:after="0" w:line="360" w:lineRule="auto"/>
        <w:jc w:val="both"/>
        <w:rPr>
          <w:rFonts w:ascii="Arial" w:eastAsia="Calibri" w:hAnsi="Arial" w:cs="Arial"/>
          <w:sz w:val="26"/>
          <w:szCs w:val="26"/>
        </w:rPr>
      </w:pPr>
      <w:r w:rsidRPr="00BE0682">
        <w:rPr>
          <w:rFonts w:ascii="Arial" w:hAnsi="Arial" w:cs="Arial"/>
          <w:b/>
          <w:bCs/>
          <w:sz w:val="26"/>
          <w:szCs w:val="26"/>
          <w:lang w:val="es-MX"/>
        </w:rPr>
        <w:tab/>
        <w:t xml:space="preserve">SEGUNDO.- </w:t>
      </w:r>
      <w:r w:rsidRPr="00BE0682">
        <w:rPr>
          <w:rFonts w:ascii="Arial" w:eastAsia="Calibri" w:hAnsi="Arial" w:cs="Arial"/>
          <w:sz w:val="26"/>
          <w:szCs w:val="26"/>
        </w:rPr>
        <w:t xml:space="preserve"> Los puntos resolutivos de la resolución recurrida son como siguen:               </w:t>
      </w:r>
    </w:p>
    <w:p w:rsidR="00BE0682" w:rsidRDefault="00BE0682" w:rsidP="00BE0682">
      <w:pPr>
        <w:spacing w:after="0" w:line="360" w:lineRule="auto"/>
        <w:ind w:left="851" w:right="902"/>
        <w:jc w:val="both"/>
        <w:rPr>
          <w:rFonts w:ascii="Arial" w:hAnsi="Arial" w:cs="Arial"/>
          <w:b/>
          <w:bCs/>
          <w:i/>
          <w:iCs/>
        </w:rPr>
      </w:pPr>
      <w:r w:rsidRPr="00BE0682">
        <w:rPr>
          <w:rFonts w:ascii="Arial" w:hAnsi="Arial" w:cs="Arial"/>
          <w:b/>
          <w:bCs/>
          <w:i/>
          <w:iCs/>
        </w:rPr>
        <w:t>“</w:t>
      </w:r>
    </w:p>
    <w:p w:rsidR="00BE0682" w:rsidRDefault="00BE0682" w:rsidP="00BE0682">
      <w:pPr>
        <w:spacing w:after="0" w:line="360" w:lineRule="auto"/>
        <w:ind w:left="851" w:right="902"/>
        <w:jc w:val="both"/>
        <w:rPr>
          <w:rFonts w:ascii="Arial" w:hAnsi="Arial" w:cs="Arial"/>
          <w:b/>
          <w:bCs/>
          <w:i/>
          <w:iCs/>
        </w:rPr>
      </w:pPr>
      <w:r>
        <w:rPr>
          <w:rFonts w:ascii="Arial" w:hAnsi="Arial" w:cs="Arial"/>
          <w:b/>
          <w:bCs/>
          <w:i/>
          <w:iCs/>
        </w:rPr>
        <w:t>…</w:t>
      </w:r>
    </w:p>
    <w:p w:rsidR="00BE0682" w:rsidRDefault="00BE0682" w:rsidP="00BE0682">
      <w:pPr>
        <w:spacing w:after="0" w:line="360" w:lineRule="auto"/>
        <w:ind w:left="851"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Juzgadora, es legalmente competente para conocer y resolver del presente Recurso de Queja por defecto en el cumplimiento de la sentencia dictada en este asunto. </w:t>
      </w:r>
    </w:p>
    <w:p w:rsidR="00BE0682" w:rsidRDefault="00BE0682" w:rsidP="00BE0682">
      <w:pPr>
        <w:spacing w:after="0" w:line="360" w:lineRule="auto"/>
        <w:ind w:left="851"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Al resultar fundados los agravios esgrimidos por el actor, se declara que existe defecto en el cumplimiento de la sentencia, y como consecuencia </w:t>
      </w:r>
      <w:r>
        <w:rPr>
          <w:rFonts w:ascii="Arial" w:hAnsi="Arial" w:cs="Arial"/>
          <w:b/>
          <w:bCs/>
          <w:i/>
          <w:iCs/>
        </w:rPr>
        <w:t xml:space="preserve">se deja sin efecto </w:t>
      </w:r>
      <w:r>
        <w:rPr>
          <w:rFonts w:ascii="Arial" w:hAnsi="Arial" w:cs="Arial"/>
          <w:bCs/>
          <w:i/>
          <w:iCs/>
        </w:rPr>
        <w:t xml:space="preserve">el dictamen número CVYL/177/2016, de fecha veintidós de septiembre de dos mil dieciséis (22/09/2016) emitido por los integrantes de la Comisión de Vinos y Licores del Municipio de Oaxaca de Juárez, Oaxaca, aprobado en la sesión extraordinaria celebrada por los integrantes del Cabildo del Honorable Ayuntamiento de Oaxaca de Juárez, Oaxaca el día treinta de septiembre de dos mil dieciséis (30/09/2016), y se ordena a las autoridades demandadas, emitan un nuevo dictamen en el que cumplan con las formalidades de ley y acaten lo ordenado en la sentencia dictada con fecha veintiséis de noviembre de dos mil trece (26/11/2013), confirmada el ocho de mayo de dos mil catorce (08/05/2014) por Sala Superior, de conformidad con el considerando QUINTO de esta resolución. </w:t>
      </w:r>
    </w:p>
    <w:p w:rsidR="00BE0682" w:rsidRDefault="00BE0682" w:rsidP="007E4ECE">
      <w:pPr>
        <w:spacing w:after="0" w:line="360" w:lineRule="auto"/>
        <w:ind w:left="851"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Conforme a lo dispuesto en el artículo 142 fracción I y 143 fracción I de la Ley de Justicia Administrativa para el Estado, </w:t>
      </w:r>
      <w:r>
        <w:rPr>
          <w:rFonts w:ascii="Arial" w:hAnsi="Arial" w:cs="Arial"/>
          <w:b/>
          <w:bCs/>
          <w:i/>
          <w:iCs/>
        </w:rPr>
        <w:t>NOTIFÍQUESE</w:t>
      </w:r>
      <w:r>
        <w:rPr>
          <w:rFonts w:ascii="Arial" w:hAnsi="Arial" w:cs="Arial"/>
          <w:bCs/>
          <w:i/>
          <w:iCs/>
        </w:rPr>
        <w:t xml:space="preserve"> </w:t>
      </w:r>
      <w:r>
        <w:rPr>
          <w:rFonts w:ascii="Arial" w:hAnsi="Arial" w:cs="Arial"/>
          <w:b/>
          <w:bCs/>
          <w:i/>
          <w:iCs/>
        </w:rPr>
        <w:t>PERSONALMENTE A LA PARTE ACTORA Y POR OFICIO A LAS AUTORIDADES DEMANDADAS.</w:t>
      </w:r>
      <w:r>
        <w:rPr>
          <w:rFonts w:ascii="Arial" w:hAnsi="Arial" w:cs="Arial"/>
          <w:bCs/>
          <w:i/>
          <w:iCs/>
        </w:rPr>
        <w:t xml:space="preserve"> </w:t>
      </w:r>
      <w:r>
        <w:rPr>
          <w:rFonts w:ascii="Arial" w:hAnsi="Arial" w:cs="Arial"/>
          <w:b/>
          <w:bCs/>
          <w:i/>
          <w:iCs/>
        </w:rPr>
        <w:t>CÚMPLASE. …</w:t>
      </w:r>
      <w:r>
        <w:rPr>
          <w:rFonts w:ascii="Arial" w:hAnsi="Arial" w:cs="Arial"/>
          <w:bCs/>
          <w:i/>
          <w:iCs/>
        </w:rPr>
        <w:t>”</w:t>
      </w:r>
    </w:p>
    <w:p w:rsidR="00BE0682" w:rsidRPr="00BE0682" w:rsidRDefault="00BE0682" w:rsidP="00BE0682">
      <w:pPr>
        <w:spacing w:before="240" w:line="360" w:lineRule="auto"/>
        <w:jc w:val="center"/>
        <w:rPr>
          <w:rFonts w:ascii="Arial" w:hAnsi="Arial" w:cs="Arial"/>
          <w:b/>
          <w:bCs/>
          <w:sz w:val="26"/>
          <w:szCs w:val="26"/>
          <w:lang w:val="es-MX"/>
        </w:rPr>
      </w:pPr>
      <w:r w:rsidRPr="00BE0682">
        <w:rPr>
          <w:rFonts w:ascii="Arial" w:hAnsi="Arial" w:cs="Arial"/>
          <w:b/>
          <w:bCs/>
          <w:sz w:val="26"/>
          <w:szCs w:val="26"/>
          <w:lang w:val="es-MX"/>
        </w:rPr>
        <w:t>C O N S I D E R A N D O</w:t>
      </w:r>
    </w:p>
    <w:p w:rsidR="00BE0682" w:rsidRPr="00BE0682" w:rsidRDefault="00BE0682" w:rsidP="00BE0682">
      <w:pPr>
        <w:widowControl w:val="0"/>
        <w:tabs>
          <w:tab w:val="left" w:pos="7938"/>
        </w:tabs>
        <w:spacing w:before="240" w:line="360" w:lineRule="auto"/>
        <w:ind w:right="18" w:firstLine="709"/>
        <w:jc w:val="both"/>
        <w:rPr>
          <w:rFonts w:ascii="Arial" w:hAnsi="Arial" w:cs="Arial"/>
          <w:b/>
          <w:bCs/>
          <w:iCs/>
          <w:sz w:val="26"/>
          <w:szCs w:val="26"/>
          <w:lang w:eastAsia="es-ES"/>
        </w:rPr>
      </w:pPr>
      <w:r w:rsidRPr="00BE0682">
        <w:rPr>
          <w:rFonts w:ascii="Arial" w:hAnsi="Arial" w:cs="Arial"/>
          <w:b/>
          <w:bCs/>
          <w:iCs/>
          <w:sz w:val="26"/>
          <w:szCs w:val="26"/>
        </w:rPr>
        <w:t xml:space="preserve">PRIMERO. </w:t>
      </w:r>
      <w:r w:rsidR="007E4ECE"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7E4ECE">
        <w:rPr>
          <w:rFonts w:ascii="Arial" w:hAnsi="Arial" w:cs="Arial"/>
          <w:bCs/>
          <w:iCs/>
          <w:sz w:val="26"/>
          <w:szCs w:val="26"/>
          <w:lang w:eastAsia="es-ES"/>
        </w:rPr>
        <w:t>, vigente hasta el veinte de octubre de dos mil diecisiete</w:t>
      </w:r>
      <w:r w:rsidRPr="00BE0682">
        <w:rPr>
          <w:rFonts w:ascii="Arial" w:eastAsia="Calibri" w:hAnsi="Arial" w:cs="Arial"/>
          <w:bCs/>
          <w:iCs/>
          <w:sz w:val="26"/>
          <w:szCs w:val="26"/>
          <w:lang w:eastAsia="es-ES"/>
        </w:rPr>
        <w:t>;</w:t>
      </w:r>
      <w:r w:rsidRPr="00BE0682">
        <w:rPr>
          <w:rFonts w:ascii="Arial" w:hAnsi="Arial" w:cs="Arial"/>
          <w:bCs/>
          <w:iCs/>
          <w:sz w:val="26"/>
          <w:szCs w:val="26"/>
          <w:lang w:eastAsia="es-ES"/>
        </w:rPr>
        <w:t xml:space="preserve"> dado que se trata de un Recurso de Revisión interpuesto en contra la resolución de 6 seis de </w:t>
      </w:r>
      <w:r w:rsidRPr="00BE0682">
        <w:rPr>
          <w:rFonts w:ascii="Arial" w:hAnsi="Arial" w:cs="Arial"/>
          <w:bCs/>
          <w:iCs/>
          <w:sz w:val="26"/>
          <w:szCs w:val="26"/>
          <w:lang w:eastAsia="es-ES"/>
        </w:rPr>
        <w:lastRenderedPageBreak/>
        <w:t>junio de 2018 dos mil dieciocho</w:t>
      </w:r>
      <w:r w:rsidR="007E4ECE">
        <w:rPr>
          <w:rFonts w:ascii="Arial" w:hAnsi="Arial" w:cs="Arial"/>
          <w:bCs/>
          <w:iCs/>
          <w:sz w:val="26"/>
          <w:szCs w:val="26"/>
          <w:lang w:eastAsia="es-ES"/>
        </w:rPr>
        <w:t>,</w:t>
      </w:r>
      <w:r w:rsidRPr="00BE0682">
        <w:rPr>
          <w:rFonts w:ascii="Arial" w:hAnsi="Arial" w:cs="Arial"/>
          <w:bCs/>
          <w:iCs/>
          <w:sz w:val="26"/>
          <w:szCs w:val="26"/>
          <w:lang w:eastAsia="es-ES"/>
        </w:rPr>
        <w:t xml:space="preserve"> dictada por la Séptima Sala Unitaria de Primera Instancia en el juicio </w:t>
      </w:r>
      <w:r w:rsidRPr="00BE0682">
        <w:rPr>
          <w:rFonts w:ascii="Arial" w:hAnsi="Arial" w:cs="Arial"/>
          <w:b/>
          <w:bCs/>
          <w:iCs/>
          <w:sz w:val="26"/>
          <w:szCs w:val="26"/>
          <w:lang w:eastAsia="es-ES"/>
        </w:rPr>
        <w:t>0097/2016.</w:t>
      </w:r>
    </w:p>
    <w:p w:rsidR="00BE0682" w:rsidRPr="00BE0682" w:rsidRDefault="00BE0682" w:rsidP="00BE0682">
      <w:pPr>
        <w:widowControl w:val="0"/>
        <w:tabs>
          <w:tab w:val="left" w:pos="7938"/>
        </w:tabs>
        <w:spacing w:before="240" w:line="360" w:lineRule="auto"/>
        <w:ind w:right="18" w:firstLine="709"/>
        <w:jc w:val="both"/>
        <w:rPr>
          <w:rFonts w:ascii="Arial" w:hAnsi="Arial" w:cs="Arial"/>
          <w:bCs/>
          <w:sz w:val="26"/>
          <w:szCs w:val="26"/>
        </w:rPr>
      </w:pPr>
      <w:r w:rsidRPr="00BE0682">
        <w:rPr>
          <w:rFonts w:ascii="Arial" w:hAnsi="Arial" w:cs="Arial"/>
          <w:b/>
          <w:bCs/>
          <w:sz w:val="26"/>
          <w:szCs w:val="26"/>
          <w:lang w:val="es-MX"/>
        </w:rPr>
        <w:t>SEGUNDO.</w:t>
      </w:r>
      <w:r w:rsidRPr="00BE0682">
        <w:rPr>
          <w:rFonts w:ascii="Arial" w:hAnsi="Arial" w:cs="Arial"/>
          <w:bCs/>
          <w:sz w:val="26"/>
          <w:szCs w:val="26"/>
          <w:lang w:val="es-MX"/>
        </w:rPr>
        <w:t xml:space="preserve"> </w:t>
      </w:r>
      <w:r w:rsidRPr="00BE0682">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BE0682">
        <w:rPr>
          <w:rFonts w:ascii="Arial" w:hAnsi="Arial" w:cs="Arial"/>
          <w:sz w:val="26"/>
          <w:szCs w:val="26"/>
        </w:rPr>
        <w:t>.</w:t>
      </w:r>
    </w:p>
    <w:p w:rsidR="00BE0682" w:rsidRPr="00BE0682" w:rsidRDefault="00BE0682" w:rsidP="00BE0682">
      <w:pPr>
        <w:spacing w:line="360" w:lineRule="auto"/>
        <w:ind w:firstLine="709"/>
        <w:jc w:val="both"/>
        <w:rPr>
          <w:rFonts w:ascii="Arial" w:hAnsi="Arial" w:cs="Arial"/>
          <w:bCs/>
          <w:sz w:val="26"/>
          <w:szCs w:val="26"/>
          <w:lang w:val="es-MX"/>
        </w:rPr>
      </w:pPr>
      <w:r w:rsidRPr="00BE0682">
        <w:rPr>
          <w:rFonts w:ascii="Arial" w:hAnsi="Arial" w:cs="Arial"/>
          <w:b/>
          <w:bCs/>
          <w:sz w:val="26"/>
          <w:szCs w:val="26"/>
          <w:lang w:val="es-MX"/>
        </w:rPr>
        <w:t xml:space="preserve">TERCERO.  </w:t>
      </w:r>
      <w:r w:rsidRPr="00BE0682">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BE0682" w:rsidRPr="00BE0682" w:rsidRDefault="00BE0682" w:rsidP="00BE0682">
      <w:pPr>
        <w:spacing w:line="360" w:lineRule="auto"/>
        <w:ind w:firstLine="709"/>
        <w:jc w:val="both"/>
        <w:rPr>
          <w:rFonts w:ascii="Arial" w:hAnsi="Arial" w:cs="Arial"/>
          <w:bCs/>
          <w:sz w:val="26"/>
          <w:szCs w:val="26"/>
          <w:lang w:val="es-MX"/>
        </w:rPr>
      </w:pPr>
      <w:r w:rsidRPr="00BE0682">
        <w:rPr>
          <w:rFonts w:ascii="Arial" w:hAnsi="Arial" w:cs="Arial"/>
          <w:b/>
          <w:bCs/>
          <w:sz w:val="26"/>
          <w:szCs w:val="26"/>
          <w:lang w:val="es-MX"/>
        </w:rPr>
        <w:t xml:space="preserve">CUARTO. </w:t>
      </w:r>
      <w:r w:rsidRPr="00BE0682">
        <w:rPr>
          <w:rFonts w:ascii="Arial" w:hAnsi="Arial" w:cs="Arial"/>
          <w:bCs/>
          <w:sz w:val="26"/>
          <w:szCs w:val="26"/>
          <w:lang w:val="es-MX"/>
        </w:rPr>
        <w:t>Previo al análisis del libelo de inconformidades es preciso destacar que la resolución alzada se trata de aquélla que resuelve el recurso de queja tramitado en la primera instancia, respecto al cumplimiento de la sentencia de 26 veintiséis de noviembre de 2013 dos mil trece. En este sentido, se hace necesario establecer que el artículo 206 de la Ley de Justicia Administrativa para el Estado de Oaxaca, prevé en su texto lo siguiente:</w:t>
      </w:r>
    </w:p>
    <w:p w:rsidR="00BE0682" w:rsidRDefault="00BE0682" w:rsidP="007E4ECE">
      <w:pPr>
        <w:spacing w:after="0"/>
        <w:ind w:left="851" w:right="1183"/>
        <w:jc w:val="both"/>
        <w:rPr>
          <w:rFonts w:ascii="Arial" w:hAnsi="Arial" w:cs="Arial"/>
          <w:i/>
        </w:rPr>
      </w:pPr>
      <w:r>
        <w:rPr>
          <w:rFonts w:ascii="Arial" w:hAnsi="Arial" w:cs="Arial"/>
          <w:i/>
        </w:rPr>
        <w:t xml:space="preserve">“Artículo 206.- Contra los acuerdos y resoluciones dictados por las salas unitarias de primera instancia, procede el recurso de revisión, cuyo conocimiento y resolución corresponde a la Sala Superior. </w:t>
      </w:r>
    </w:p>
    <w:p w:rsidR="00BE0682" w:rsidRDefault="00BE0682" w:rsidP="007E4ECE">
      <w:pPr>
        <w:spacing w:after="0"/>
        <w:ind w:left="851" w:right="1183"/>
        <w:jc w:val="both"/>
        <w:rPr>
          <w:rFonts w:ascii="Arial" w:hAnsi="Arial" w:cs="Arial"/>
          <w:i/>
        </w:rPr>
      </w:pPr>
      <w:r>
        <w:rPr>
          <w:rFonts w:ascii="Arial" w:hAnsi="Arial" w:cs="Arial"/>
          <w:i/>
        </w:rPr>
        <w:t>Podrán ser impugnadas por las partes, mediante recurso de revisión:</w:t>
      </w:r>
    </w:p>
    <w:p w:rsidR="00BE0682" w:rsidRDefault="00BE0682" w:rsidP="007E4ECE">
      <w:pPr>
        <w:spacing w:after="0"/>
        <w:ind w:left="851" w:right="1183"/>
        <w:jc w:val="both"/>
        <w:rPr>
          <w:rFonts w:ascii="Arial" w:hAnsi="Arial" w:cs="Arial"/>
          <w:i/>
        </w:rPr>
      </w:pPr>
      <w:r>
        <w:rPr>
          <w:rFonts w:ascii="Arial" w:hAnsi="Arial" w:cs="Arial"/>
          <w:i/>
        </w:rPr>
        <w:t xml:space="preserve">I.- Los acuerdos que admitan o desechen la demanda, su contestación o ampliación; </w:t>
      </w:r>
    </w:p>
    <w:p w:rsidR="00BE0682" w:rsidRDefault="00BE0682" w:rsidP="007E4ECE">
      <w:pPr>
        <w:spacing w:after="0"/>
        <w:ind w:left="851" w:right="1183"/>
        <w:jc w:val="both"/>
        <w:rPr>
          <w:rFonts w:ascii="Arial" w:hAnsi="Arial" w:cs="Arial"/>
          <w:i/>
        </w:rPr>
      </w:pPr>
      <w:r>
        <w:rPr>
          <w:rFonts w:ascii="Arial" w:hAnsi="Arial" w:cs="Arial"/>
          <w:i/>
        </w:rPr>
        <w:t>II.- El acuerdo que deseche pruebas;</w:t>
      </w:r>
    </w:p>
    <w:p w:rsidR="00BE0682" w:rsidRDefault="00BE0682" w:rsidP="007E4ECE">
      <w:pPr>
        <w:spacing w:after="0"/>
        <w:ind w:left="851" w:right="1183"/>
        <w:jc w:val="both"/>
        <w:rPr>
          <w:rFonts w:ascii="Arial" w:hAnsi="Arial" w:cs="Arial"/>
          <w:i/>
        </w:rPr>
      </w:pPr>
      <w:r>
        <w:rPr>
          <w:rFonts w:ascii="Arial" w:hAnsi="Arial" w:cs="Arial"/>
          <w:i/>
        </w:rPr>
        <w:t xml:space="preserve"> III.- El acuerdo que rechace la intervención del tercero; </w:t>
      </w:r>
    </w:p>
    <w:p w:rsidR="00BE0682" w:rsidRDefault="00BE0682" w:rsidP="007E4ECE">
      <w:pPr>
        <w:spacing w:after="0"/>
        <w:ind w:left="851" w:right="1183"/>
        <w:jc w:val="both"/>
        <w:rPr>
          <w:rFonts w:ascii="Arial" w:hAnsi="Arial" w:cs="Arial"/>
          <w:i/>
        </w:rPr>
      </w:pPr>
      <w:r>
        <w:rPr>
          <w:rFonts w:ascii="Arial" w:hAnsi="Arial" w:cs="Arial"/>
          <w:i/>
        </w:rPr>
        <w:t xml:space="preserve">IV.- Los acuerdos que decreten, nieguen o revoquen la suspensión; </w:t>
      </w:r>
    </w:p>
    <w:p w:rsidR="00BE0682" w:rsidRDefault="00BE0682" w:rsidP="007E4ECE">
      <w:pPr>
        <w:spacing w:after="0"/>
        <w:ind w:left="851" w:right="1183"/>
        <w:jc w:val="both"/>
        <w:rPr>
          <w:rFonts w:ascii="Arial" w:hAnsi="Arial" w:cs="Arial"/>
          <w:i/>
        </w:rPr>
      </w:pPr>
      <w:r>
        <w:rPr>
          <w:rFonts w:ascii="Arial" w:hAnsi="Arial" w:cs="Arial"/>
          <w:i/>
        </w:rPr>
        <w:t xml:space="preserve">V.- Las resoluciones que decidan incidentes; </w:t>
      </w:r>
    </w:p>
    <w:p w:rsidR="00BE0682" w:rsidRDefault="00BE0682" w:rsidP="007E4ECE">
      <w:pPr>
        <w:spacing w:after="0"/>
        <w:ind w:left="851" w:right="1183"/>
        <w:jc w:val="both"/>
        <w:rPr>
          <w:rFonts w:ascii="Arial" w:hAnsi="Arial" w:cs="Arial"/>
          <w:i/>
        </w:rPr>
      </w:pPr>
      <w:r>
        <w:rPr>
          <w:rFonts w:ascii="Arial" w:hAnsi="Arial" w:cs="Arial"/>
          <w:i/>
        </w:rPr>
        <w:t xml:space="preserve">VI.- Las resoluciones que decreten o nieguen el sobreseimiento; </w:t>
      </w:r>
    </w:p>
    <w:p w:rsidR="00BE0682" w:rsidRDefault="00BE0682" w:rsidP="007E4ECE">
      <w:pPr>
        <w:spacing w:after="0"/>
        <w:ind w:left="851" w:right="1183"/>
        <w:jc w:val="both"/>
        <w:rPr>
          <w:rFonts w:ascii="Arial" w:hAnsi="Arial" w:cs="Arial"/>
          <w:i/>
        </w:rPr>
      </w:pPr>
      <w:r>
        <w:rPr>
          <w:rFonts w:ascii="Arial" w:hAnsi="Arial" w:cs="Arial"/>
          <w:i/>
        </w:rPr>
        <w:lastRenderedPageBreak/>
        <w:t xml:space="preserve">VII.- Las sentencias que decidan la cuestión planteada. Por violaciones cometidas durante el procedimiento del juicio, cuando hayan dejado sin defensa al recurrente y trasciendan al sentido de la sentencia; y </w:t>
      </w:r>
    </w:p>
    <w:p w:rsidR="00BE0682" w:rsidRDefault="00BE0682" w:rsidP="007E4ECE">
      <w:pPr>
        <w:spacing w:after="0"/>
        <w:ind w:left="851" w:right="1183"/>
        <w:jc w:val="both"/>
        <w:rPr>
          <w:rFonts w:ascii="Arial" w:hAnsi="Arial" w:cs="Arial"/>
          <w:i/>
        </w:rPr>
      </w:pPr>
      <w:r>
        <w:rPr>
          <w:rFonts w:ascii="Arial" w:hAnsi="Arial" w:cs="Arial"/>
          <w:i/>
        </w:rPr>
        <w:t>VIII.- Las resoluciones que pongan fin al procedimiento de ejecución de la sentencia.”</w:t>
      </w:r>
    </w:p>
    <w:p w:rsidR="007E4ECE" w:rsidRPr="007E4ECE" w:rsidRDefault="007E4ECE" w:rsidP="007E4ECE">
      <w:pPr>
        <w:spacing w:after="0"/>
        <w:ind w:left="851" w:right="1183"/>
        <w:jc w:val="both"/>
        <w:rPr>
          <w:rFonts w:ascii="Arial" w:hAnsi="Arial" w:cs="Arial"/>
          <w:i/>
          <w:sz w:val="26"/>
          <w:szCs w:val="26"/>
        </w:rPr>
      </w:pPr>
    </w:p>
    <w:p w:rsidR="00BE0682" w:rsidRPr="00BE0682" w:rsidRDefault="00BE0682" w:rsidP="00BE0682">
      <w:pPr>
        <w:spacing w:line="360" w:lineRule="auto"/>
        <w:ind w:firstLine="709"/>
        <w:jc w:val="both"/>
        <w:rPr>
          <w:rFonts w:ascii="Arial" w:hAnsi="Arial" w:cs="Arial"/>
          <w:bCs/>
          <w:sz w:val="26"/>
          <w:szCs w:val="26"/>
        </w:rPr>
      </w:pPr>
      <w:r w:rsidRPr="00BE0682">
        <w:rPr>
          <w:rFonts w:ascii="Arial" w:hAnsi="Arial" w:cs="Arial"/>
          <w:bCs/>
          <w:sz w:val="26"/>
          <w:szCs w:val="26"/>
        </w:rPr>
        <w:t xml:space="preserve">Importa lo anterior porque el recurso de revisión que aquí se promueve está planteado en contra de la resolución que resuelve el recurso de queja, luego, en términos del artículo antes transcripto, esta determinación no es controvertible vía recurso de revisión. En consecuencia, se </w:t>
      </w:r>
      <w:r w:rsidRPr="00BE0682">
        <w:rPr>
          <w:rFonts w:ascii="Arial" w:hAnsi="Arial" w:cs="Arial"/>
          <w:b/>
          <w:bCs/>
          <w:sz w:val="26"/>
          <w:szCs w:val="26"/>
        </w:rPr>
        <w:t xml:space="preserve">DESECHA </w:t>
      </w:r>
      <w:r w:rsidRPr="00BE0682">
        <w:rPr>
          <w:rFonts w:ascii="Arial" w:hAnsi="Arial" w:cs="Arial"/>
          <w:bCs/>
          <w:sz w:val="26"/>
          <w:szCs w:val="26"/>
        </w:rPr>
        <w:t xml:space="preserve">por </w:t>
      </w:r>
      <w:r w:rsidRPr="00BE0682">
        <w:rPr>
          <w:rFonts w:ascii="Arial" w:hAnsi="Arial" w:cs="Arial"/>
          <w:b/>
          <w:bCs/>
          <w:sz w:val="26"/>
          <w:szCs w:val="26"/>
        </w:rPr>
        <w:t xml:space="preserve">IMPROCEDENTE </w:t>
      </w:r>
      <w:r w:rsidRPr="00BE0682">
        <w:rPr>
          <w:rFonts w:ascii="Arial" w:hAnsi="Arial" w:cs="Arial"/>
          <w:bCs/>
          <w:sz w:val="26"/>
          <w:szCs w:val="26"/>
        </w:rPr>
        <w:t xml:space="preserve">el presente medio de defensa. </w:t>
      </w:r>
    </w:p>
    <w:p w:rsidR="00BE0682" w:rsidRDefault="00BE0682" w:rsidP="007E4ECE">
      <w:pPr>
        <w:spacing w:after="0" w:line="360" w:lineRule="auto"/>
        <w:ind w:firstLine="708"/>
        <w:jc w:val="both"/>
        <w:rPr>
          <w:rFonts w:ascii="Arial" w:eastAsia="Calibri" w:hAnsi="Arial" w:cs="Arial"/>
          <w:sz w:val="26"/>
          <w:szCs w:val="26"/>
        </w:rPr>
      </w:pPr>
      <w:r w:rsidRPr="00BE0682">
        <w:rPr>
          <w:rFonts w:ascii="Arial" w:eastAsia="Calibri" w:hAnsi="Arial" w:cs="Arial"/>
          <w:sz w:val="26"/>
          <w:szCs w:val="26"/>
        </w:rPr>
        <w:t>Con fundamento en los artículos 207 y 208 de la Ley de Justicia Administrativa para el Estado de Oaxaca,</w:t>
      </w:r>
      <w:r w:rsidR="007E4ECE">
        <w:rPr>
          <w:rFonts w:ascii="Arial" w:eastAsia="Calibri" w:hAnsi="Arial" w:cs="Arial"/>
          <w:sz w:val="26"/>
          <w:szCs w:val="26"/>
        </w:rPr>
        <w:t xml:space="preserve"> vigente al inicio del juicio principal,</w:t>
      </w:r>
      <w:r w:rsidRPr="00BE0682">
        <w:rPr>
          <w:rFonts w:ascii="Arial" w:eastAsia="Calibri" w:hAnsi="Arial" w:cs="Arial"/>
          <w:sz w:val="26"/>
          <w:szCs w:val="26"/>
        </w:rPr>
        <w:t xml:space="preserve"> se:</w:t>
      </w:r>
    </w:p>
    <w:p w:rsidR="00BE0682" w:rsidRPr="005735C3" w:rsidRDefault="00BE0682" w:rsidP="00BE0682">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5735C3">
        <w:rPr>
          <w:rFonts w:ascii="Arial" w:eastAsia="Calibri" w:hAnsi="Arial" w:cs="Arial"/>
          <w:b/>
          <w:sz w:val="26"/>
          <w:szCs w:val="26"/>
          <w:lang w:val="es-MX"/>
        </w:rPr>
        <w:t>R E S U E L V E</w:t>
      </w:r>
    </w:p>
    <w:p w:rsidR="00BE0682" w:rsidRPr="00BE0682" w:rsidRDefault="00BE0682" w:rsidP="00BE0682">
      <w:pPr>
        <w:spacing w:after="0" w:line="360" w:lineRule="auto"/>
        <w:jc w:val="both"/>
        <w:rPr>
          <w:rFonts w:ascii="Arial" w:eastAsia="Calibri" w:hAnsi="Arial" w:cs="Arial"/>
          <w:sz w:val="26"/>
          <w:szCs w:val="26"/>
        </w:rPr>
      </w:pPr>
    </w:p>
    <w:p w:rsidR="00BE0682" w:rsidRDefault="00BE0682" w:rsidP="00BE0682">
      <w:pPr>
        <w:spacing w:line="360" w:lineRule="auto"/>
        <w:ind w:firstLine="709"/>
        <w:jc w:val="both"/>
        <w:rPr>
          <w:rFonts w:ascii="Arial" w:eastAsia="Calibri" w:hAnsi="Arial" w:cs="Arial"/>
          <w:sz w:val="26"/>
          <w:szCs w:val="26"/>
        </w:rPr>
      </w:pPr>
      <w:r w:rsidRPr="00BE0682">
        <w:rPr>
          <w:rFonts w:ascii="Arial" w:eastAsia="Calibri" w:hAnsi="Arial" w:cs="Arial"/>
          <w:b/>
          <w:sz w:val="26"/>
          <w:szCs w:val="26"/>
        </w:rPr>
        <w:t>PRIMERO</w:t>
      </w:r>
      <w:r w:rsidRPr="00BE0682">
        <w:rPr>
          <w:rFonts w:ascii="Arial" w:eastAsia="Calibri" w:hAnsi="Arial" w:cs="Arial"/>
          <w:sz w:val="26"/>
          <w:szCs w:val="26"/>
        </w:rPr>
        <w:t xml:space="preserve">. Se </w:t>
      </w:r>
      <w:r w:rsidRPr="00BE0682">
        <w:rPr>
          <w:rFonts w:ascii="Arial" w:eastAsia="Calibri" w:hAnsi="Arial" w:cs="Arial"/>
          <w:b/>
          <w:sz w:val="26"/>
          <w:szCs w:val="26"/>
        </w:rPr>
        <w:t xml:space="preserve">DESECHA </w:t>
      </w:r>
      <w:r w:rsidRPr="00BE0682">
        <w:rPr>
          <w:rFonts w:ascii="Arial" w:eastAsia="Calibri" w:hAnsi="Arial" w:cs="Arial"/>
          <w:sz w:val="26"/>
          <w:szCs w:val="26"/>
        </w:rPr>
        <w:t xml:space="preserve">por </w:t>
      </w:r>
      <w:r w:rsidRPr="00BE0682">
        <w:rPr>
          <w:rFonts w:ascii="Arial" w:eastAsia="Calibri" w:hAnsi="Arial" w:cs="Arial"/>
          <w:b/>
          <w:sz w:val="26"/>
          <w:szCs w:val="26"/>
        </w:rPr>
        <w:t xml:space="preserve">IMPROCEDENTE </w:t>
      </w:r>
      <w:r w:rsidRPr="00BE0682">
        <w:rPr>
          <w:rFonts w:ascii="Arial" w:eastAsia="Calibri" w:hAnsi="Arial" w:cs="Arial"/>
          <w:sz w:val="26"/>
          <w:szCs w:val="26"/>
        </w:rPr>
        <w:t xml:space="preserve">el recurso de revisión, </w:t>
      </w:r>
      <w:r w:rsidRPr="00BE0682">
        <w:rPr>
          <w:rFonts w:ascii="Arial" w:eastAsia="Calibri" w:hAnsi="Arial" w:cs="Arial"/>
          <w:sz w:val="26"/>
          <w:szCs w:val="26"/>
          <w:lang w:eastAsia="es-ES"/>
        </w:rPr>
        <w:t>por las razones expuestas en el considerando que antecede</w:t>
      </w:r>
      <w:r w:rsidRPr="00BE0682">
        <w:rPr>
          <w:rFonts w:ascii="Arial" w:eastAsia="Calibri" w:hAnsi="Arial" w:cs="Arial"/>
          <w:sz w:val="26"/>
          <w:szCs w:val="26"/>
        </w:rPr>
        <w:t>.</w:t>
      </w:r>
    </w:p>
    <w:p w:rsidR="00BE0682" w:rsidRPr="00BE0682" w:rsidRDefault="00BE0682" w:rsidP="00BE0682">
      <w:pPr>
        <w:spacing w:before="240" w:line="360" w:lineRule="auto"/>
        <w:ind w:firstLine="708"/>
        <w:jc w:val="both"/>
        <w:rPr>
          <w:rFonts w:ascii="Arial" w:eastAsia="Calibri" w:hAnsi="Arial" w:cs="Arial"/>
          <w:sz w:val="26"/>
          <w:szCs w:val="26"/>
        </w:rPr>
      </w:pPr>
      <w:r w:rsidRPr="00BE0682">
        <w:rPr>
          <w:rFonts w:ascii="Arial" w:hAnsi="Arial" w:cs="Arial"/>
          <w:b/>
          <w:sz w:val="26"/>
          <w:szCs w:val="26"/>
        </w:rPr>
        <w:t xml:space="preserve">SEGUNDO. NOTIFÍQUESE </w:t>
      </w:r>
      <w:r w:rsidR="007E4ECE">
        <w:rPr>
          <w:rFonts w:ascii="Arial" w:hAnsi="Arial" w:cs="Arial"/>
          <w:sz w:val="26"/>
          <w:szCs w:val="26"/>
        </w:rPr>
        <w:t>a las partes l</w:t>
      </w:r>
      <w:r w:rsidRPr="00BE0682">
        <w:rPr>
          <w:rFonts w:ascii="Arial" w:hAnsi="Arial" w:cs="Arial"/>
          <w:sz w:val="26"/>
          <w:szCs w:val="26"/>
        </w:rPr>
        <w:t>a presente resolución atendiendo lo resuelto en el considerando TERCERO de la actual resolución</w:t>
      </w:r>
      <w:r>
        <w:rPr>
          <w:rFonts w:ascii="Arial" w:hAnsi="Arial" w:cs="Arial"/>
          <w:b/>
          <w:sz w:val="26"/>
          <w:szCs w:val="26"/>
        </w:rPr>
        <w:t xml:space="preserve"> y CÚ</w:t>
      </w:r>
      <w:r w:rsidRPr="00BE0682">
        <w:rPr>
          <w:rFonts w:ascii="Arial" w:hAnsi="Arial" w:cs="Arial"/>
          <w:b/>
          <w:sz w:val="26"/>
          <w:szCs w:val="26"/>
        </w:rPr>
        <w:t xml:space="preserve">MPLASE. </w:t>
      </w:r>
      <w:r w:rsidRPr="00BE0682">
        <w:rPr>
          <w:rFonts w:ascii="Arial" w:hAnsi="Arial" w:cs="Arial"/>
          <w:sz w:val="26"/>
          <w:szCs w:val="26"/>
        </w:rPr>
        <w:t xml:space="preserve">Con copia certificada de la presente resolución, vuelvan las constancias remitidas a la Séptima Sala Unitaria de Primera Instancia, </w:t>
      </w:r>
      <w:r w:rsidRPr="00BE0682">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1B1F0B" w:rsidRPr="005735C3" w:rsidRDefault="001B1F0B" w:rsidP="001B1F0B">
      <w:pPr>
        <w:spacing w:after="0" w:line="360" w:lineRule="auto"/>
        <w:ind w:firstLine="708"/>
        <w:jc w:val="both"/>
        <w:rPr>
          <w:rFonts w:ascii="Arial" w:eastAsia="Times New Roman" w:hAnsi="Arial" w:cs="Arial"/>
          <w:sz w:val="26"/>
          <w:szCs w:val="26"/>
          <w:lang w:eastAsia="es-MX"/>
        </w:rPr>
      </w:pPr>
      <w:r w:rsidRPr="005735C3">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5735C3" w:rsidRDefault="005735C3"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Pr="008F10B1" w:rsidRDefault="007E4ECE" w:rsidP="007E4ECE">
      <w:pPr>
        <w:spacing w:after="0" w:line="360" w:lineRule="auto"/>
        <w:jc w:val="center"/>
        <w:rPr>
          <w:rFonts w:ascii="Arial" w:hAnsi="Arial" w:cs="Arial"/>
          <w:b/>
          <w:sz w:val="14"/>
          <w:szCs w:val="26"/>
        </w:rPr>
      </w:pPr>
      <w:r w:rsidRPr="008F10B1">
        <w:rPr>
          <w:rFonts w:ascii="Arial" w:hAnsi="Arial" w:cs="Arial"/>
          <w:b/>
          <w:sz w:val="14"/>
          <w:szCs w:val="26"/>
        </w:rPr>
        <w:t xml:space="preserve">LAS PRESENTES FIRMAS CORRESPONDEN </w:t>
      </w:r>
      <w:r>
        <w:rPr>
          <w:rFonts w:ascii="Arial" w:hAnsi="Arial" w:cs="Arial"/>
          <w:b/>
          <w:sz w:val="14"/>
          <w:szCs w:val="26"/>
        </w:rPr>
        <w:t>AL RECURSO DE REVISIÓN 273/2018</w:t>
      </w: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rPr>
          <w:rFonts w:ascii="Arial" w:hAnsi="Arial" w:cs="Arial"/>
          <w:sz w:val="26"/>
          <w:szCs w:val="26"/>
        </w:rPr>
      </w:pPr>
    </w:p>
    <w:p w:rsidR="008F10B1" w:rsidRDefault="008F10B1" w:rsidP="007E4ECE">
      <w:pPr>
        <w:spacing w:after="0" w:line="360" w:lineRule="auto"/>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8F10B1" w:rsidRDefault="008F10B1" w:rsidP="001B1F0B">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1B1F0B" w:rsidRPr="0031002D" w:rsidRDefault="001B1F0B" w:rsidP="001B1F0B">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B454A" w:rsidRDefault="00AB454A" w:rsidP="001B1F0B">
      <w:pPr>
        <w:spacing w:before="240" w:line="360" w:lineRule="auto"/>
        <w:ind w:right="49" w:firstLine="708"/>
        <w:jc w:val="both"/>
        <w:rPr>
          <w:rFonts w:ascii="Arial" w:hAnsi="Arial" w:cs="Arial"/>
          <w:sz w:val="26"/>
          <w:szCs w:val="26"/>
        </w:rPr>
      </w:pPr>
    </w:p>
    <w:sectPr w:rsidR="00AB454A" w:rsidSect="00BE0682">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6A" w:rsidRDefault="0039786A">
      <w:pPr>
        <w:spacing w:after="0" w:line="240" w:lineRule="auto"/>
      </w:pPr>
      <w:r>
        <w:separator/>
      </w:r>
    </w:p>
  </w:endnote>
  <w:endnote w:type="continuationSeparator" w:id="0">
    <w:p w:rsidR="0039786A" w:rsidRDefault="0039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AD" w:rsidRDefault="00EA6C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AD" w:rsidRDefault="00EA6CAD">
    <w:pPr>
      <w:pStyle w:val="Piedepgina"/>
    </w:pPr>
    <w:r>
      <w:rPr>
        <w:noProof/>
        <w:lang w:val="es-MX" w:eastAsia="es-MX"/>
      </w:rPr>
      <w:drawing>
        <wp:anchor distT="0" distB="0" distL="114300" distR="114300" simplePos="0" relativeHeight="251666944" behindDoc="0" locked="0" layoutInCell="1" allowOverlap="1" wp14:anchorId="0B2907E2" wp14:editId="40202F62">
          <wp:simplePos x="0" y="0"/>
          <wp:positionH relativeFrom="column">
            <wp:posOffset>-1449705</wp:posOffset>
          </wp:positionH>
          <wp:positionV relativeFrom="paragraph">
            <wp:posOffset>-4362450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AD" w:rsidRDefault="00EA6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6A" w:rsidRDefault="0039786A">
      <w:pPr>
        <w:spacing w:after="0" w:line="240" w:lineRule="auto"/>
      </w:pPr>
      <w:r>
        <w:separator/>
      </w:r>
    </w:p>
  </w:footnote>
  <w:footnote w:type="continuationSeparator" w:id="0">
    <w:p w:rsidR="0039786A" w:rsidRDefault="00397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EA6CAD" w:rsidP="00D25099">
        <w:pPr>
          <w:pStyle w:val="Encabezado"/>
          <w:jc w:val="center"/>
        </w:pPr>
        <w:r>
          <w:rPr>
            <w:noProof/>
            <w:lang w:val="es-MX" w:eastAsia="es-MX"/>
          </w:rPr>
          <w:drawing>
            <wp:anchor distT="0" distB="0" distL="114300" distR="114300" simplePos="0" relativeHeight="251675136" behindDoc="0" locked="0" layoutInCell="1" allowOverlap="1" wp14:anchorId="218035A6" wp14:editId="4E96E484">
              <wp:simplePos x="0" y="0"/>
              <wp:positionH relativeFrom="column">
                <wp:posOffset>5253990</wp:posOffset>
              </wp:positionH>
              <wp:positionV relativeFrom="paragraph">
                <wp:posOffset>5234305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B51EB4">
          <w:rPr>
            <w:noProof/>
          </w:rPr>
          <w:t>4</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B51EB4">
          <w:rPr>
            <w:noProof/>
          </w:rPr>
          <w:t>1</w:t>
        </w:r>
        <w:r>
          <w:rPr>
            <w:noProof/>
          </w:rPr>
          <w:fldChar w:fldCharType="end"/>
        </w:r>
      </w:p>
      <w:p w:rsidR="00EA6CAD" w:rsidRDefault="00B51EB4" w:rsidP="008C74CA">
        <w:pPr>
          <w:pStyle w:val="Encabezado"/>
          <w:jc w:val="center"/>
        </w:pPr>
      </w:p>
    </w:sdtContent>
  </w:sdt>
  <w:p w:rsidR="00A45DEB" w:rsidRDefault="00A45DEB" w:rsidP="008C74CA">
    <w:pPr>
      <w:pStyle w:val="Encabezado"/>
      <w:jc w:val="center"/>
    </w:pPr>
  </w:p>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3872" behindDoc="1" locked="0" layoutInCell="1" allowOverlap="1" wp14:anchorId="55303B4D" wp14:editId="365FEF1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1962F67B" wp14:editId="049692F8">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AD" w:rsidRDefault="00EA6C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8"/>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26C"/>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9786A"/>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5C3"/>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2D55"/>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4ECE"/>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0B1"/>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276C"/>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1EB4"/>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682"/>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6CAD"/>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66997477">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425867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105C-1A0C-493B-87DC-F6255E17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TotalTime>
  <Pages>5</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409</cp:revision>
  <cp:lastPrinted>2019-04-09T16:18:00Z</cp:lastPrinted>
  <dcterms:created xsi:type="dcterms:W3CDTF">2017-09-05T18:57:00Z</dcterms:created>
  <dcterms:modified xsi:type="dcterms:W3CDTF">2019-04-09T16:19:00Z</dcterms:modified>
</cp:coreProperties>
</file>