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012"/>
        <w:tblW w:w="8434" w:type="dxa"/>
        <w:tblLayout w:type="fixed"/>
        <w:tblCellMar>
          <w:left w:w="70" w:type="dxa"/>
          <w:right w:w="70" w:type="dxa"/>
        </w:tblCellMar>
        <w:tblLook w:val="0000" w:firstRow="0" w:lastRow="0" w:firstColumn="0" w:lastColumn="0" w:noHBand="0" w:noVBand="0"/>
      </w:tblPr>
      <w:tblGrid>
        <w:gridCol w:w="2356"/>
        <w:gridCol w:w="6078"/>
      </w:tblGrid>
      <w:tr w:rsidR="00585CE9" w:rsidRPr="00B12560" w:rsidTr="00585CE9">
        <w:tc>
          <w:tcPr>
            <w:tcW w:w="2356" w:type="dxa"/>
          </w:tcPr>
          <w:p w:rsidR="00585CE9" w:rsidRPr="00B12560" w:rsidRDefault="00585CE9" w:rsidP="00585CE9">
            <w:pPr>
              <w:spacing w:after="0" w:line="240" w:lineRule="auto"/>
              <w:rPr>
                <w:rFonts w:ascii="Arial" w:hAnsi="Arial" w:cs="Arial"/>
                <w:b/>
                <w:sz w:val="26"/>
                <w:szCs w:val="26"/>
              </w:rPr>
            </w:pPr>
            <w:r w:rsidRPr="00B12560">
              <w:rPr>
                <w:rFonts w:ascii="Arial" w:hAnsi="Arial" w:cs="Arial"/>
                <w:b/>
                <w:sz w:val="26"/>
                <w:szCs w:val="26"/>
              </w:rPr>
              <w:t xml:space="preserve">      </w:t>
            </w:r>
          </w:p>
        </w:tc>
        <w:tc>
          <w:tcPr>
            <w:tcW w:w="6078" w:type="dxa"/>
          </w:tcPr>
          <w:p w:rsidR="00585CE9" w:rsidRPr="00B12560" w:rsidRDefault="00585CE9" w:rsidP="00585CE9">
            <w:pPr>
              <w:tabs>
                <w:tab w:val="left" w:pos="3103"/>
              </w:tabs>
              <w:spacing w:after="0" w:line="240" w:lineRule="auto"/>
              <w:ind w:left="1755" w:right="711"/>
              <w:jc w:val="both"/>
              <w:rPr>
                <w:rFonts w:ascii="Arial" w:hAnsi="Arial" w:cs="Arial"/>
                <w:b/>
                <w:i/>
                <w:iCs/>
                <w:caps/>
                <w:sz w:val="26"/>
                <w:szCs w:val="26"/>
              </w:rPr>
            </w:pPr>
            <w:r w:rsidRPr="00B12560">
              <w:rPr>
                <w:rFonts w:ascii="Arial" w:hAnsi="Arial" w:cs="Arial"/>
                <w:b/>
                <w:i/>
                <w:iCs/>
                <w:caps/>
                <w:sz w:val="26"/>
                <w:szCs w:val="26"/>
              </w:rPr>
              <w:t xml:space="preserve">                       </w:t>
            </w:r>
          </w:p>
          <w:p w:rsidR="00585CE9" w:rsidRPr="00A04ADC" w:rsidRDefault="00585CE9" w:rsidP="00585CE9">
            <w:pPr>
              <w:tabs>
                <w:tab w:val="left" w:pos="1613"/>
              </w:tabs>
              <w:spacing w:after="0" w:line="240" w:lineRule="auto"/>
              <w:ind w:left="621"/>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585CE9" w:rsidRPr="00A04ADC" w:rsidRDefault="00585CE9" w:rsidP="00585CE9">
            <w:pPr>
              <w:pStyle w:val="Encabezado"/>
              <w:tabs>
                <w:tab w:val="clear" w:pos="4252"/>
              </w:tabs>
              <w:ind w:left="62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585CE9" w:rsidRPr="00A04ADC" w:rsidRDefault="00585CE9" w:rsidP="00585CE9">
            <w:pPr>
              <w:pStyle w:val="Encabezado"/>
              <w:tabs>
                <w:tab w:val="clear" w:pos="4252"/>
              </w:tabs>
              <w:ind w:left="621"/>
              <w:jc w:val="both"/>
              <w:rPr>
                <w:rFonts w:ascii="Arial" w:hAnsi="Arial" w:cs="Arial"/>
                <w:b/>
                <w:iCs/>
                <w:caps/>
                <w:sz w:val="26"/>
                <w:szCs w:val="26"/>
                <w:lang w:val="es-PE"/>
              </w:rPr>
            </w:pPr>
            <w:r w:rsidRPr="00A04ADC">
              <w:rPr>
                <w:rFonts w:ascii="Arial" w:hAnsi="Arial" w:cs="Arial"/>
                <w:b/>
                <w:iCs/>
                <w:caps/>
                <w:sz w:val="26"/>
                <w:szCs w:val="26"/>
                <w:lang w:val="es-PE"/>
              </w:rPr>
              <w:t>RECURSO DE REVISIÓN:   0</w:t>
            </w:r>
            <w:r>
              <w:rPr>
                <w:rFonts w:ascii="Arial" w:hAnsi="Arial" w:cs="Arial"/>
                <w:b/>
                <w:iCs/>
                <w:caps/>
                <w:sz w:val="26"/>
                <w:szCs w:val="26"/>
                <w:lang w:val="es-PE"/>
              </w:rPr>
              <w:t>264</w:t>
            </w:r>
            <w:r w:rsidRPr="00A04ADC">
              <w:rPr>
                <w:rFonts w:ascii="Arial" w:hAnsi="Arial" w:cs="Arial"/>
                <w:b/>
                <w:iCs/>
                <w:caps/>
                <w:sz w:val="26"/>
                <w:szCs w:val="26"/>
                <w:lang w:val="es-PE"/>
              </w:rPr>
              <w:t>/201</w:t>
            </w:r>
            <w:r>
              <w:rPr>
                <w:rFonts w:ascii="Arial" w:hAnsi="Arial" w:cs="Arial"/>
                <w:b/>
                <w:iCs/>
                <w:caps/>
                <w:sz w:val="26"/>
                <w:szCs w:val="26"/>
                <w:lang w:val="es-PE"/>
              </w:rPr>
              <w:t>8</w:t>
            </w:r>
            <w:r w:rsidRPr="00A04ADC">
              <w:rPr>
                <w:rFonts w:ascii="Arial" w:hAnsi="Arial" w:cs="Arial"/>
                <w:b/>
                <w:iCs/>
                <w:caps/>
                <w:sz w:val="26"/>
                <w:szCs w:val="26"/>
                <w:lang w:val="es-PE"/>
              </w:rPr>
              <w:t xml:space="preserve"> </w:t>
            </w:r>
          </w:p>
          <w:p w:rsidR="00585CE9" w:rsidRPr="00A04ADC" w:rsidRDefault="00585CE9" w:rsidP="00585CE9">
            <w:pPr>
              <w:pStyle w:val="Encabezado"/>
              <w:tabs>
                <w:tab w:val="clear" w:pos="4252"/>
              </w:tabs>
              <w:ind w:left="621"/>
              <w:jc w:val="both"/>
              <w:rPr>
                <w:rFonts w:ascii="Arial" w:hAnsi="Arial" w:cs="Arial"/>
                <w:b/>
                <w:iCs/>
                <w:caps/>
                <w:sz w:val="26"/>
                <w:szCs w:val="26"/>
                <w:lang w:val="es-PE"/>
              </w:rPr>
            </w:pPr>
          </w:p>
          <w:p w:rsidR="00585CE9" w:rsidRPr="00A04ADC" w:rsidRDefault="00585CE9" w:rsidP="00585CE9">
            <w:pPr>
              <w:pStyle w:val="Encabezado"/>
              <w:tabs>
                <w:tab w:val="clear" w:pos="4252"/>
              </w:tabs>
              <w:ind w:left="621"/>
              <w:jc w:val="both"/>
              <w:rPr>
                <w:rFonts w:ascii="Arial" w:hAnsi="Arial" w:cs="Arial"/>
                <w:b/>
                <w:iCs/>
                <w:caps/>
                <w:sz w:val="26"/>
                <w:szCs w:val="26"/>
                <w:lang w:val="es-PE"/>
              </w:rPr>
            </w:pPr>
            <w:r w:rsidRPr="00A04ADC">
              <w:rPr>
                <w:rFonts w:ascii="Arial" w:hAnsi="Arial" w:cs="Arial"/>
                <w:b/>
                <w:iCs/>
                <w:caps/>
                <w:sz w:val="26"/>
                <w:szCs w:val="26"/>
                <w:lang w:val="es-PE"/>
              </w:rPr>
              <w:t>EXPEDIENTE: 0</w:t>
            </w:r>
            <w:r>
              <w:rPr>
                <w:rFonts w:ascii="Arial" w:hAnsi="Arial" w:cs="Arial"/>
                <w:b/>
                <w:iCs/>
                <w:caps/>
                <w:sz w:val="26"/>
                <w:szCs w:val="26"/>
                <w:lang w:val="es-PE"/>
              </w:rPr>
              <w:t>130</w:t>
            </w:r>
            <w:r w:rsidRPr="00A04ADC">
              <w:rPr>
                <w:rFonts w:ascii="Arial" w:hAnsi="Arial" w:cs="Arial"/>
                <w:b/>
                <w:iCs/>
                <w:caps/>
                <w:sz w:val="26"/>
                <w:szCs w:val="26"/>
                <w:lang w:val="es-PE"/>
              </w:rPr>
              <w:t>/201</w:t>
            </w:r>
            <w:r>
              <w:rPr>
                <w:rFonts w:ascii="Arial" w:hAnsi="Arial" w:cs="Arial"/>
                <w:b/>
                <w:iCs/>
                <w:caps/>
                <w:sz w:val="26"/>
                <w:szCs w:val="26"/>
                <w:lang w:val="es-PE"/>
              </w:rPr>
              <w:t>7</w:t>
            </w:r>
            <w:r w:rsidRPr="00A04ADC">
              <w:rPr>
                <w:rFonts w:ascii="Arial" w:hAnsi="Arial" w:cs="Arial"/>
                <w:b/>
                <w:iCs/>
                <w:caps/>
                <w:sz w:val="26"/>
                <w:szCs w:val="26"/>
                <w:lang w:val="es-PE"/>
              </w:rPr>
              <w:t xml:space="preserve"> DE LA </w:t>
            </w:r>
            <w:r>
              <w:rPr>
                <w:rFonts w:ascii="Arial" w:hAnsi="Arial" w:cs="Arial"/>
                <w:b/>
                <w:iCs/>
                <w:caps/>
                <w:sz w:val="26"/>
                <w:szCs w:val="26"/>
                <w:lang w:val="es-PE"/>
              </w:rPr>
              <w:t>PRIMERA</w:t>
            </w:r>
            <w:r w:rsidRPr="00A04ADC">
              <w:rPr>
                <w:rFonts w:ascii="Arial" w:hAnsi="Arial" w:cs="Arial"/>
                <w:b/>
                <w:iCs/>
                <w:caps/>
                <w:sz w:val="26"/>
                <w:szCs w:val="26"/>
                <w:lang w:val="es-PE"/>
              </w:rPr>
              <w:t xml:space="preserve"> SALA UNITARIA DE PRIMERA INSTANCIA</w:t>
            </w:r>
          </w:p>
          <w:p w:rsidR="00585CE9" w:rsidRPr="00A04ADC" w:rsidRDefault="00585CE9" w:rsidP="00585CE9">
            <w:pPr>
              <w:pStyle w:val="Encabezado"/>
              <w:tabs>
                <w:tab w:val="clear" w:pos="4252"/>
              </w:tabs>
              <w:ind w:left="62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585CE9" w:rsidRDefault="00585CE9" w:rsidP="00585CE9">
            <w:pPr>
              <w:spacing w:line="240" w:lineRule="auto"/>
              <w:ind w:left="621"/>
              <w:jc w:val="both"/>
              <w:rPr>
                <w:rFonts w:ascii="Arial" w:hAnsi="Arial" w:cs="Arial"/>
                <w:b/>
                <w:sz w:val="26"/>
                <w:szCs w:val="26"/>
              </w:rPr>
            </w:pPr>
            <w:r>
              <w:rPr>
                <w:rFonts w:ascii="Arial" w:hAnsi="Arial" w:cs="Arial"/>
                <w:b/>
                <w:iCs/>
                <w:caps/>
                <w:sz w:val="26"/>
                <w:szCs w:val="26"/>
                <w:lang w:val="es-PE"/>
              </w:rPr>
              <w:t xml:space="preserve">ponente: </w:t>
            </w:r>
            <w:r w:rsidR="00CD41CD">
              <w:rPr>
                <w:rFonts w:ascii="Arial" w:hAnsi="Arial" w:cs="Arial"/>
                <w:b/>
                <w:iCs/>
                <w:caps/>
                <w:sz w:val="26"/>
                <w:szCs w:val="26"/>
                <w:lang w:val="es-PE"/>
              </w:rPr>
              <w:t xml:space="preserve"> magistrado </w:t>
            </w:r>
            <w:r>
              <w:rPr>
                <w:rFonts w:ascii="Arial" w:hAnsi="Arial" w:cs="Arial"/>
                <w:b/>
                <w:iCs/>
                <w:caps/>
                <w:sz w:val="26"/>
                <w:szCs w:val="26"/>
                <w:lang w:val="es-PE"/>
              </w:rPr>
              <w:t>MANUEL VELASCO ALCÁNTARA</w:t>
            </w:r>
          </w:p>
          <w:p w:rsidR="00585CE9" w:rsidRPr="000161D7" w:rsidRDefault="00585CE9" w:rsidP="00585CE9">
            <w:pPr>
              <w:pStyle w:val="Encabezado"/>
              <w:tabs>
                <w:tab w:val="clear" w:pos="4252"/>
              </w:tabs>
              <w:ind w:left="1755" w:right="711"/>
              <w:jc w:val="both"/>
              <w:rPr>
                <w:rFonts w:ascii="Arial" w:hAnsi="Arial" w:cs="Arial"/>
                <w:b/>
                <w:iCs/>
                <w:caps/>
                <w:sz w:val="26"/>
                <w:szCs w:val="26"/>
                <w:lang w:val="es-PE"/>
              </w:rPr>
            </w:pPr>
          </w:p>
        </w:tc>
      </w:tr>
      <w:tr w:rsidR="00585CE9" w:rsidRPr="00B12560" w:rsidTr="00585CE9">
        <w:tc>
          <w:tcPr>
            <w:tcW w:w="2356" w:type="dxa"/>
          </w:tcPr>
          <w:p w:rsidR="00585CE9" w:rsidRPr="00B12560" w:rsidRDefault="00585CE9" w:rsidP="00585CE9">
            <w:pPr>
              <w:spacing w:after="0" w:line="240" w:lineRule="auto"/>
              <w:rPr>
                <w:rFonts w:ascii="Arial" w:hAnsi="Arial" w:cs="Arial"/>
                <w:b/>
                <w:sz w:val="26"/>
                <w:szCs w:val="26"/>
              </w:rPr>
            </w:pPr>
          </w:p>
        </w:tc>
        <w:tc>
          <w:tcPr>
            <w:tcW w:w="6078" w:type="dxa"/>
          </w:tcPr>
          <w:p w:rsidR="00585CE9" w:rsidRPr="00B12560" w:rsidRDefault="00585CE9" w:rsidP="00585CE9">
            <w:pPr>
              <w:tabs>
                <w:tab w:val="left" w:pos="3103"/>
              </w:tabs>
              <w:spacing w:after="0" w:line="240" w:lineRule="auto"/>
              <w:ind w:left="2678" w:hanging="2961"/>
              <w:jc w:val="both"/>
              <w:rPr>
                <w:rFonts w:ascii="Arial" w:hAnsi="Arial" w:cs="Arial"/>
                <w:b/>
                <w:iCs/>
                <w:caps/>
                <w:sz w:val="26"/>
                <w:szCs w:val="26"/>
              </w:rPr>
            </w:pPr>
            <w:r w:rsidRPr="00B12560">
              <w:rPr>
                <w:rFonts w:ascii="Arial" w:hAnsi="Arial" w:cs="Arial"/>
                <w:b/>
                <w:i/>
                <w:iCs/>
                <w:caps/>
                <w:sz w:val="26"/>
                <w:szCs w:val="26"/>
              </w:rPr>
              <w:t xml:space="preserve">                                          </w:t>
            </w:r>
          </w:p>
        </w:tc>
      </w:tr>
    </w:tbl>
    <w:p w:rsidR="00585CE9" w:rsidRPr="000161D7" w:rsidRDefault="00CD41CD" w:rsidP="00585CE9">
      <w:pPr>
        <w:spacing w:line="360" w:lineRule="auto"/>
        <w:jc w:val="both"/>
        <w:rPr>
          <w:rFonts w:ascii="Arial" w:hAnsi="Arial" w:cs="Arial"/>
          <w:b/>
          <w:sz w:val="26"/>
          <w:szCs w:val="26"/>
        </w:rPr>
      </w:pPr>
      <w:r>
        <w:rPr>
          <w:rFonts w:ascii="Arial" w:hAnsi="Arial" w:cs="Arial"/>
          <w:b/>
          <w:sz w:val="26"/>
          <w:szCs w:val="26"/>
        </w:rPr>
        <w:t>OAXACA DE JUÁREZ, OAXACA,</w:t>
      </w:r>
      <w:r w:rsidR="00585CE9" w:rsidRPr="000161D7">
        <w:rPr>
          <w:rFonts w:ascii="Arial" w:hAnsi="Arial" w:cs="Arial"/>
          <w:b/>
          <w:sz w:val="26"/>
          <w:szCs w:val="26"/>
        </w:rPr>
        <w:t xml:space="preserve"> </w:t>
      </w:r>
      <w:r w:rsidR="00585CE9">
        <w:rPr>
          <w:rFonts w:ascii="Arial" w:hAnsi="Arial" w:cs="Arial"/>
          <w:b/>
          <w:sz w:val="26"/>
          <w:szCs w:val="26"/>
        </w:rPr>
        <w:t xml:space="preserve">DOCE </w:t>
      </w:r>
      <w:r w:rsidR="00585CE9" w:rsidRPr="000161D7">
        <w:rPr>
          <w:rFonts w:ascii="Arial" w:hAnsi="Arial" w:cs="Arial"/>
          <w:b/>
          <w:sz w:val="26"/>
          <w:szCs w:val="26"/>
        </w:rPr>
        <w:t xml:space="preserve">DE </w:t>
      </w:r>
      <w:r w:rsidR="00585CE9">
        <w:rPr>
          <w:rFonts w:ascii="Arial" w:hAnsi="Arial" w:cs="Arial"/>
          <w:b/>
          <w:sz w:val="26"/>
          <w:szCs w:val="26"/>
        </w:rPr>
        <w:t>ABRIL</w:t>
      </w:r>
      <w:r w:rsidR="00585CE9" w:rsidRPr="000161D7">
        <w:rPr>
          <w:rFonts w:ascii="Arial" w:hAnsi="Arial" w:cs="Arial"/>
          <w:b/>
          <w:sz w:val="26"/>
          <w:szCs w:val="26"/>
        </w:rPr>
        <w:t xml:space="preserve"> </w:t>
      </w:r>
      <w:r w:rsidR="00585CE9">
        <w:rPr>
          <w:rFonts w:ascii="Arial" w:hAnsi="Arial" w:cs="Arial"/>
          <w:b/>
          <w:sz w:val="26"/>
          <w:szCs w:val="26"/>
        </w:rPr>
        <w:t>DE</w:t>
      </w:r>
      <w:r w:rsidR="00585CE9" w:rsidRPr="000161D7">
        <w:rPr>
          <w:rFonts w:ascii="Arial" w:hAnsi="Arial" w:cs="Arial"/>
          <w:b/>
          <w:sz w:val="26"/>
          <w:szCs w:val="26"/>
        </w:rPr>
        <w:t xml:space="preserve"> DOS MIL DIECI</w:t>
      </w:r>
      <w:r w:rsidR="00585CE9">
        <w:rPr>
          <w:rFonts w:ascii="Arial" w:hAnsi="Arial" w:cs="Arial"/>
          <w:b/>
          <w:sz w:val="26"/>
          <w:szCs w:val="26"/>
        </w:rPr>
        <w:t>NUEVE</w:t>
      </w:r>
      <w:r w:rsidR="00585CE9" w:rsidRPr="000161D7">
        <w:rPr>
          <w:rFonts w:ascii="Arial" w:hAnsi="Arial" w:cs="Arial"/>
          <w:b/>
          <w:sz w:val="26"/>
          <w:szCs w:val="26"/>
        </w:rPr>
        <w:t>.</w:t>
      </w:r>
    </w:p>
    <w:p w:rsidR="00585CE9" w:rsidRPr="00A04ADC" w:rsidRDefault="00585CE9" w:rsidP="00585CE9">
      <w:pPr>
        <w:spacing w:line="360" w:lineRule="auto"/>
        <w:ind w:firstLine="708"/>
        <w:jc w:val="both"/>
        <w:rPr>
          <w:rFonts w:ascii="Arial" w:hAnsi="Arial" w:cs="Arial"/>
          <w:sz w:val="26"/>
          <w:szCs w:val="26"/>
        </w:rPr>
      </w:pPr>
      <w:r w:rsidRPr="00A04ADC">
        <w:rPr>
          <w:rFonts w:ascii="Arial" w:hAnsi="Arial" w:cs="Arial"/>
          <w:sz w:val="26"/>
          <w:szCs w:val="26"/>
        </w:rPr>
        <w:t xml:space="preserve">Por recibido el Cuaderno de Revisión </w:t>
      </w:r>
      <w:r w:rsidRPr="00585CE9">
        <w:rPr>
          <w:rFonts w:ascii="Arial" w:hAnsi="Arial" w:cs="Arial"/>
          <w:b/>
          <w:sz w:val="26"/>
          <w:szCs w:val="26"/>
        </w:rPr>
        <w:t>0264/2018</w:t>
      </w:r>
      <w:r w:rsidRPr="00A04ADC">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el</w:t>
      </w:r>
      <w:r>
        <w:rPr>
          <w:rFonts w:ascii="Arial" w:hAnsi="Arial" w:cs="Arial"/>
          <w:b/>
          <w:sz w:val="26"/>
          <w:szCs w:val="26"/>
        </w:rPr>
        <w:t xml:space="preserve"> </w:t>
      </w:r>
      <w:r w:rsidR="00807B69">
        <w:rPr>
          <w:rFonts w:ascii="Arial" w:hAnsi="Arial" w:cs="Arial"/>
          <w:b/>
          <w:sz w:val="26"/>
          <w:szCs w:val="26"/>
        </w:rPr>
        <w:t>**********</w:t>
      </w:r>
      <w:r>
        <w:rPr>
          <w:rFonts w:ascii="Arial" w:hAnsi="Arial" w:cs="Arial"/>
          <w:b/>
          <w:sz w:val="26"/>
          <w:szCs w:val="26"/>
        </w:rPr>
        <w:t>,</w:t>
      </w:r>
      <w:r>
        <w:rPr>
          <w:rFonts w:ascii="Arial" w:hAnsi="Arial" w:cs="Arial"/>
          <w:sz w:val="26"/>
          <w:szCs w:val="26"/>
        </w:rPr>
        <w:t xml:space="preserve"> parte actora en </w:t>
      </w:r>
      <w:r w:rsidRPr="00A04ADC">
        <w:rPr>
          <w:rFonts w:ascii="Arial" w:hAnsi="Arial" w:cs="Arial"/>
          <w:sz w:val="26"/>
          <w:szCs w:val="26"/>
        </w:rPr>
        <w:t>el juicio natural</w:t>
      </w:r>
      <w:r>
        <w:rPr>
          <w:rFonts w:ascii="Arial" w:hAnsi="Arial" w:cs="Arial"/>
          <w:sz w:val="26"/>
          <w:szCs w:val="26"/>
        </w:rPr>
        <w:t>,</w:t>
      </w:r>
      <w:r w:rsidRPr="00A04ADC">
        <w:rPr>
          <w:rFonts w:ascii="Arial" w:hAnsi="Arial" w:cs="Arial"/>
          <w:sz w:val="26"/>
          <w:szCs w:val="26"/>
        </w:rPr>
        <w:t xml:space="preserve"> en contra de </w:t>
      </w:r>
      <w:r>
        <w:rPr>
          <w:rFonts w:ascii="Arial" w:hAnsi="Arial" w:cs="Arial"/>
          <w:sz w:val="26"/>
          <w:szCs w:val="26"/>
        </w:rPr>
        <w:t xml:space="preserve">la sentencia </w:t>
      </w:r>
      <w:r w:rsidRPr="00A04ADC">
        <w:rPr>
          <w:rFonts w:ascii="Arial" w:hAnsi="Arial" w:cs="Arial"/>
          <w:sz w:val="26"/>
          <w:szCs w:val="26"/>
        </w:rPr>
        <w:t xml:space="preserve">de </w:t>
      </w:r>
      <w:r>
        <w:rPr>
          <w:rFonts w:ascii="Arial" w:hAnsi="Arial" w:cs="Arial"/>
          <w:sz w:val="26"/>
          <w:szCs w:val="26"/>
        </w:rPr>
        <w:t>30</w:t>
      </w:r>
      <w:r w:rsidRPr="00A04ADC">
        <w:rPr>
          <w:rFonts w:ascii="Arial" w:hAnsi="Arial" w:cs="Arial"/>
          <w:sz w:val="26"/>
          <w:szCs w:val="26"/>
        </w:rPr>
        <w:t xml:space="preserve"> </w:t>
      </w:r>
      <w:r>
        <w:rPr>
          <w:rFonts w:ascii="Arial" w:hAnsi="Arial" w:cs="Arial"/>
          <w:sz w:val="26"/>
          <w:szCs w:val="26"/>
        </w:rPr>
        <w:t xml:space="preserve">treinta de mayo </w:t>
      </w:r>
      <w:r w:rsidRPr="00A04ADC">
        <w:rPr>
          <w:rFonts w:ascii="Arial" w:hAnsi="Arial" w:cs="Arial"/>
          <w:sz w:val="26"/>
          <w:szCs w:val="26"/>
        </w:rPr>
        <w:t>de 201</w:t>
      </w:r>
      <w:r>
        <w:rPr>
          <w:rFonts w:ascii="Arial" w:hAnsi="Arial" w:cs="Arial"/>
          <w:sz w:val="26"/>
          <w:szCs w:val="26"/>
        </w:rPr>
        <w:t>8</w:t>
      </w:r>
      <w:r w:rsidRPr="00A04ADC">
        <w:rPr>
          <w:rFonts w:ascii="Arial" w:hAnsi="Arial" w:cs="Arial"/>
          <w:sz w:val="26"/>
          <w:szCs w:val="26"/>
        </w:rPr>
        <w:t xml:space="preserve"> dos mil dieci</w:t>
      </w:r>
      <w:r>
        <w:rPr>
          <w:rFonts w:ascii="Arial" w:hAnsi="Arial" w:cs="Arial"/>
          <w:sz w:val="26"/>
          <w:szCs w:val="26"/>
        </w:rPr>
        <w:t xml:space="preserve">ocho, </w:t>
      </w:r>
      <w:r w:rsidRPr="00A04ADC">
        <w:rPr>
          <w:rFonts w:ascii="Arial" w:hAnsi="Arial" w:cs="Arial"/>
          <w:sz w:val="26"/>
          <w:szCs w:val="26"/>
        </w:rPr>
        <w:t xml:space="preserve">dictada por la </w:t>
      </w:r>
      <w:r>
        <w:rPr>
          <w:rFonts w:ascii="Arial" w:hAnsi="Arial" w:cs="Arial"/>
          <w:sz w:val="26"/>
          <w:szCs w:val="26"/>
        </w:rPr>
        <w:t>Primera</w:t>
      </w:r>
      <w:r w:rsidRPr="00A04ADC">
        <w:rPr>
          <w:rFonts w:ascii="Arial" w:hAnsi="Arial" w:cs="Arial"/>
          <w:sz w:val="26"/>
          <w:szCs w:val="26"/>
        </w:rPr>
        <w:t xml:space="preserve"> Sala Unitaria de Primera Instancia </w:t>
      </w:r>
      <w:r>
        <w:rPr>
          <w:rFonts w:ascii="Arial" w:hAnsi="Arial" w:cs="Arial"/>
          <w:sz w:val="26"/>
          <w:szCs w:val="26"/>
        </w:rPr>
        <w:t xml:space="preserve">del Tribunal de Justicia Administrativa del Estado de Oaxaca, </w:t>
      </w:r>
      <w:r w:rsidRPr="00A04ADC">
        <w:rPr>
          <w:rFonts w:ascii="Arial" w:hAnsi="Arial" w:cs="Arial"/>
          <w:sz w:val="26"/>
          <w:szCs w:val="26"/>
        </w:rPr>
        <w:t xml:space="preserve">en el expediente </w:t>
      </w:r>
      <w:r>
        <w:rPr>
          <w:rFonts w:ascii="Arial" w:hAnsi="Arial" w:cs="Arial"/>
          <w:b/>
          <w:sz w:val="26"/>
          <w:szCs w:val="26"/>
        </w:rPr>
        <w:t>0130</w:t>
      </w:r>
      <w:r w:rsidRPr="00A04ADC">
        <w:rPr>
          <w:rFonts w:ascii="Arial" w:hAnsi="Arial" w:cs="Arial"/>
          <w:b/>
          <w:sz w:val="26"/>
          <w:szCs w:val="26"/>
        </w:rPr>
        <w:t>/201</w:t>
      </w:r>
      <w:r>
        <w:rPr>
          <w:rFonts w:ascii="Arial" w:hAnsi="Arial" w:cs="Arial"/>
          <w:b/>
          <w:sz w:val="26"/>
          <w:szCs w:val="26"/>
        </w:rPr>
        <w:t>7</w:t>
      </w:r>
      <w:r w:rsidRPr="00A04ADC">
        <w:rPr>
          <w:rFonts w:ascii="Arial" w:hAnsi="Arial" w:cs="Arial"/>
          <w:b/>
          <w:sz w:val="26"/>
          <w:szCs w:val="26"/>
        </w:rPr>
        <w:t xml:space="preserve"> </w:t>
      </w:r>
      <w:r w:rsidRPr="00A04ADC">
        <w:rPr>
          <w:rFonts w:ascii="Arial" w:hAnsi="Arial" w:cs="Arial"/>
          <w:sz w:val="26"/>
          <w:szCs w:val="26"/>
        </w:rPr>
        <w:t>de</w:t>
      </w:r>
      <w:r>
        <w:rPr>
          <w:rFonts w:ascii="Arial" w:hAnsi="Arial" w:cs="Arial"/>
          <w:sz w:val="26"/>
          <w:szCs w:val="26"/>
        </w:rPr>
        <w:t>l</w:t>
      </w:r>
      <w:r w:rsidRPr="00A04ADC">
        <w:rPr>
          <w:rFonts w:ascii="Arial" w:hAnsi="Arial" w:cs="Arial"/>
          <w:sz w:val="26"/>
          <w:szCs w:val="26"/>
        </w:rPr>
        <w:t xml:space="preserve"> índice</w:t>
      </w:r>
      <w:r>
        <w:rPr>
          <w:rFonts w:ascii="Arial" w:hAnsi="Arial" w:cs="Arial"/>
          <w:sz w:val="26"/>
          <w:szCs w:val="26"/>
        </w:rPr>
        <w:t xml:space="preserve"> de esa Sala</w:t>
      </w:r>
      <w:r w:rsidRPr="00A04ADC">
        <w:rPr>
          <w:rFonts w:ascii="Arial" w:hAnsi="Arial" w:cs="Arial"/>
          <w:sz w:val="26"/>
          <w:szCs w:val="26"/>
        </w:rPr>
        <w:t xml:space="preserve">, relativo al juicio </w:t>
      </w:r>
      <w:r>
        <w:rPr>
          <w:rFonts w:ascii="Arial" w:hAnsi="Arial" w:cs="Arial"/>
          <w:sz w:val="26"/>
          <w:szCs w:val="26"/>
        </w:rPr>
        <w:t xml:space="preserve">de nulidad </w:t>
      </w:r>
      <w:r w:rsidRPr="00A04ADC">
        <w:rPr>
          <w:rFonts w:ascii="Arial" w:hAnsi="Arial" w:cs="Arial"/>
          <w:sz w:val="26"/>
          <w:szCs w:val="26"/>
        </w:rPr>
        <w:t>promovido por</w:t>
      </w:r>
      <w:r>
        <w:rPr>
          <w:rFonts w:ascii="Arial" w:hAnsi="Arial" w:cs="Arial"/>
          <w:sz w:val="26"/>
          <w:szCs w:val="26"/>
        </w:rPr>
        <w:t xml:space="preserve"> </w:t>
      </w:r>
      <w:r w:rsidR="00807B69">
        <w:rPr>
          <w:rFonts w:ascii="Arial" w:hAnsi="Arial" w:cs="Arial"/>
          <w:b/>
          <w:sz w:val="26"/>
          <w:szCs w:val="26"/>
        </w:rPr>
        <w:t>**********</w:t>
      </w:r>
      <w:r w:rsidRPr="00A04ADC">
        <w:rPr>
          <w:rFonts w:ascii="Arial" w:hAnsi="Arial" w:cs="Arial"/>
          <w:b/>
          <w:sz w:val="26"/>
          <w:szCs w:val="26"/>
        </w:rPr>
        <w:t xml:space="preserve"> </w:t>
      </w:r>
      <w:r w:rsidRPr="00852C8D">
        <w:rPr>
          <w:rFonts w:ascii="Arial" w:hAnsi="Arial" w:cs="Arial"/>
          <w:sz w:val="26"/>
          <w:szCs w:val="26"/>
        </w:rPr>
        <w:t>e</w:t>
      </w:r>
      <w:r w:rsidRPr="00A04ADC">
        <w:rPr>
          <w:rFonts w:ascii="Arial" w:hAnsi="Arial" w:cs="Arial"/>
          <w:sz w:val="26"/>
          <w:szCs w:val="26"/>
        </w:rPr>
        <w:t>n contra de</w:t>
      </w:r>
      <w:r w:rsidR="00CD41CD">
        <w:rPr>
          <w:rFonts w:ascii="Arial" w:hAnsi="Arial" w:cs="Arial"/>
          <w:sz w:val="26"/>
          <w:szCs w:val="26"/>
        </w:rPr>
        <w:t>l</w:t>
      </w:r>
      <w:r w:rsidRPr="00A04ADC">
        <w:rPr>
          <w:rFonts w:ascii="Arial" w:hAnsi="Arial" w:cs="Arial"/>
          <w:sz w:val="26"/>
          <w:szCs w:val="26"/>
        </w:rPr>
        <w:t xml:space="preserve"> </w:t>
      </w:r>
      <w:r>
        <w:rPr>
          <w:rFonts w:ascii="Arial" w:hAnsi="Arial" w:cs="Arial"/>
          <w:b/>
          <w:sz w:val="26"/>
          <w:szCs w:val="26"/>
        </w:rPr>
        <w:t>PRESIDENTE MUNICIPAL y DIRECTOR DE SEGURIDAD PÚBLICA Y VIALIDAD, AMBOS DEL MUNICIPIO DE VILLA DE TUTUTEPEC, JUQUILA, OAXACA</w:t>
      </w:r>
      <w:r w:rsidRPr="00A04ADC">
        <w:rPr>
          <w:rFonts w:ascii="Arial" w:hAnsi="Arial" w:cs="Arial"/>
          <w:b/>
          <w:sz w:val="26"/>
          <w:szCs w:val="26"/>
        </w:rPr>
        <w:t xml:space="preserve">; </w:t>
      </w:r>
      <w:r w:rsidR="00681C77" w:rsidRPr="00E4747D">
        <w:rPr>
          <w:rFonts w:ascii="Arial" w:hAnsi="Arial" w:cs="Arial"/>
          <w:sz w:val="26"/>
          <w:szCs w:val="26"/>
        </w:rPr>
        <w:t>por lo que con fundamento en los artículos 236 y 237 de la Ley de Procedimiento y Justicia Administrativa para el Estado de Oaxaca, se admite</w:t>
      </w:r>
      <w:r w:rsidR="00A73ACB">
        <w:rPr>
          <w:rFonts w:ascii="Arial" w:hAnsi="Arial" w:cs="Arial"/>
          <w:sz w:val="26"/>
          <w:szCs w:val="26"/>
        </w:rPr>
        <w:t xml:space="preserve">. </w:t>
      </w:r>
      <w:r w:rsidRPr="00A04ADC">
        <w:rPr>
          <w:rFonts w:ascii="Arial" w:hAnsi="Arial" w:cs="Arial"/>
          <w:sz w:val="26"/>
          <w:szCs w:val="26"/>
        </w:rPr>
        <w:t>En co</w:t>
      </w:r>
      <w:r w:rsidR="00A73ACB">
        <w:rPr>
          <w:rFonts w:ascii="Arial" w:hAnsi="Arial" w:cs="Arial"/>
          <w:sz w:val="26"/>
          <w:szCs w:val="26"/>
        </w:rPr>
        <w:t xml:space="preserve">nsecuencia, </w:t>
      </w:r>
      <w:r w:rsidRPr="00A04ADC">
        <w:rPr>
          <w:rFonts w:ascii="Arial" w:hAnsi="Arial" w:cs="Arial"/>
          <w:sz w:val="26"/>
          <w:szCs w:val="26"/>
        </w:rPr>
        <w:t>se procede a dictar resolución en los siguientes términos:</w:t>
      </w:r>
    </w:p>
    <w:p w:rsidR="00585CE9" w:rsidRPr="000161D7" w:rsidRDefault="00585CE9" w:rsidP="00585CE9">
      <w:pPr>
        <w:spacing w:line="360" w:lineRule="auto"/>
        <w:jc w:val="center"/>
        <w:rPr>
          <w:rFonts w:ascii="Arial" w:hAnsi="Arial" w:cs="Arial"/>
          <w:b/>
          <w:bCs/>
          <w:sz w:val="26"/>
          <w:szCs w:val="26"/>
        </w:rPr>
      </w:pPr>
      <w:r w:rsidRPr="000161D7">
        <w:rPr>
          <w:rFonts w:ascii="Arial" w:hAnsi="Arial" w:cs="Arial"/>
          <w:b/>
          <w:bCs/>
          <w:sz w:val="26"/>
          <w:szCs w:val="26"/>
        </w:rPr>
        <w:t>R E S U L T A N D O</w:t>
      </w:r>
      <w:r w:rsidR="00A73ACB">
        <w:rPr>
          <w:rFonts w:ascii="Arial" w:hAnsi="Arial" w:cs="Arial"/>
          <w:b/>
          <w:bCs/>
          <w:sz w:val="26"/>
          <w:szCs w:val="26"/>
        </w:rPr>
        <w:t>:</w:t>
      </w:r>
    </w:p>
    <w:p w:rsidR="00585CE9" w:rsidRPr="000161D7" w:rsidRDefault="00585CE9" w:rsidP="00585CE9">
      <w:pPr>
        <w:spacing w:line="360" w:lineRule="auto"/>
        <w:ind w:firstLine="709"/>
        <w:jc w:val="both"/>
        <w:rPr>
          <w:rFonts w:ascii="Arial" w:hAnsi="Arial" w:cs="Arial"/>
          <w:sz w:val="26"/>
          <w:szCs w:val="26"/>
        </w:rPr>
      </w:pPr>
      <w:r w:rsidRPr="000161D7">
        <w:rPr>
          <w:rFonts w:ascii="Arial" w:hAnsi="Arial" w:cs="Arial"/>
          <w:b/>
          <w:bCs/>
          <w:sz w:val="26"/>
          <w:szCs w:val="26"/>
        </w:rPr>
        <w:t xml:space="preserve">PRIMERO. </w:t>
      </w:r>
      <w:r w:rsidRPr="000161D7">
        <w:rPr>
          <w:rFonts w:ascii="Arial" w:hAnsi="Arial" w:cs="Arial"/>
          <w:sz w:val="26"/>
          <w:szCs w:val="26"/>
        </w:rPr>
        <w:t xml:space="preserve">Inconforme con la </w:t>
      </w:r>
      <w:r w:rsidR="00A73ACB">
        <w:rPr>
          <w:rFonts w:ascii="Arial" w:hAnsi="Arial" w:cs="Arial"/>
          <w:sz w:val="26"/>
          <w:szCs w:val="26"/>
        </w:rPr>
        <w:t xml:space="preserve">sentencia </w:t>
      </w:r>
      <w:r w:rsidRPr="000161D7">
        <w:rPr>
          <w:rFonts w:ascii="Arial" w:hAnsi="Arial" w:cs="Arial"/>
          <w:sz w:val="26"/>
          <w:szCs w:val="26"/>
        </w:rPr>
        <w:t>de 3</w:t>
      </w:r>
      <w:r>
        <w:rPr>
          <w:rFonts w:ascii="Arial" w:hAnsi="Arial" w:cs="Arial"/>
          <w:sz w:val="26"/>
          <w:szCs w:val="26"/>
        </w:rPr>
        <w:t>0</w:t>
      </w:r>
      <w:r w:rsidRPr="000161D7">
        <w:rPr>
          <w:rFonts w:ascii="Arial" w:hAnsi="Arial" w:cs="Arial"/>
          <w:sz w:val="26"/>
          <w:szCs w:val="26"/>
        </w:rPr>
        <w:t xml:space="preserve"> </w:t>
      </w:r>
      <w:r>
        <w:rPr>
          <w:rFonts w:ascii="Arial" w:hAnsi="Arial" w:cs="Arial"/>
          <w:sz w:val="26"/>
          <w:szCs w:val="26"/>
        </w:rPr>
        <w:t xml:space="preserve">treinta </w:t>
      </w:r>
      <w:r w:rsidRPr="000161D7">
        <w:rPr>
          <w:rFonts w:ascii="Arial" w:hAnsi="Arial" w:cs="Arial"/>
          <w:sz w:val="26"/>
          <w:szCs w:val="26"/>
        </w:rPr>
        <w:t>de ma</w:t>
      </w:r>
      <w:r>
        <w:rPr>
          <w:rFonts w:ascii="Arial" w:hAnsi="Arial" w:cs="Arial"/>
          <w:sz w:val="26"/>
          <w:szCs w:val="26"/>
        </w:rPr>
        <w:t>y</w:t>
      </w:r>
      <w:r w:rsidRPr="000161D7">
        <w:rPr>
          <w:rFonts w:ascii="Arial" w:hAnsi="Arial" w:cs="Arial"/>
          <w:sz w:val="26"/>
          <w:szCs w:val="26"/>
        </w:rPr>
        <w:t>o de 201</w:t>
      </w:r>
      <w:r>
        <w:rPr>
          <w:rFonts w:ascii="Arial" w:hAnsi="Arial" w:cs="Arial"/>
          <w:sz w:val="26"/>
          <w:szCs w:val="26"/>
        </w:rPr>
        <w:t>8</w:t>
      </w:r>
      <w:r w:rsidRPr="000161D7">
        <w:rPr>
          <w:rFonts w:ascii="Arial" w:hAnsi="Arial" w:cs="Arial"/>
          <w:sz w:val="26"/>
          <w:szCs w:val="26"/>
        </w:rPr>
        <w:t xml:space="preserve"> dos mil dieci</w:t>
      </w:r>
      <w:r>
        <w:rPr>
          <w:rFonts w:ascii="Arial" w:hAnsi="Arial" w:cs="Arial"/>
          <w:sz w:val="26"/>
          <w:szCs w:val="26"/>
        </w:rPr>
        <w:t>ocho</w:t>
      </w:r>
      <w:r w:rsidRPr="000161D7">
        <w:rPr>
          <w:rFonts w:ascii="Arial" w:hAnsi="Arial" w:cs="Arial"/>
          <w:sz w:val="26"/>
          <w:szCs w:val="26"/>
        </w:rPr>
        <w:t xml:space="preserve">, dictada por la </w:t>
      </w:r>
      <w:r>
        <w:rPr>
          <w:rFonts w:ascii="Arial" w:hAnsi="Arial" w:cs="Arial"/>
          <w:sz w:val="26"/>
          <w:szCs w:val="26"/>
        </w:rPr>
        <w:t>Primera</w:t>
      </w:r>
      <w:r w:rsidRPr="000161D7">
        <w:rPr>
          <w:rFonts w:ascii="Arial" w:hAnsi="Arial" w:cs="Arial"/>
          <w:sz w:val="26"/>
          <w:szCs w:val="26"/>
        </w:rPr>
        <w:t xml:space="preserve"> Sala Unitaria de Primera Instancia, </w:t>
      </w:r>
      <w:r w:rsidR="00807B69">
        <w:rPr>
          <w:rFonts w:ascii="Arial" w:hAnsi="Arial" w:cs="Arial"/>
          <w:b/>
          <w:sz w:val="26"/>
          <w:szCs w:val="26"/>
        </w:rPr>
        <w:t>**********</w:t>
      </w:r>
      <w:r w:rsidRPr="000161D7">
        <w:rPr>
          <w:rFonts w:ascii="Arial" w:hAnsi="Arial" w:cs="Arial"/>
          <w:sz w:val="26"/>
          <w:szCs w:val="26"/>
        </w:rPr>
        <w:t xml:space="preserve"> actor en el juicio natural, </w:t>
      </w:r>
      <w:r w:rsidR="00A73ACB" w:rsidRPr="000161D7">
        <w:rPr>
          <w:rFonts w:ascii="Arial" w:hAnsi="Arial" w:cs="Arial"/>
          <w:sz w:val="26"/>
          <w:szCs w:val="26"/>
        </w:rPr>
        <w:t>interpu</w:t>
      </w:r>
      <w:r w:rsidR="00A73ACB">
        <w:rPr>
          <w:rFonts w:ascii="Arial" w:hAnsi="Arial" w:cs="Arial"/>
          <w:sz w:val="26"/>
          <w:szCs w:val="26"/>
        </w:rPr>
        <w:t>so</w:t>
      </w:r>
      <w:r w:rsidRPr="000161D7">
        <w:rPr>
          <w:rFonts w:ascii="Arial" w:hAnsi="Arial" w:cs="Arial"/>
          <w:sz w:val="26"/>
          <w:szCs w:val="26"/>
        </w:rPr>
        <w:t xml:space="preserve"> en su contra recurso de revisión. </w:t>
      </w:r>
    </w:p>
    <w:p w:rsidR="00585CE9" w:rsidRDefault="00585CE9" w:rsidP="00585CE9">
      <w:pPr>
        <w:spacing w:after="0" w:line="360" w:lineRule="auto"/>
        <w:jc w:val="both"/>
        <w:rPr>
          <w:rFonts w:ascii="Arial" w:hAnsi="Arial" w:cs="Arial"/>
          <w:sz w:val="26"/>
          <w:szCs w:val="26"/>
        </w:rPr>
      </w:pPr>
      <w:r w:rsidRPr="000161D7">
        <w:rPr>
          <w:rFonts w:ascii="Arial" w:hAnsi="Arial" w:cs="Arial"/>
          <w:b/>
          <w:bCs/>
          <w:sz w:val="26"/>
          <w:szCs w:val="26"/>
        </w:rPr>
        <w:tab/>
        <w:t xml:space="preserve">SEGUNDO.- </w:t>
      </w:r>
      <w:r w:rsidRPr="000161D7">
        <w:rPr>
          <w:rFonts w:ascii="Arial" w:hAnsi="Arial" w:cs="Arial"/>
          <w:sz w:val="26"/>
          <w:szCs w:val="26"/>
        </w:rPr>
        <w:t xml:space="preserve">Los puntos de la resolución impugnada son </w:t>
      </w:r>
      <w:r>
        <w:rPr>
          <w:rFonts w:ascii="Arial" w:hAnsi="Arial" w:cs="Arial"/>
          <w:sz w:val="26"/>
          <w:szCs w:val="26"/>
        </w:rPr>
        <w:t>los</w:t>
      </w:r>
      <w:r w:rsidRPr="000161D7">
        <w:rPr>
          <w:rFonts w:ascii="Arial" w:hAnsi="Arial" w:cs="Arial"/>
          <w:sz w:val="26"/>
          <w:szCs w:val="26"/>
        </w:rPr>
        <w:t xml:space="preserve"> sigu</w:t>
      </w:r>
      <w:r>
        <w:rPr>
          <w:rFonts w:ascii="Arial" w:hAnsi="Arial" w:cs="Arial"/>
          <w:sz w:val="26"/>
          <w:szCs w:val="26"/>
        </w:rPr>
        <w:t>i</w:t>
      </w:r>
      <w:r w:rsidRPr="000161D7">
        <w:rPr>
          <w:rFonts w:ascii="Arial" w:hAnsi="Arial" w:cs="Arial"/>
          <w:sz w:val="26"/>
          <w:szCs w:val="26"/>
        </w:rPr>
        <w:t>en</w:t>
      </w:r>
      <w:r>
        <w:rPr>
          <w:rFonts w:ascii="Arial" w:hAnsi="Arial" w:cs="Arial"/>
          <w:sz w:val="26"/>
          <w:szCs w:val="26"/>
        </w:rPr>
        <w:t>tes</w:t>
      </w:r>
      <w:r w:rsidRPr="000161D7">
        <w:rPr>
          <w:rFonts w:ascii="Arial" w:hAnsi="Arial" w:cs="Arial"/>
          <w:sz w:val="26"/>
          <w:szCs w:val="26"/>
        </w:rPr>
        <w:t>:</w:t>
      </w:r>
    </w:p>
    <w:p w:rsidR="00A73ACB" w:rsidRDefault="00A73ACB" w:rsidP="00585CE9">
      <w:pPr>
        <w:spacing w:after="0" w:line="360" w:lineRule="auto"/>
        <w:ind w:left="851" w:right="1062"/>
        <w:jc w:val="both"/>
        <w:rPr>
          <w:rFonts w:ascii="Arial" w:hAnsi="Arial" w:cs="Arial"/>
          <w:b/>
          <w:i/>
        </w:rPr>
      </w:pPr>
    </w:p>
    <w:p w:rsidR="00585CE9" w:rsidRPr="000161D7" w:rsidRDefault="00A73ACB" w:rsidP="00A73ACB">
      <w:pPr>
        <w:spacing w:after="0" w:line="360" w:lineRule="auto"/>
        <w:ind w:left="1134" w:right="901"/>
        <w:jc w:val="both"/>
        <w:rPr>
          <w:rFonts w:ascii="Arial" w:hAnsi="Arial" w:cs="Arial"/>
          <w:i/>
        </w:rPr>
      </w:pPr>
      <w:r>
        <w:rPr>
          <w:rFonts w:ascii="Arial" w:hAnsi="Arial" w:cs="Arial"/>
          <w:b/>
          <w:i/>
        </w:rPr>
        <w:t>“</w:t>
      </w:r>
      <w:r w:rsidR="00585CE9" w:rsidRPr="000161D7">
        <w:rPr>
          <w:rFonts w:ascii="Arial" w:hAnsi="Arial" w:cs="Arial"/>
          <w:b/>
          <w:i/>
        </w:rPr>
        <w:t xml:space="preserve">PRIMERO. </w:t>
      </w:r>
      <w:r w:rsidR="00585CE9" w:rsidRPr="000161D7">
        <w:rPr>
          <w:rFonts w:ascii="Arial" w:hAnsi="Arial" w:cs="Arial"/>
          <w:i/>
        </w:rPr>
        <w:t xml:space="preserve">Esta Sala de Primera Instancia </w:t>
      </w:r>
      <w:r w:rsidR="00585CE9">
        <w:rPr>
          <w:rFonts w:ascii="Arial" w:hAnsi="Arial" w:cs="Arial"/>
          <w:i/>
        </w:rPr>
        <w:t>es</w:t>
      </w:r>
      <w:r w:rsidR="00585CE9" w:rsidRPr="000161D7">
        <w:rPr>
          <w:rFonts w:ascii="Arial" w:hAnsi="Arial" w:cs="Arial"/>
          <w:i/>
        </w:rPr>
        <w:t xml:space="preserve"> competente para conocer y resolver de la presente causa. </w:t>
      </w:r>
    </w:p>
    <w:p w:rsidR="00585CE9" w:rsidRPr="000161D7" w:rsidRDefault="00585CE9" w:rsidP="00A73ACB">
      <w:pPr>
        <w:spacing w:after="0" w:line="360" w:lineRule="auto"/>
        <w:ind w:left="1134" w:right="901"/>
        <w:jc w:val="both"/>
        <w:rPr>
          <w:rFonts w:ascii="Arial" w:hAnsi="Arial" w:cs="Arial"/>
          <w:i/>
        </w:rPr>
      </w:pPr>
      <w:r w:rsidRPr="000161D7">
        <w:rPr>
          <w:rFonts w:ascii="Arial" w:hAnsi="Arial" w:cs="Arial"/>
          <w:b/>
          <w:i/>
        </w:rPr>
        <w:t xml:space="preserve">SEGUNDO. </w:t>
      </w:r>
      <w:r w:rsidRPr="000161D7">
        <w:rPr>
          <w:rFonts w:ascii="Arial" w:hAnsi="Arial" w:cs="Arial"/>
          <w:i/>
        </w:rPr>
        <w:t xml:space="preserve">La personalidad de las partes quedó </w:t>
      </w:r>
      <w:r>
        <w:rPr>
          <w:rFonts w:ascii="Arial" w:hAnsi="Arial" w:cs="Arial"/>
          <w:i/>
        </w:rPr>
        <w:t>establecida en el considerando segundo de esta resolución</w:t>
      </w:r>
      <w:r w:rsidRPr="000161D7">
        <w:rPr>
          <w:rFonts w:ascii="Arial" w:hAnsi="Arial" w:cs="Arial"/>
          <w:i/>
        </w:rPr>
        <w:t xml:space="preserve">. </w:t>
      </w:r>
    </w:p>
    <w:p w:rsidR="00585CE9" w:rsidRPr="00374392" w:rsidRDefault="00585CE9" w:rsidP="00A73ACB">
      <w:pPr>
        <w:spacing w:after="0" w:line="360" w:lineRule="auto"/>
        <w:ind w:left="1134" w:right="901"/>
        <w:jc w:val="both"/>
        <w:rPr>
          <w:rFonts w:ascii="Arial" w:hAnsi="Arial" w:cs="Arial"/>
          <w:i/>
        </w:rPr>
      </w:pPr>
      <w:r w:rsidRPr="00374392">
        <w:rPr>
          <w:rFonts w:ascii="Arial" w:hAnsi="Arial" w:cs="Arial"/>
          <w:b/>
          <w:i/>
        </w:rPr>
        <w:lastRenderedPageBreak/>
        <w:t xml:space="preserve">TERCERO. </w:t>
      </w:r>
      <w:r>
        <w:rPr>
          <w:rFonts w:ascii="Arial" w:hAnsi="Arial" w:cs="Arial"/>
          <w:i/>
        </w:rPr>
        <w:t>S</w:t>
      </w:r>
      <w:r w:rsidRPr="00374392">
        <w:rPr>
          <w:rFonts w:ascii="Arial" w:hAnsi="Arial" w:cs="Arial"/>
          <w:i/>
        </w:rPr>
        <w:t xml:space="preserve">e </w:t>
      </w:r>
      <w:r w:rsidRPr="004D7787">
        <w:rPr>
          <w:rFonts w:ascii="Arial" w:hAnsi="Arial" w:cs="Arial"/>
          <w:b/>
          <w:i/>
        </w:rPr>
        <w:t xml:space="preserve">SOBRESEE EL </w:t>
      </w:r>
      <w:r>
        <w:rPr>
          <w:rFonts w:ascii="Arial" w:hAnsi="Arial" w:cs="Arial"/>
          <w:b/>
          <w:i/>
        </w:rPr>
        <w:t xml:space="preserve">PRESENTE </w:t>
      </w:r>
      <w:r w:rsidRPr="004D7787">
        <w:rPr>
          <w:rFonts w:ascii="Arial" w:hAnsi="Arial" w:cs="Arial"/>
          <w:b/>
          <w:i/>
        </w:rPr>
        <w:t>JUICIO</w:t>
      </w:r>
      <w:r w:rsidRPr="00374392">
        <w:rPr>
          <w:rFonts w:ascii="Arial" w:hAnsi="Arial" w:cs="Arial"/>
          <w:i/>
        </w:rPr>
        <w:t xml:space="preserve"> </w:t>
      </w:r>
      <w:r>
        <w:rPr>
          <w:rFonts w:ascii="Arial" w:hAnsi="Arial" w:cs="Arial"/>
          <w:i/>
        </w:rPr>
        <w:t>p</w:t>
      </w:r>
      <w:r w:rsidRPr="00374392">
        <w:rPr>
          <w:rFonts w:ascii="Arial" w:hAnsi="Arial" w:cs="Arial"/>
          <w:i/>
        </w:rPr>
        <w:t xml:space="preserve">or las </w:t>
      </w:r>
      <w:r>
        <w:rPr>
          <w:rFonts w:ascii="Arial" w:hAnsi="Arial" w:cs="Arial"/>
          <w:i/>
        </w:rPr>
        <w:t xml:space="preserve">consideraciones enunciadas en el considerando </w:t>
      </w:r>
      <w:r w:rsidRPr="00374392">
        <w:rPr>
          <w:rFonts w:ascii="Arial" w:hAnsi="Arial" w:cs="Arial"/>
          <w:i/>
        </w:rPr>
        <w:t>T</w:t>
      </w:r>
      <w:r>
        <w:rPr>
          <w:rFonts w:ascii="Arial" w:hAnsi="Arial" w:cs="Arial"/>
          <w:i/>
        </w:rPr>
        <w:t>ERCERO de la presente resolución, y en consecuencia resulta improcedente el pago de las prestaciones reclamadas por el actor</w:t>
      </w:r>
      <w:r w:rsidRPr="00374392">
        <w:rPr>
          <w:rFonts w:ascii="Arial" w:hAnsi="Arial" w:cs="Arial"/>
          <w:i/>
        </w:rPr>
        <w:t xml:space="preserve">. </w:t>
      </w:r>
    </w:p>
    <w:p w:rsidR="00585CE9" w:rsidRDefault="00585CE9" w:rsidP="00A73ACB">
      <w:pPr>
        <w:spacing w:after="0" w:line="360" w:lineRule="auto"/>
        <w:ind w:left="1134" w:right="901"/>
        <w:jc w:val="both"/>
        <w:rPr>
          <w:rFonts w:ascii="Arial" w:hAnsi="Arial" w:cs="Arial"/>
          <w:b/>
          <w:i/>
        </w:rPr>
      </w:pPr>
      <w:r w:rsidRPr="00374392">
        <w:rPr>
          <w:rFonts w:ascii="Arial" w:hAnsi="Arial" w:cs="Arial"/>
          <w:b/>
          <w:i/>
        </w:rPr>
        <w:t xml:space="preserve">CUARTO. </w:t>
      </w:r>
      <w:r w:rsidRPr="000161D7">
        <w:rPr>
          <w:rFonts w:ascii="Arial" w:hAnsi="Arial" w:cs="Arial"/>
          <w:b/>
          <w:i/>
        </w:rPr>
        <w:t xml:space="preserve">NOTIFÍQUESE </w:t>
      </w:r>
      <w:r w:rsidRPr="004D7787">
        <w:rPr>
          <w:rFonts w:ascii="Arial" w:hAnsi="Arial" w:cs="Arial"/>
          <w:i/>
        </w:rPr>
        <w:t>personalmente al actor</w:t>
      </w:r>
      <w:r>
        <w:rPr>
          <w:rFonts w:ascii="Arial" w:hAnsi="Arial" w:cs="Arial"/>
          <w:i/>
        </w:rPr>
        <w:t>,</w:t>
      </w:r>
      <w:r w:rsidRPr="004D7787">
        <w:rPr>
          <w:rFonts w:ascii="Arial" w:hAnsi="Arial" w:cs="Arial"/>
          <w:i/>
        </w:rPr>
        <w:t xml:space="preserve"> por oficio a las autoridades demandadas</w:t>
      </w:r>
      <w:r>
        <w:rPr>
          <w:rFonts w:ascii="Arial" w:hAnsi="Arial" w:cs="Arial"/>
          <w:i/>
        </w:rPr>
        <w:t xml:space="preserve"> </w:t>
      </w:r>
      <w:r>
        <w:rPr>
          <w:rFonts w:ascii="Arial" w:hAnsi="Arial" w:cs="Arial"/>
          <w:b/>
          <w:i/>
        </w:rPr>
        <w:t>Y CÚMPLASE</w:t>
      </w:r>
      <w:r w:rsidR="00A73ACB">
        <w:rPr>
          <w:rFonts w:ascii="Arial" w:hAnsi="Arial" w:cs="Arial"/>
          <w:b/>
          <w:i/>
        </w:rPr>
        <w:t>”.</w:t>
      </w:r>
    </w:p>
    <w:p w:rsidR="004B5229" w:rsidRPr="000161D7" w:rsidRDefault="004B5229" w:rsidP="00A73ACB">
      <w:pPr>
        <w:spacing w:after="0" w:line="360" w:lineRule="auto"/>
        <w:ind w:left="1134" w:right="901"/>
        <w:jc w:val="both"/>
        <w:rPr>
          <w:rFonts w:ascii="Arial" w:hAnsi="Arial" w:cs="Arial"/>
          <w:i/>
        </w:rPr>
      </w:pPr>
    </w:p>
    <w:p w:rsidR="00585CE9" w:rsidRPr="000161D7" w:rsidRDefault="00585CE9" w:rsidP="004B5229">
      <w:pPr>
        <w:spacing w:line="360" w:lineRule="auto"/>
        <w:ind w:left="1134" w:right="901"/>
        <w:jc w:val="center"/>
        <w:rPr>
          <w:rFonts w:ascii="Arial" w:hAnsi="Arial" w:cs="Arial"/>
          <w:b/>
          <w:bCs/>
          <w:sz w:val="26"/>
          <w:szCs w:val="26"/>
        </w:rPr>
      </w:pPr>
      <w:r w:rsidRPr="000161D7">
        <w:rPr>
          <w:rFonts w:ascii="Arial" w:hAnsi="Arial" w:cs="Arial"/>
          <w:b/>
          <w:bCs/>
          <w:sz w:val="26"/>
          <w:szCs w:val="26"/>
        </w:rPr>
        <w:t>C O N S I D E R A N D O</w:t>
      </w:r>
      <w:r w:rsidR="004B5229">
        <w:rPr>
          <w:rFonts w:ascii="Arial" w:hAnsi="Arial" w:cs="Arial"/>
          <w:b/>
          <w:bCs/>
          <w:sz w:val="26"/>
          <w:szCs w:val="26"/>
        </w:rPr>
        <w:t>.</w:t>
      </w:r>
    </w:p>
    <w:p w:rsidR="004B5229" w:rsidRDefault="001164B8" w:rsidP="004B5229">
      <w:pPr>
        <w:widowControl w:val="0"/>
        <w:tabs>
          <w:tab w:val="left" w:pos="7938"/>
        </w:tabs>
        <w:spacing w:line="360" w:lineRule="auto"/>
        <w:ind w:right="51" w:firstLine="709"/>
        <w:jc w:val="both"/>
        <w:rPr>
          <w:rFonts w:ascii="Arial" w:hAnsi="Arial" w:cs="Arial"/>
          <w:b/>
          <w:bCs/>
          <w:iCs/>
          <w:sz w:val="26"/>
          <w:szCs w:val="26"/>
          <w:lang w:eastAsia="es-ES"/>
        </w:rPr>
      </w:pPr>
      <w:r w:rsidRPr="00BA6343">
        <w:rPr>
          <w:rFonts w:ascii="Arial" w:hAnsi="Arial" w:cs="Arial"/>
          <w:b/>
          <w:bCs/>
          <w:iCs/>
          <w:sz w:val="26"/>
          <w:szCs w:val="26"/>
        </w:rPr>
        <w:t xml:space="preserve">PRIMERO.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 xml:space="preserve">conformidad con lo dispuesto por los artículos 114 QUÁTER, </w:t>
      </w:r>
      <w:r>
        <w:rPr>
          <w:rFonts w:ascii="Arial" w:hAnsi="Arial" w:cs="Arial"/>
          <w:bCs/>
          <w:iCs/>
          <w:sz w:val="26"/>
          <w:szCs w:val="26"/>
          <w:lang w:eastAsia="es-ES"/>
        </w:rPr>
        <w:t xml:space="preserve">tercer párrafo de la Constitución Política del Estado Libre </w:t>
      </w:r>
      <w:r w:rsidRPr="00F66D81">
        <w:rPr>
          <w:rFonts w:ascii="Arial" w:hAnsi="Arial" w:cs="Arial"/>
          <w:bCs/>
          <w:iCs/>
          <w:sz w:val="26"/>
          <w:szCs w:val="26"/>
          <w:lang w:eastAsia="es-ES"/>
        </w:rPr>
        <w:t xml:space="preserve">y Soberano de Oaxaca, </w:t>
      </w:r>
      <w:r w:rsidRPr="005A12C4">
        <w:rPr>
          <w:rFonts w:ascii="Arial" w:hAnsi="Arial" w:cs="Arial"/>
          <w:bCs/>
          <w:iCs/>
          <w:sz w:val="26"/>
          <w:szCs w:val="26"/>
          <w:lang w:eastAsia="es-ES"/>
        </w:rPr>
        <w:t>así como los diversos 125, 130 fracción I, 131, 236 y 23</w:t>
      </w:r>
      <w:r>
        <w:rPr>
          <w:rFonts w:ascii="Arial" w:hAnsi="Arial" w:cs="Arial"/>
          <w:bCs/>
          <w:iCs/>
          <w:sz w:val="26"/>
          <w:szCs w:val="26"/>
          <w:lang w:eastAsia="es-ES"/>
        </w:rPr>
        <w:t>7 de la Ley del Procedimiento y</w:t>
      </w:r>
      <w:r w:rsidRPr="005A12C4">
        <w:rPr>
          <w:rFonts w:ascii="Arial" w:hAnsi="Arial" w:cs="Arial"/>
          <w:bCs/>
          <w:iCs/>
          <w:sz w:val="26"/>
          <w:szCs w:val="26"/>
          <w:lang w:eastAsia="es-ES"/>
        </w:rPr>
        <w:t xml:space="preserve"> Justicia Administrativa para el Estado de Oaxaca, publicada en el Periódico Oficial de</w:t>
      </w:r>
      <w:r>
        <w:rPr>
          <w:rFonts w:ascii="Arial" w:hAnsi="Arial" w:cs="Arial"/>
          <w:bCs/>
          <w:iCs/>
          <w:sz w:val="26"/>
          <w:szCs w:val="26"/>
          <w:lang w:eastAsia="es-ES"/>
        </w:rPr>
        <w:t xml:space="preserve"> Gobierno del Estado</w:t>
      </w:r>
      <w:r w:rsidR="00CD41CD">
        <w:rPr>
          <w:rFonts w:ascii="Arial" w:hAnsi="Arial" w:cs="Arial"/>
          <w:bCs/>
          <w:iCs/>
          <w:sz w:val="26"/>
          <w:szCs w:val="26"/>
        </w:rPr>
        <w:t>,</w:t>
      </w:r>
      <w:r w:rsidR="00585CE9" w:rsidRPr="00F37C43">
        <w:rPr>
          <w:rFonts w:ascii="Arial" w:hAnsi="Arial" w:cs="Arial"/>
          <w:bCs/>
          <w:iCs/>
          <w:sz w:val="26"/>
          <w:szCs w:val="26"/>
        </w:rPr>
        <w:t xml:space="preserve"> dado que se trata de un Recurso de Revisión interpuesto en contra </w:t>
      </w:r>
      <w:r w:rsidR="00585CE9">
        <w:rPr>
          <w:rFonts w:ascii="Arial" w:hAnsi="Arial" w:cs="Arial"/>
          <w:bCs/>
          <w:iCs/>
          <w:sz w:val="26"/>
          <w:szCs w:val="26"/>
        </w:rPr>
        <w:t xml:space="preserve">de sentencia de 30 treinta de mayo </w:t>
      </w:r>
      <w:r w:rsidR="00585CE9">
        <w:rPr>
          <w:rFonts w:ascii="Arial" w:hAnsi="Arial" w:cs="Arial"/>
          <w:sz w:val="26"/>
          <w:szCs w:val="26"/>
        </w:rPr>
        <w:t>de 2018 dos mil dieciocho, dictada por la Primera Sala Unitaria de Primera Instancia del Tribunal</w:t>
      </w:r>
      <w:r w:rsidR="00585CE9" w:rsidRPr="00A52F58">
        <w:rPr>
          <w:rFonts w:ascii="Arial" w:hAnsi="Arial" w:cs="Arial"/>
          <w:bCs/>
          <w:iCs/>
          <w:sz w:val="26"/>
          <w:szCs w:val="26"/>
        </w:rPr>
        <w:t xml:space="preserve"> </w:t>
      </w:r>
      <w:r w:rsidR="00585CE9">
        <w:rPr>
          <w:rFonts w:ascii="Arial" w:hAnsi="Arial" w:cs="Arial"/>
          <w:bCs/>
          <w:iCs/>
          <w:sz w:val="26"/>
          <w:szCs w:val="26"/>
        </w:rPr>
        <w:t xml:space="preserve">de Justicia Administrativa del Estado de Oaxaca, </w:t>
      </w:r>
      <w:r w:rsidR="00585CE9" w:rsidRPr="00F37C43">
        <w:rPr>
          <w:rFonts w:ascii="Arial" w:hAnsi="Arial" w:cs="Arial"/>
          <w:bCs/>
          <w:iCs/>
          <w:sz w:val="26"/>
          <w:szCs w:val="26"/>
        </w:rPr>
        <w:t xml:space="preserve">en el </w:t>
      </w:r>
      <w:r w:rsidR="00585CE9">
        <w:rPr>
          <w:rFonts w:ascii="Arial" w:hAnsi="Arial" w:cs="Arial"/>
          <w:bCs/>
          <w:iCs/>
          <w:sz w:val="26"/>
          <w:szCs w:val="26"/>
          <w:lang w:eastAsia="es-ES"/>
        </w:rPr>
        <w:t xml:space="preserve">expediente </w:t>
      </w:r>
      <w:r w:rsidR="00585CE9" w:rsidRPr="00A04ADC">
        <w:rPr>
          <w:rFonts w:ascii="Arial" w:hAnsi="Arial" w:cs="Arial"/>
          <w:b/>
          <w:bCs/>
          <w:iCs/>
          <w:sz w:val="26"/>
          <w:szCs w:val="26"/>
          <w:lang w:eastAsia="es-ES"/>
        </w:rPr>
        <w:t>0</w:t>
      </w:r>
      <w:r w:rsidR="00585CE9">
        <w:rPr>
          <w:rFonts w:ascii="Arial" w:hAnsi="Arial" w:cs="Arial"/>
          <w:b/>
          <w:bCs/>
          <w:iCs/>
          <w:sz w:val="26"/>
          <w:szCs w:val="26"/>
          <w:lang w:eastAsia="es-ES"/>
        </w:rPr>
        <w:t>130</w:t>
      </w:r>
      <w:r w:rsidR="00585CE9" w:rsidRPr="00A04ADC">
        <w:rPr>
          <w:rFonts w:ascii="Arial" w:hAnsi="Arial" w:cs="Arial"/>
          <w:b/>
          <w:bCs/>
          <w:iCs/>
          <w:sz w:val="26"/>
          <w:szCs w:val="26"/>
          <w:lang w:eastAsia="es-ES"/>
        </w:rPr>
        <w:t>/201</w:t>
      </w:r>
      <w:r w:rsidR="00585CE9">
        <w:rPr>
          <w:rFonts w:ascii="Arial" w:hAnsi="Arial" w:cs="Arial"/>
          <w:b/>
          <w:bCs/>
          <w:iCs/>
          <w:sz w:val="26"/>
          <w:szCs w:val="26"/>
          <w:lang w:eastAsia="es-ES"/>
        </w:rPr>
        <w:t>7</w:t>
      </w:r>
      <w:r w:rsidR="00585CE9" w:rsidRPr="00A04ADC">
        <w:rPr>
          <w:rFonts w:ascii="Arial" w:hAnsi="Arial" w:cs="Arial"/>
          <w:b/>
          <w:bCs/>
          <w:iCs/>
          <w:sz w:val="26"/>
          <w:szCs w:val="26"/>
          <w:lang w:eastAsia="es-ES"/>
        </w:rPr>
        <w:t>.</w:t>
      </w:r>
    </w:p>
    <w:p w:rsidR="00585CE9" w:rsidRDefault="00585CE9" w:rsidP="004B5229">
      <w:pPr>
        <w:widowControl w:val="0"/>
        <w:tabs>
          <w:tab w:val="left" w:pos="7938"/>
        </w:tabs>
        <w:spacing w:line="360" w:lineRule="auto"/>
        <w:ind w:right="51" w:firstLine="709"/>
        <w:jc w:val="both"/>
        <w:rPr>
          <w:rFonts w:ascii="Arial" w:hAnsi="Arial" w:cs="Arial"/>
          <w:sz w:val="26"/>
          <w:szCs w:val="26"/>
        </w:rPr>
      </w:pPr>
      <w:r w:rsidRPr="00A04ADC">
        <w:rPr>
          <w:rFonts w:ascii="Arial" w:hAnsi="Arial" w:cs="Arial"/>
          <w:b/>
          <w:bCs/>
          <w:sz w:val="26"/>
          <w:szCs w:val="26"/>
        </w:rPr>
        <w:t>SEGUNDO.</w:t>
      </w:r>
      <w:r w:rsidRPr="00A04ADC">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585CE9" w:rsidRDefault="00585CE9" w:rsidP="004B5229">
      <w:pPr>
        <w:spacing w:line="360" w:lineRule="auto"/>
        <w:ind w:right="51" w:firstLine="708"/>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585CE9" w:rsidRDefault="00585CE9" w:rsidP="004B5229">
      <w:pPr>
        <w:spacing w:after="0" w:line="240" w:lineRule="auto"/>
        <w:ind w:left="1134" w:right="901" w:firstLine="709"/>
        <w:jc w:val="both"/>
        <w:rPr>
          <w:rFonts w:cs="Calibri"/>
          <w:bCs/>
          <w:i/>
          <w:color w:val="000000"/>
        </w:rPr>
      </w:pPr>
      <w:r w:rsidRPr="004A7E77">
        <w:rPr>
          <w:rFonts w:cs="Calibri"/>
          <w:b/>
          <w:bCs/>
          <w:i/>
          <w:color w:val="000000"/>
        </w:rPr>
        <w:t>“CONCEPTOS DE VIOLACIÓN. NO ES OBLIGATORIO TRANSCRIBIRLOS EN LA SENTENCIA</w:t>
      </w:r>
      <w:r w:rsidRPr="004A7E77">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4B5229" w:rsidRPr="002A2CAA" w:rsidRDefault="004B5229" w:rsidP="004B5229">
      <w:pPr>
        <w:spacing w:after="0" w:line="240" w:lineRule="auto"/>
        <w:ind w:left="1134" w:right="901" w:firstLine="709"/>
        <w:jc w:val="both"/>
        <w:rPr>
          <w:rFonts w:ascii="Arial" w:hAnsi="Arial" w:cs="Arial"/>
          <w:bCs/>
          <w:sz w:val="26"/>
          <w:szCs w:val="26"/>
        </w:rPr>
      </w:pPr>
    </w:p>
    <w:p w:rsidR="00585CE9" w:rsidRDefault="00585CE9" w:rsidP="00585CE9">
      <w:pPr>
        <w:spacing w:line="360" w:lineRule="auto"/>
        <w:ind w:firstLine="708"/>
        <w:jc w:val="both"/>
        <w:rPr>
          <w:rFonts w:ascii="Arial" w:hAnsi="Arial" w:cs="Arial"/>
          <w:b/>
          <w:bCs/>
          <w:sz w:val="26"/>
          <w:szCs w:val="26"/>
        </w:rPr>
      </w:pPr>
      <w:r w:rsidRPr="000161D7">
        <w:rPr>
          <w:rFonts w:ascii="Arial" w:hAnsi="Arial" w:cs="Arial"/>
          <w:b/>
          <w:bCs/>
          <w:sz w:val="26"/>
          <w:szCs w:val="26"/>
        </w:rPr>
        <w:t xml:space="preserve">TERCERO. </w:t>
      </w:r>
      <w:r>
        <w:rPr>
          <w:rFonts w:ascii="Arial" w:hAnsi="Arial" w:cs="Arial"/>
          <w:bCs/>
          <w:sz w:val="26"/>
          <w:szCs w:val="26"/>
        </w:rPr>
        <w:t xml:space="preserve">Previo a entrar al análisis de las constancias que conforman el expediente de Primera Instancia, cabe resaltar que en el </w:t>
      </w:r>
      <w:r>
        <w:rPr>
          <w:rFonts w:ascii="Arial" w:hAnsi="Arial" w:cs="Arial"/>
          <w:bCs/>
          <w:sz w:val="26"/>
          <w:szCs w:val="26"/>
        </w:rPr>
        <w:lastRenderedPageBreak/>
        <w:t xml:space="preserve">juicio contencioso administrativo es regla fundamental, la consistente en analizar en primer orden las violaciones procesales alegadas o aquellas que se adviertan de oficio por el Tribunal; conforme a lo dispuesto por el </w:t>
      </w:r>
      <w:r w:rsidR="001164B8">
        <w:rPr>
          <w:rFonts w:ascii="Arial" w:hAnsi="Arial" w:cs="Arial"/>
          <w:bCs/>
          <w:sz w:val="26"/>
          <w:szCs w:val="26"/>
        </w:rPr>
        <w:t>artículo 23</w:t>
      </w:r>
      <w:r w:rsidRPr="001164B8">
        <w:rPr>
          <w:rFonts w:ascii="Arial" w:hAnsi="Arial" w:cs="Arial"/>
          <w:bCs/>
          <w:sz w:val="26"/>
          <w:szCs w:val="26"/>
        </w:rPr>
        <w:t>6, fracción V</w:t>
      </w:r>
      <w:r w:rsidR="002B5040">
        <w:rPr>
          <w:rFonts w:ascii="Arial" w:hAnsi="Arial" w:cs="Arial"/>
          <w:bCs/>
          <w:sz w:val="26"/>
          <w:szCs w:val="26"/>
        </w:rPr>
        <w:t>I</w:t>
      </w:r>
      <w:r w:rsidRPr="001164B8">
        <w:rPr>
          <w:rFonts w:ascii="Arial" w:hAnsi="Arial" w:cs="Arial"/>
          <w:bCs/>
          <w:sz w:val="26"/>
          <w:szCs w:val="26"/>
        </w:rPr>
        <w:t>II</w:t>
      </w:r>
      <w:r w:rsidRPr="001164B8">
        <w:rPr>
          <w:rStyle w:val="Refdenotaalpie"/>
          <w:rFonts w:ascii="Arial" w:hAnsi="Arial" w:cs="Arial"/>
          <w:bCs/>
          <w:sz w:val="26"/>
          <w:szCs w:val="26"/>
        </w:rPr>
        <w:footnoteReference w:id="1"/>
      </w:r>
      <w:r w:rsidRPr="001164B8">
        <w:rPr>
          <w:rFonts w:ascii="Arial" w:hAnsi="Arial" w:cs="Arial"/>
          <w:bCs/>
          <w:sz w:val="26"/>
          <w:szCs w:val="26"/>
        </w:rPr>
        <w:t>,</w:t>
      </w:r>
      <w:r>
        <w:rPr>
          <w:rFonts w:ascii="Arial" w:hAnsi="Arial" w:cs="Arial"/>
          <w:bCs/>
          <w:sz w:val="26"/>
          <w:szCs w:val="26"/>
        </w:rPr>
        <w:t xml:space="preserve"> de la Ley de</w:t>
      </w:r>
      <w:r w:rsidR="001164B8">
        <w:rPr>
          <w:rFonts w:ascii="Arial" w:hAnsi="Arial" w:cs="Arial"/>
          <w:bCs/>
          <w:sz w:val="26"/>
          <w:szCs w:val="26"/>
        </w:rPr>
        <w:t xml:space="preserve"> Procedimiento y</w:t>
      </w:r>
      <w:r>
        <w:rPr>
          <w:rFonts w:ascii="Arial" w:hAnsi="Arial" w:cs="Arial"/>
          <w:bCs/>
          <w:sz w:val="26"/>
          <w:szCs w:val="26"/>
        </w:rPr>
        <w:t xml:space="preserve"> Justicia Administrativa para el Estado.</w:t>
      </w:r>
    </w:p>
    <w:p w:rsidR="00585CE9" w:rsidRDefault="00585CE9" w:rsidP="00585CE9">
      <w:pPr>
        <w:spacing w:before="240" w:line="360" w:lineRule="auto"/>
        <w:ind w:firstLine="708"/>
        <w:jc w:val="both"/>
        <w:rPr>
          <w:rFonts w:ascii="Arial" w:hAnsi="Arial" w:cs="Arial"/>
          <w:bCs/>
          <w:sz w:val="26"/>
          <w:szCs w:val="26"/>
        </w:rPr>
      </w:pPr>
      <w:r>
        <w:rPr>
          <w:rFonts w:ascii="Arial" w:hAnsi="Arial" w:cs="Arial"/>
          <w:bCs/>
          <w:sz w:val="26"/>
          <w:szCs w:val="26"/>
        </w:rPr>
        <w:t>En ese sentido se refiere el criterio contenido en la jurisprudencia XIX.1o.P.T. J/14, que resulta aplicable por identidad jurídica, mismas que es sostenida por el Primer Tribunal Colegiado en Materias Penal y de Trabajo del Décimo Noveno Circuito, visible a página 3103, Tomo XXXIII, del Semanario Judicial de la Federación y su gaceta, enero de 2011, de rubro y texto siguientes:</w:t>
      </w:r>
    </w:p>
    <w:p w:rsidR="00585CE9" w:rsidRDefault="00585CE9" w:rsidP="004B5229">
      <w:pPr>
        <w:spacing w:after="0" w:line="240" w:lineRule="auto"/>
        <w:ind w:left="1134" w:right="901"/>
        <w:jc w:val="both"/>
        <w:rPr>
          <w:rFonts w:ascii="Arial" w:hAnsi="Arial" w:cs="Arial"/>
          <w:color w:val="808080"/>
          <w:sz w:val="16"/>
          <w:szCs w:val="16"/>
        </w:rPr>
      </w:pPr>
      <w:r>
        <w:rPr>
          <w:rFonts w:ascii="Arial" w:hAnsi="Arial" w:cs="Arial"/>
          <w:b/>
          <w:bCs/>
          <w:i/>
          <w:sz w:val="26"/>
          <w:szCs w:val="26"/>
        </w:rPr>
        <w:t>“</w:t>
      </w:r>
      <w:r w:rsidRPr="008C538F">
        <w:rPr>
          <w:rFonts w:ascii="Arial" w:hAnsi="Arial" w:cs="Arial"/>
          <w:b/>
          <w:bCs/>
          <w:i/>
          <w:sz w:val="26"/>
          <w:szCs w:val="26"/>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Pr>
          <w:rFonts w:ascii="Arial" w:hAnsi="Arial" w:cs="Arial"/>
          <w:b/>
          <w:bCs/>
          <w:i/>
          <w:sz w:val="26"/>
          <w:szCs w:val="26"/>
        </w:rPr>
        <w:t xml:space="preserve"> </w:t>
      </w:r>
      <w:r w:rsidRPr="008C538F">
        <w:rPr>
          <w:rFonts w:ascii="Arial" w:hAnsi="Arial" w:cs="Arial"/>
          <w:bCs/>
          <w:i/>
          <w:sz w:val="26"/>
          <w:szCs w:val="26"/>
        </w:rPr>
        <w:t xml:space="preserve">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w:t>
      </w:r>
      <w:r w:rsidRPr="008C538F">
        <w:rPr>
          <w:rFonts w:ascii="Arial" w:hAnsi="Arial" w:cs="Arial"/>
          <w:bCs/>
          <w:i/>
          <w:sz w:val="26"/>
          <w:szCs w:val="26"/>
        </w:rPr>
        <w:lastRenderedPageBreak/>
        <w:t>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w:t>
      </w:r>
      <w:r>
        <w:rPr>
          <w:rFonts w:ascii="Arial" w:hAnsi="Arial" w:cs="Arial"/>
          <w:bCs/>
          <w:i/>
          <w:sz w:val="26"/>
          <w:szCs w:val="26"/>
        </w:rPr>
        <w:t>via al análisis de los agravios”</w:t>
      </w:r>
      <w:r>
        <w:rPr>
          <w:rFonts w:ascii="Arial" w:hAnsi="Arial" w:cs="Arial"/>
          <w:bCs/>
          <w:sz w:val="26"/>
          <w:szCs w:val="26"/>
        </w:rPr>
        <w:t>.</w:t>
      </w:r>
    </w:p>
    <w:p w:rsidR="00585CE9" w:rsidRDefault="00585CE9" w:rsidP="004B5229">
      <w:pPr>
        <w:spacing w:after="0" w:line="360" w:lineRule="auto"/>
        <w:ind w:left="1134" w:right="901" w:firstLine="708"/>
        <w:jc w:val="both"/>
        <w:rPr>
          <w:rFonts w:ascii="Arial" w:hAnsi="Arial" w:cs="Arial"/>
          <w:sz w:val="26"/>
          <w:szCs w:val="26"/>
        </w:rPr>
      </w:pPr>
    </w:p>
    <w:p w:rsidR="00585CE9" w:rsidRPr="007D3C49" w:rsidRDefault="00585CE9" w:rsidP="004B5229">
      <w:pPr>
        <w:spacing w:line="360" w:lineRule="auto"/>
        <w:ind w:right="51" w:firstLine="708"/>
        <w:jc w:val="both"/>
        <w:rPr>
          <w:rFonts w:ascii="Arial" w:hAnsi="Arial" w:cs="Arial"/>
          <w:bCs/>
          <w:sz w:val="26"/>
          <w:szCs w:val="26"/>
        </w:rPr>
      </w:pPr>
      <w:r>
        <w:rPr>
          <w:rFonts w:ascii="Arial" w:hAnsi="Arial" w:cs="Arial"/>
          <w:sz w:val="26"/>
          <w:szCs w:val="26"/>
        </w:rPr>
        <w:t xml:space="preserve">Ahora, de las </w:t>
      </w:r>
      <w:r w:rsidRPr="00A74412">
        <w:rPr>
          <w:rFonts w:ascii="Arial" w:hAnsi="Arial" w:cs="Arial"/>
          <w:sz w:val="26"/>
          <w:szCs w:val="26"/>
        </w:rPr>
        <w:t xml:space="preserve">constancias </w:t>
      </w:r>
      <w:r>
        <w:rPr>
          <w:rFonts w:ascii="Arial" w:hAnsi="Arial" w:cs="Arial"/>
          <w:sz w:val="26"/>
          <w:szCs w:val="26"/>
        </w:rPr>
        <w:t xml:space="preserve">de autos que fueron </w:t>
      </w:r>
      <w:r w:rsidRPr="00A74412">
        <w:rPr>
          <w:rFonts w:ascii="Arial" w:hAnsi="Arial" w:cs="Arial"/>
          <w:sz w:val="26"/>
          <w:szCs w:val="26"/>
        </w:rPr>
        <w:t xml:space="preserve">remitidas para la </w:t>
      </w:r>
      <w:r>
        <w:rPr>
          <w:rFonts w:ascii="Arial" w:hAnsi="Arial" w:cs="Arial"/>
          <w:sz w:val="26"/>
          <w:szCs w:val="26"/>
        </w:rPr>
        <w:t xml:space="preserve">sustanciación de la presente alzada, con valor probatorio pleno, por tratarse de actuaciones judiciales, conforme a lo dispuesto por la fracción I, del </w:t>
      </w:r>
      <w:r w:rsidR="002B5040" w:rsidRPr="002B5040">
        <w:rPr>
          <w:rFonts w:ascii="Arial" w:hAnsi="Arial" w:cs="Arial"/>
          <w:sz w:val="26"/>
          <w:szCs w:val="26"/>
        </w:rPr>
        <w:t>artículo 20</w:t>
      </w:r>
      <w:r w:rsidRPr="002B5040">
        <w:rPr>
          <w:rFonts w:ascii="Arial" w:hAnsi="Arial" w:cs="Arial"/>
          <w:sz w:val="26"/>
          <w:szCs w:val="26"/>
        </w:rPr>
        <w:t>3, de la Ley de</w:t>
      </w:r>
      <w:r>
        <w:rPr>
          <w:rFonts w:ascii="Arial" w:hAnsi="Arial" w:cs="Arial"/>
          <w:sz w:val="26"/>
          <w:szCs w:val="26"/>
        </w:rPr>
        <w:t xml:space="preserve"> </w:t>
      </w:r>
      <w:r w:rsidR="002B5040">
        <w:rPr>
          <w:rFonts w:ascii="Arial" w:hAnsi="Arial" w:cs="Arial"/>
          <w:sz w:val="26"/>
          <w:szCs w:val="26"/>
        </w:rPr>
        <w:t xml:space="preserve">Procedimiento </w:t>
      </w:r>
      <w:r>
        <w:rPr>
          <w:rFonts w:ascii="Arial" w:hAnsi="Arial" w:cs="Arial"/>
          <w:sz w:val="26"/>
          <w:szCs w:val="26"/>
        </w:rPr>
        <w:t>Justicia Administrativa para el Estado, permiten establecer lo siguiente:</w:t>
      </w:r>
    </w:p>
    <w:p w:rsidR="00840CE5" w:rsidRPr="00840CE5" w:rsidRDefault="00585CE9" w:rsidP="00840CE5">
      <w:pPr>
        <w:pStyle w:val="Prrafodelista"/>
        <w:numPr>
          <w:ilvl w:val="0"/>
          <w:numId w:val="2"/>
        </w:numPr>
        <w:spacing w:after="0" w:line="360" w:lineRule="auto"/>
        <w:ind w:right="51"/>
        <w:jc w:val="both"/>
        <w:rPr>
          <w:rFonts w:ascii="Arial" w:hAnsi="Arial" w:cs="Arial"/>
          <w:sz w:val="26"/>
          <w:szCs w:val="26"/>
        </w:rPr>
      </w:pPr>
      <w:r w:rsidRPr="00840CE5">
        <w:rPr>
          <w:rFonts w:ascii="Arial" w:hAnsi="Arial" w:cs="Arial"/>
          <w:sz w:val="26"/>
          <w:szCs w:val="26"/>
        </w:rPr>
        <w:t xml:space="preserve">Que por auto de </w:t>
      </w:r>
      <w:r w:rsidR="004B5229" w:rsidRPr="00840CE5">
        <w:rPr>
          <w:rFonts w:ascii="Arial" w:hAnsi="Arial" w:cs="Arial"/>
          <w:sz w:val="26"/>
          <w:szCs w:val="26"/>
        </w:rPr>
        <w:t>0</w:t>
      </w:r>
      <w:r w:rsidRPr="00840CE5">
        <w:rPr>
          <w:rFonts w:ascii="Arial" w:hAnsi="Arial" w:cs="Arial"/>
          <w:sz w:val="26"/>
          <w:szCs w:val="26"/>
        </w:rPr>
        <w:t xml:space="preserve">6 seis de </w:t>
      </w:r>
      <w:r w:rsidR="004B5229" w:rsidRPr="00840CE5">
        <w:rPr>
          <w:rFonts w:ascii="Arial" w:hAnsi="Arial" w:cs="Arial"/>
          <w:sz w:val="26"/>
          <w:szCs w:val="26"/>
        </w:rPr>
        <w:t xml:space="preserve">noviembre </w:t>
      </w:r>
      <w:r w:rsidRPr="00840CE5">
        <w:rPr>
          <w:rFonts w:ascii="Arial" w:hAnsi="Arial" w:cs="Arial"/>
          <w:sz w:val="26"/>
          <w:szCs w:val="26"/>
        </w:rPr>
        <w:t xml:space="preserve">de 2017 dos mil diecisiete, se admitió a trámite la demanda de nulidad promovida por </w:t>
      </w:r>
      <w:r w:rsidR="00807B69">
        <w:rPr>
          <w:rFonts w:ascii="Arial" w:hAnsi="Arial" w:cs="Arial"/>
          <w:sz w:val="26"/>
          <w:szCs w:val="26"/>
        </w:rPr>
        <w:t>**********</w:t>
      </w:r>
      <w:r w:rsidRPr="00840CE5">
        <w:rPr>
          <w:rFonts w:ascii="Arial" w:hAnsi="Arial" w:cs="Arial"/>
          <w:sz w:val="26"/>
          <w:szCs w:val="26"/>
        </w:rPr>
        <w:t xml:space="preserve">, en contra del Presidente Municipal del Honorable Ayuntamiento Constitucional de Villa de Tututepec, </w:t>
      </w:r>
      <w:r w:rsidR="004B5229" w:rsidRPr="00840CE5">
        <w:rPr>
          <w:rFonts w:ascii="Arial" w:hAnsi="Arial" w:cs="Arial"/>
          <w:sz w:val="26"/>
          <w:szCs w:val="26"/>
        </w:rPr>
        <w:t>Juquila</w:t>
      </w:r>
      <w:r w:rsidRPr="00840CE5">
        <w:rPr>
          <w:rFonts w:ascii="Arial" w:hAnsi="Arial" w:cs="Arial"/>
          <w:sz w:val="26"/>
          <w:szCs w:val="26"/>
        </w:rPr>
        <w:t>, Oaxaca y Director de Seguridad Pública y Vialidad del mismo Municipio, a quienes demanda diversas prestaciones, entre ellas, impugna la nulidad de la orden verbal de baja definitiva del cargo de Policía Municipal</w:t>
      </w:r>
      <w:r w:rsidRPr="00840CE5">
        <w:rPr>
          <w:rFonts w:ascii="Arial" w:hAnsi="Arial" w:cs="Arial"/>
          <w:bCs/>
          <w:sz w:val="26"/>
          <w:szCs w:val="26"/>
        </w:rPr>
        <w:t>; ordenando la Primera Instancia notificar, emplazar y correr traslado a las autoridades demandadas.</w:t>
      </w:r>
    </w:p>
    <w:p w:rsidR="00585CE9" w:rsidRPr="00840CE5" w:rsidRDefault="00585CE9" w:rsidP="00840CE5">
      <w:pPr>
        <w:pStyle w:val="Prrafodelista"/>
        <w:numPr>
          <w:ilvl w:val="0"/>
          <w:numId w:val="2"/>
        </w:numPr>
        <w:spacing w:line="360" w:lineRule="auto"/>
        <w:ind w:right="51"/>
        <w:jc w:val="both"/>
        <w:rPr>
          <w:rFonts w:ascii="Arial" w:hAnsi="Arial" w:cs="Arial"/>
          <w:sz w:val="26"/>
          <w:szCs w:val="26"/>
        </w:rPr>
      </w:pPr>
      <w:r w:rsidRPr="00840CE5">
        <w:rPr>
          <w:rFonts w:ascii="Arial" w:hAnsi="Arial" w:cs="Arial"/>
          <w:bCs/>
          <w:sz w:val="26"/>
          <w:szCs w:val="26"/>
        </w:rPr>
        <w:t>Que en el plazo concedido, mediante proveído de 30 treinta de enero de 2018 dos mil dieciocho, se tuvo a las autoridades demandadas en tiempo y forma dando contestación a la demanda entablada en su contra, señalando en el mismo acuerdo día y hora para que tuviera verificativo la audiencia final.</w:t>
      </w:r>
    </w:p>
    <w:p w:rsidR="00585CE9" w:rsidRDefault="00585CE9" w:rsidP="004B5229">
      <w:pPr>
        <w:spacing w:line="360" w:lineRule="auto"/>
        <w:ind w:right="51" w:firstLine="708"/>
        <w:jc w:val="both"/>
        <w:rPr>
          <w:rFonts w:ascii="Arial" w:hAnsi="Arial" w:cs="Arial"/>
          <w:bCs/>
          <w:sz w:val="26"/>
          <w:szCs w:val="26"/>
        </w:rPr>
      </w:pPr>
      <w:r>
        <w:rPr>
          <w:rFonts w:ascii="Arial" w:hAnsi="Arial" w:cs="Arial"/>
          <w:bCs/>
          <w:sz w:val="26"/>
          <w:szCs w:val="26"/>
        </w:rPr>
        <w:t>Sin embargo, en el acuerdo emitido por la primera instancia el 30 treinta de enero de enero de 2018 dos mil dieciocho, se advierte no se otorgó el derecho a la parte actora para ampliar su escrito de demanda en términos de los dispuesto por el artículo 1</w:t>
      </w:r>
      <w:r w:rsidR="002B5040">
        <w:rPr>
          <w:rFonts w:ascii="Arial" w:hAnsi="Arial" w:cs="Arial"/>
          <w:bCs/>
          <w:sz w:val="26"/>
          <w:szCs w:val="26"/>
        </w:rPr>
        <w:t>8</w:t>
      </w:r>
      <w:r>
        <w:rPr>
          <w:rFonts w:ascii="Arial" w:hAnsi="Arial" w:cs="Arial"/>
          <w:bCs/>
          <w:sz w:val="26"/>
          <w:szCs w:val="26"/>
        </w:rPr>
        <w:t xml:space="preserve">0 de la Ley de </w:t>
      </w:r>
      <w:r w:rsidR="002B5040">
        <w:rPr>
          <w:rFonts w:ascii="Arial" w:hAnsi="Arial" w:cs="Arial"/>
          <w:bCs/>
          <w:sz w:val="26"/>
          <w:szCs w:val="26"/>
        </w:rPr>
        <w:t xml:space="preserve">Procedimiento y </w:t>
      </w:r>
      <w:r>
        <w:rPr>
          <w:rFonts w:ascii="Arial" w:hAnsi="Arial" w:cs="Arial"/>
          <w:bCs/>
          <w:sz w:val="26"/>
          <w:szCs w:val="26"/>
        </w:rPr>
        <w:t xml:space="preserve">Justicia Administrativa para el Estado de Oaxaca, es así, dado que la autoridad demandada argumenta en su escrito de contestación de demanda que no ha emitido orden ni verbal ni escrita </w:t>
      </w:r>
      <w:r>
        <w:rPr>
          <w:rFonts w:ascii="Arial" w:hAnsi="Arial" w:cs="Arial"/>
          <w:bCs/>
          <w:sz w:val="26"/>
          <w:szCs w:val="26"/>
        </w:rPr>
        <w:lastRenderedPageBreak/>
        <w:t>para determinar la baja del actor como policía municipal; por tanto, le asiste el derecho al actor del presente juicio para ampliar la demanda, que al no considerarlo así la primera instancia, incurrió con ello, en violación a las normas fundamentales que regulan el procedimiento, violación que influyó en el sentido de la sentencia dictada, dejando sin defensa a la parte actora, al no darle la oportunidad de controvertir los argumentos expuestos por las demandadas al contestar la demanda formulada en su contra.</w:t>
      </w:r>
    </w:p>
    <w:p w:rsidR="00585CE9" w:rsidRDefault="00585CE9" w:rsidP="004B5229">
      <w:pPr>
        <w:spacing w:line="360" w:lineRule="auto"/>
        <w:ind w:right="51" w:firstLine="708"/>
        <w:jc w:val="both"/>
        <w:rPr>
          <w:rFonts w:ascii="Arial" w:hAnsi="Arial" w:cs="Arial"/>
          <w:bCs/>
          <w:i/>
          <w:sz w:val="26"/>
          <w:szCs w:val="26"/>
        </w:rPr>
      </w:pPr>
      <w:r>
        <w:rPr>
          <w:rFonts w:ascii="Arial" w:hAnsi="Arial" w:cs="Arial"/>
          <w:bCs/>
          <w:sz w:val="26"/>
          <w:szCs w:val="26"/>
        </w:rPr>
        <w:t>Luego, si como se constata, esta trasgresión a las normas del procedimiento, trascendió al sentido del fallo, dejando sin defensa a la parte actora, dado que en el acuerdo en cita, la Magistrada de Primera Instancia no otorgó el derecho a la parte actora para realizar la ampliación de su demanda en atención a los argumentos vertidos por las demandadas al contestar el escrito de demanda</w:t>
      </w:r>
      <w:r>
        <w:rPr>
          <w:rFonts w:ascii="Arial" w:hAnsi="Arial" w:cs="Arial"/>
          <w:bCs/>
          <w:i/>
          <w:sz w:val="26"/>
          <w:szCs w:val="26"/>
        </w:rPr>
        <w:t>.</w:t>
      </w:r>
    </w:p>
    <w:p w:rsidR="00585CE9" w:rsidRDefault="00585CE9" w:rsidP="004B5229">
      <w:pPr>
        <w:spacing w:line="360" w:lineRule="auto"/>
        <w:ind w:right="51" w:firstLine="708"/>
        <w:jc w:val="both"/>
        <w:rPr>
          <w:rFonts w:ascii="Arial" w:hAnsi="Arial" w:cs="Arial"/>
          <w:bCs/>
          <w:sz w:val="26"/>
          <w:szCs w:val="26"/>
        </w:rPr>
      </w:pPr>
      <w:r>
        <w:rPr>
          <w:rFonts w:ascii="Arial" w:hAnsi="Arial" w:cs="Arial"/>
          <w:bCs/>
          <w:sz w:val="26"/>
          <w:szCs w:val="26"/>
        </w:rPr>
        <w:t>Por las narradas consideraciones, es que se imposibilita entrar al estudio y análisis de la materia de la revisión, que es la sentencia recurrida emitida por la primera instancia, dado que es producto de procedimiento viciado, ante la violación procesal de mérito, al haberse transgredido la garantía de la tutela judicial efectiva, y, en consecuencia, no es posible la existencia de un juicio válido.</w:t>
      </w:r>
    </w:p>
    <w:p w:rsidR="00585CE9" w:rsidRPr="00B610AD" w:rsidRDefault="00585CE9" w:rsidP="004B5229">
      <w:pPr>
        <w:spacing w:line="360" w:lineRule="auto"/>
        <w:ind w:right="51" w:firstLine="708"/>
        <w:jc w:val="both"/>
        <w:rPr>
          <w:rFonts w:ascii="Arial" w:hAnsi="Arial" w:cs="Arial"/>
          <w:bCs/>
          <w:sz w:val="26"/>
          <w:szCs w:val="26"/>
        </w:rPr>
      </w:pPr>
      <w:r>
        <w:rPr>
          <w:rFonts w:ascii="Arial" w:hAnsi="Arial" w:cs="Arial"/>
          <w:bCs/>
          <w:sz w:val="26"/>
          <w:szCs w:val="26"/>
        </w:rPr>
        <w:t>T</w:t>
      </w:r>
      <w:r w:rsidR="00840CE5">
        <w:rPr>
          <w:rFonts w:ascii="Arial" w:hAnsi="Arial" w:cs="Arial"/>
          <w:bCs/>
          <w:sz w:val="26"/>
          <w:szCs w:val="26"/>
        </w:rPr>
        <w:t xml:space="preserve">al </w:t>
      </w:r>
      <w:r w:rsidRPr="00B610AD">
        <w:rPr>
          <w:rFonts w:ascii="Arial" w:hAnsi="Arial" w:cs="Arial"/>
          <w:bCs/>
          <w:sz w:val="26"/>
          <w:szCs w:val="26"/>
        </w:rPr>
        <w:t>proceder de la inferior</w:t>
      </w:r>
      <w:r>
        <w:rPr>
          <w:rFonts w:ascii="Arial" w:hAnsi="Arial" w:cs="Arial"/>
          <w:bCs/>
          <w:sz w:val="26"/>
          <w:szCs w:val="26"/>
        </w:rPr>
        <w:t>, impide el desarrollo del debido proceso</w:t>
      </w:r>
      <w:r w:rsidRPr="00B610AD">
        <w:rPr>
          <w:rFonts w:ascii="Arial" w:hAnsi="Arial" w:cs="Arial"/>
          <w:bCs/>
          <w:sz w:val="26"/>
          <w:szCs w:val="26"/>
        </w:rPr>
        <w:t>, necesari</w:t>
      </w:r>
      <w:r>
        <w:rPr>
          <w:rFonts w:ascii="Arial" w:hAnsi="Arial" w:cs="Arial"/>
          <w:bCs/>
          <w:sz w:val="26"/>
          <w:szCs w:val="26"/>
        </w:rPr>
        <w:t>o</w:t>
      </w:r>
      <w:r w:rsidRPr="00B610AD">
        <w:rPr>
          <w:rFonts w:ascii="Arial" w:hAnsi="Arial" w:cs="Arial"/>
          <w:bCs/>
          <w:sz w:val="26"/>
          <w:szCs w:val="26"/>
        </w:rPr>
        <w:t xml:space="preserve"> para el pronunciamiento de </w:t>
      </w:r>
      <w:r>
        <w:rPr>
          <w:rFonts w:ascii="Arial" w:hAnsi="Arial" w:cs="Arial"/>
          <w:bCs/>
          <w:sz w:val="26"/>
          <w:szCs w:val="26"/>
        </w:rPr>
        <w:t xml:space="preserve">la </w:t>
      </w:r>
      <w:r w:rsidRPr="00B610AD">
        <w:rPr>
          <w:rFonts w:ascii="Arial" w:hAnsi="Arial" w:cs="Arial"/>
          <w:bCs/>
          <w:sz w:val="26"/>
          <w:szCs w:val="26"/>
        </w:rPr>
        <w:t>decisión sometid</w:t>
      </w:r>
      <w:r>
        <w:rPr>
          <w:rFonts w:ascii="Arial" w:hAnsi="Arial" w:cs="Arial"/>
          <w:bCs/>
          <w:sz w:val="26"/>
          <w:szCs w:val="26"/>
        </w:rPr>
        <w:t>a</w:t>
      </w:r>
      <w:r w:rsidRPr="00B610AD">
        <w:rPr>
          <w:rFonts w:ascii="Arial" w:hAnsi="Arial" w:cs="Arial"/>
          <w:bCs/>
          <w:sz w:val="26"/>
          <w:szCs w:val="26"/>
        </w:rPr>
        <w:t xml:space="preserve"> a su jurisdicció</w:t>
      </w:r>
      <w:r w:rsidR="002B5040">
        <w:rPr>
          <w:rFonts w:ascii="Arial" w:hAnsi="Arial" w:cs="Arial"/>
          <w:bCs/>
          <w:sz w:val="26"/>
          <w:szCs w:val="26"/>
        </w:rPr>
        <w:t>n, como le obliga el artículo 20</w:t>
      </w:r>
      <w:r w:rsidRPr="00B610AD">
        <w:rPr>
          <w:rFonts w:ascii="Arial" w:hAnsi="Arial" w:cs="Arial"/>
          <w:bCs/>
          <w:sz w:val="26"/>
          <w:szCs w:val="26"/>
        </w:rPr>
        <w:t xml:space="preserve">6 de la Ley </w:t>
      </w:r>
      <w:r>
        <w:rPr>
          <w:rFonts w:ascii="Arial" w:hAnsi="Arial" w:cs="Arial"/>
          <w:bCs/>
          <w:sz w:val="26"/>
          <w:szCs w:val="26"/>
        </w:rPr>
        <w:t>de la materia</w:t>
      </w:r>
      <w:r w:rsidRPr="00B610AD">
        <w:rPr>
          <w:rFonts w:ascii="Arial" w:hAnsi="Arial" w:cs="Arial"/>
          <w:bCs/>
          <w:sz w:val="26"/>
          <w:szCs w:val="26"/>
        </w:rPr>
        <w:t xml:space="preserve">, </w:t>
      </w:r>
      <w:r>
        <w:rPr>
          <w:rFonts w:ascii="Arial" w:hAnsi="Arial" w:cs="Arial"/>
          <w:bCs/>
          <w:sz w:val="26"/>
          <w:szCs w:val="26"/>
        </w:rPr>
        <w:t xml:space="preserve">por lo que </w:t>
      </w:r>
      <w:r w:rsidRPr="00B610AD">
        <w:rPr>
          <w:rFonts w:ascii="Arial" w:hAnsi="Arial" w:cs="Arial"/>
          <w:bCs/>
          <w:sz w:val="26"/>
          <w:szCs w:val="26"/>
        </w:rPr>
        <w:t xml:space="preserve">se impone declarar ineficaces las actuaciones de primera instancia, a partir del proveído </w:t>
      </w:r>
      <w:r>
        <w:rPr>
          <w:rFonts w:ascii="Arial" w:hAnsi="Arial" w:cs="Arial"/>
          <w:bCs/>
          <w:sz w:val="26"/>
          <w:szCs w:val="26"/>
        </w:rPr>
        <w:t>de 30 treinta de enero de enero de 2018 dos mil dieciocho</w:t>
      </w:r>
      <w:r w:rsidRPr="00B610AD">
        <w:rPr>
          <w:rFonts w:ascii="Arial" w:hAnsi="Arial" w:cs="Arial"/>
          <w:bCs/>
          <w:sz w:val="26"/>
          <w:szCs w:val="26"/>
        </w:rPr>
        <w:t>, inclusive, y ordenar la reposición del procedimiento, retrotrayéndolo hasta tal actuación, a fin de que provea co</w:t>
      </w:r>
      <w:r>
        <w:rPr>
          <w:rFonts w:ascii="Arial" w:hAnsi="Arial" w:cs="Arial"/>
          <w:bCs/>
          <w:sz w:val="26"/>
          <w:szCs w:val="26"/>
        </w:rPr>
        <w:t>nforme a derecho otorgando haciendo los apercibimientos correspondientes para el caso de no acreditar la personería</w:t>
      </w:r>
      <w:r w:rsidRPr="00B610AD">
        <w:rPr>
          <w:rFonts w:ascii="Arial" w:hAnsi="Arial" w:cs="Arial"/>
          <w:bCs/>
          <w:sz w:val="26"/>
          <w:szCs w:val="26"/>
        </w:rPr>
        <w:t>.</w:t>
      </w:r>
    </w:p>
    <w:p w:rsidR="00585CE9" w:rsidRPr="00277C18" w:rsidRDefault="00585CE9" w:rsidP="004B5229">
      <w:pPr>
        <w:spacing w:line="360" w:lineRule="auto"/>
        <w:ind w:right="51" w:firstLine="708"/>
        <w:jc w:val="both"/>
        <w:rPr>
          <w:rFonts w:ascii="Arial" w:hAnsi="Arial" w:cs="Arial"/>
          <w:bCs/>
          <w:sz w:val="26"/>
          <w:szCs w:val="26"/>
        </w:rPr>
      </w:pPr>
      <w:r>
        <w:rPr>
          <w:rFonts w:ascii="Arial" w:hAnsi="Arial" w:cs="Arial"/>
          <w:bCs/>
          <w:sz w:val="26"/>
          <w:szCs w:val="26"/>
        </w:rPr>
        <w:t>Dado que el acuerdo motivo de la presente alzada, se incluye en las actuaciones derivadas de procedimiento ilegal, debe revocarse para posibilitar la reposición del procedimiento, antes señalado.</w:t>
      </w:r>
    </w:p>
    <w:p w:rsidR="00585CE9" w:rsidRDefault="00585CE9" w:rsidP="004B5229">
      <w:pPr>
        <w:pStyle w:val="Sinespaciado"/>
        <w:spacing w:after="200" w:line="360" w:lineRule="auto"/>
        <w:ind w:right="51" w:firstLine="708"/>
        <w:jc w:val="both"/>
        <w:rPr>
          <w:rFonts w:ascii="Arial" w:hAnsi="Arial" w:cs="Arial"/>
          <w:bCs/>
          <w:color w:val="000000"/>
          <w:sz w:val="26"/>
          <w:szCs w:val="26"/>
          <w:lang w:val="es-MX"/>
        </w:rPr>
      </w:pPr>
      <w:r>
        <w:rPr>
          <w:rFonts w:ascii="Arial" w:hAnsi="Arial" w:cs="Arial"/>
          <w:sz w:val="26"/>
          <w:szCs w:val="26"/>
          <w:lang w:val="es-MX"/>
        </w:rPr>
        <w:t>En mérito de lo anterior, con fundamento en los artículos 2</w:t>
      </w:r>
      <w:r w:rsidR="002B5040">
        <w:rPr>
          <w:rFonts w:ascii="Arial" w:hAnsi="Arial" w:cs="Arial"/>
          <w:sz w:val="26"/>
          <w:szCs w:val="26"/>
          <w:lang w:val="es-MX"/>
        </w:rPr>
        <w:t>3</w:t>
      </w:r>
      <w:r>
        <w:rPr>
          <w:rFonts w:ascii="Arial" w:hAnsi="Arial" w:cs="Arial"/>
          <w:sz w:val="26"/>
          <w:szCs w:val="26"/>
          <w:lang w:val="es-MX"/>
        </w:rPr>
        <w:t>7 y 2</w:t>
      </w:r>
      <w:r w:rsidR="002B5040">
        <w:rPr>
          <w:rFonts w:ascii="Arial" w:hAnsi="Arial" w:cs="Arial"/>
          <w:sz w:val="26"/>
          <w:szCs w:val="26"/>
          <w:lang w:val="es-MX"/>
        </w:rPr>
        <w:t>3</w:t>
      </w:r>
      <w:r>
        <w:rPr>
          <w:rFonts w:ascii="Arial" w:hAnsi="Arial" w:cs="Arial"/>
          <w:sz w:val="26"/>
          <w:szCs w:val="26"/>
          <w:lang w:val="es-MX"/>
        </w:rPr>
        <w:t xml:space="preserve">8 de la Ley de </w:t>
      </w:r>
      <w:r w:rsidR="002B5040">
        <w:rPr>
          <w:rFonts w:ascii="Arial" w:hAnsi="Arial" w:cs="Arial"/>
          <w:sz w:val="26"/>
          <w:szCs w:val="26"/>
          <w:lang w:val="es-MX"/>
        </w:rPr>
        <w:t xml:space="preserve">Procedimiento y </w:t>
      </w:r>
      <w:r>
        <w:rPr>
          <w:rFonts w:ascii="Arial" w:hAnsi="Arial" w:cs="Arial"/>
          <w:sz w:val="26"/>
          <w:szCs w:val="26"/>
          <w:lang w:val="es-MX"/>
        </w:rPr>
        <w:t>Justicia Administrativa para el Estado,</w:t>
      </w:r>
      <w:r w:rsidR="00CD41CD">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w:t>
      </w:r>
    </w:p>
    <w:p w:rsidR="00585CE9" w:rsidRDefault="00585CE9" w:rsidP="00840CE5">
      <w:pPr>
        <w:tabs>
          <w:tab w:val="left" w:pos="1134"/>
        </w:tabs>
        <w:spacing w:after="0" w:line="360" w:lineRule="auto"/>
        <w:jc w:val="center"/>
        <w:rPr>
          <w:rFonts w:ascii="Arial" w:hAnsi="Arial" w:cs="Arial"/>
          <w:b/>
          <w:color w:val="000000"/>
          <w:sz w:val="26"/>
          <w:szCs w:val="26"/>
        </w:rPr>
      </w:pPr>
      <w:r w:rsidRPr="00D10FA1">
        <w:rPr>
          <w:rFonts w:ascii="Arial" w:hAnsi="Arial" w:cs="Arial"/>
          <w:b/>
          <w:color w:val="000000"/>
          <w:sz w:val="26"/>
          <w:szCs w:val="26"/>
        </w:rPr>
        <w:lastRenderedPageBreak/>
        <w:t>R E S U E L V E</w:t>
      </w:r>
      <w:r w:rsidR="00840CE5">
        <w:rPr>
          <w:rFonts w:ascii="Arial" w:hAnsi="Arial" w:cs="Arial"/>
          <w:b/>
          <w:color w:val="000000"/>
          <w:sz w:val="26"/>
          <w:szCs w:val="26"/>
        </w:rPr>
        <w:t>:</w:t>
      </w:r>
    </w:p>
    <w:p w:rsidR="00840CE5" w:rsidRDefault="00840CE5" w:rsidP="00840CE5">
      <w:pPr>
        <w:tabs>
          <w:tab w:val="left" w:pos="1134"/>
        </w:tabs>
        <w:spacing w:after="0" w:line="360" w:lineRule="auto"/>
        <w:jc w:val="center"/>
        <w:rPr>
          <w:rFonts w:ascii="Arial" w:hAnsi="Arial" w:cs="Arial"/>
          <w:b/>
          <w:color w:val="000000"/>
          <w:sz w:val="26"/>
          <w:szCs w:val="26"/>
        </w:rPr>
      </w:pPr>
    </w:p>
    <w:p w:rsidR="00585CE9" w:rsidRDefault="00585CE9" w:rsidP="00840CE5">
      <w:pPr>
        <w:widowControl w:val="0"/>
        <w:tabs>
          <w:tab w:val="left" w:pos="7938"/>
        </w:tabs>
        <w:spacing w:after="0" w:line="360" w:lineRule="auto"/>
        <w:ind w:firstLine="709"/>
        <w:jc w:val="both"/>
        <w:rPr>
          <w:rFonts w:ascii="Arial" w:hAnsi="Arial" w:cs="Arial"/>
          <w:sz w:val="26"/>
          <w:szCs w:val="26"/>
        </w:rPr>
      </w:pPr>
      <w:r w:rsidRPr="00D10FA1">
        <w:rPr>
          <w:rFonts w:ascii="Arial" w:hAnsi="Arial" w:cs="Arial"/>
          <w:b/>
          <w:color w:val="000000"/>
          <w:sz w:val="26"/>
          <w:szCs w:val="26"/>
        </w:rPr>
        <w:t>PRIMERO</w:t>
      </w:r>
      <w:r w:rsidRPr="00D10FA1">
        <w:rPr>
          <w:rFonts w:ascii="Arial" w:hAnsi="Arial" w:cs="Arial"/>
          <w:color w:val="000000"/>
          <w:sz w:val="26"/>
          <w:szCs w:val="26"/>
        </w:rPr>
        <w:t xml:space="preserve">. </w:t>
      </w:r>
      <w:r w:rsidRPr="00CE1F0A">
        <w:rPr>
          <w:rFonts w:ascii="Arial" w:hAnsi="Arial" w:cs="Arial"/>
          <w:sz w:val="26"/>
          <w:szCs w:val="26"/>
        </w:rPr>
        <w:t xml:space="preserve">Se </w:t>
      </w:r>
      <w:r>
        <w:rPr>
          <w:rFonts w:ascii="Arial" w:hAnsi="Arial" w:cs="Arial"/>
          <w:b/>
          <w:sz w:val="26"/>
          <w:szCs w:val="26"/>
        </w:rPr>
        <w:t>REVOCA</w:t>
      </w:r>
      <w:r w:rsidRPr="00CE1F0A">
        <w:rPr>
          <w:rFonts w:ascii="Arial" w:hAnsi="Arial" w:cs="Arial"/>
          <w:b/>
          <w:sz w:val="26"/>
          <w:szCs w:val="26"/>
        </w:rPr>
        <w:t xml:space="preserve"> </w:t>
      </w:r>
      <w:r w:rsidR="00CD41CD">
        <w:rPr>
          <w:rFonts w:ascii="Arial" w:hAnsi="Arial" w:cs="Arial"/>
          <w:sz w:val="26"/>
          <w:szCs w:val="26"/>
        </w:rPr>
        <w:t>la sentencia recurrida</w:t>
      </w:r>
      <w:r w:rsidRPr="00CE1F0A">
        <w:rPr>
          <w:rFonts w:ascii="Arial" w:hAnsi="Arial" w:cs="Arial"/>
          <w:sz w:val="26"/>
          <w:szCs w:val="26"/>
        </w:rPr>
        <w:t xml:space="preserve">, </w:t>
      </w:r>
      <w:r>
        <w:rPr>
          <w:rFonts w:ascii="Arial" w:hAnsi="Arial" w:cs="Arial"/>
          <w:sz w:val="26"/>
          <w:szCs w:val="26"/>
        </w:rPr>
        <w:t xml:space="preserve">para el efecto de reponer el procedimiento, en los términos especificados en el considerando que </w:t>
      </w:r>
      <w:r w:rsidR="00840CE5">
        <w:rPr>
          <w:rFonts w:ascii="Arial" w:hAnsi="Arial" w:cs="Arial"/>
          <w:sz w:val="26"/>
          <w:szCs w:val="26"/>
        </w:rPr>
        <w:t>antecede.</w:t>
      </w:r>
    </w:p>
    <w:p w:rsidR="00840CE5" w:rsidRDefault="00840CE5" w:rsidP="00840CE5">
      <w:pPr>
        <w:widowControl w:val="0"/>
        <w:tabs>
          <w:tab w:val="left" w:pos="7938"/>
        </w:tabs>
        <w:spacing w:after="0" w:line="360" w:lineRule="auto"/>
        <w:ind w:firstLine="709"/>
        <w:jc w:val="both"/>
        <w:rPr>
          <w:rFonts w:ascii="Arial" w:hAnsi="Arial" w:cs="Arial"/>
          <w:sz w:val="26"/>
          <w:szCs w:val="26"/>
        </w:rPr>
      </w:pPr>
    </w:p>
    <w:p w:rsidR="00585CE9" w:rsidRDefault="00585CE9" w:rsidP="00840CE5">
      <w:pPr>
        <w:spacing w:after="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w:t>
      </w:r>
      <w:r w:rsidR="00840CE5">
        <w:rPr>
          <w:rFonts w:ascii="Arial" w:hAnsi="Arial" w:cs="Arial"/>
          <w:sz w:val="26"/>
          <w:szCs w:val="26"/>
        </w:rPr>
        <w:t>000.</w:t>
      </w:r>
    </w:p>
    <w:p w:rsidR="00840CE5" w:rsidRPr="00A861C8" w:rsidRDefault="00840CE5" w:rsidP="00840CE5">
      <w:pPr>
        <w:spacing w:after="0" w:line="360" w:lineRule="auto"/>
        <w:ind w:firstLine="708"/>
        <w:jc w:val="both"/>
        <w:rPr>
          <w:rFonts w:ascii="Arial" w:hAnsi="Arial" w:cs="Arial"/>
          <w:sz w:val="26"/>
          <w:szCs w:val="26"/>
        </w:rPr>
      </w:pPr>
    </w:p>
    <w:p w:rsidR="00585CE9" w:rsidRDefault="00585CE9" w:rsidP="00840CE5">
      <w:pPr>
        <w:autoSpaceDE w:val="0"/>
        <w:autoSpaceDN w:val="0"/>
        <w:adjustRightInd w:val="0"/>
        <w:spacing w:after="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bCs/>
          <w:sz w:val="26"/>
          <w:szCs w:val="26"/>
        </w:rPr>
        <w:t xml:space="preserve">Agréguese a los autos el </w:t>
      </w:r>
      <w:r w:rsidRPr="00681ADF">
        <w:rPr>
          <w:rFonts w:ascii="Arial" w:hAnsi="Arial" w:cs="Arial"/>
          <w:bCs/>
          <w:sz w:val="26"/>
          <w:szCs w:val="26"/>
        </w:rPr>
        <w:t xml:space="preserve">escrito de la parte actora </w:t>
      </w:r>
      <w:r>
        <w:rPr>
          <w:rFonts w:ascii="Arial" w:hAnsi="Arial" w:cs="Arial"/>
          <w:bCs/>
          <w:sz w:val="26"/>
          <w:szCs w:val="26"/>
        </w:rPr>
        <w:t>y recurrente en el presente expediente</w:t>
      </w:r>
      <w:r w:rsidRPr="00681ADF">
        <w:rPr>
          <w:rFonts w:ascii="Arial" w:hAnsi="Arial" w:cs="Arial"/>
          <w:bCs/>
          <w:sz w:val="26"/>
          <w:szCs w:val="26"/>
        </w:rPr>
        <w:t>, recibido el 1</w:t>
      </w:r>
      <w:r>
        <w:rPr>
          <w:rFonts w:ascii="Arial" w:hAnsi="Arial" w:cs="Arial"/>
          <w:bCs/>
          <w:sz w:val="26"/>
          <w:szCs w:val="26"/>
        </w:rPr>
        <w:t>5 quince</w:t>
      </w:r>
      <w:r w:rsidRPr="00681ADF">
        <w:rPr>
          <w:rFonts w:ascii="Arial" w:hAnsi="Arial" w:cs="Arial"/>
          <w:bCs/>
          <w:sz w:val="26"/>
          <w:szCs w:val="26"/>
        </w:rPr>
        <w:t xml:space="preserve"> de </w:t>
      </w:r>
      <w:r>
        <w:rPr>
          <w:rFonts w:ascii="Arial" w:hAnsi="Arial" w:cs="Arial"/>
          <w:bCs/>
          <w:sz w:val="26"/>
          <w:szCs w:val="26"/>
        </w:rPr>
        <w:t>febrero</w:t>
      </w:r>
      <w:r w:rsidRPr="00681ADF">
        <w:rPr>
          <w:rFonts w:ascii="Arial" w:hAnsi="Arial" w:cs="Arial"/>
          <w:bCs/>
          <w:sz w:val="26"/>
          <w:szCs w:val="26"/>
        </w:rPr>
        <w:t xml:space="preserve"> de</w:t>
      </w:r>
      <w:r>
        <w:rPr>
          <w:rFonts w:ascii="Arial" w:hAnsi="Arial" w:cs="Arial"/>
          <w:bCs/>
          <w:sz w:val="26"/>
          <w:szCs w:val="26"/>
        </w:rPr>
        <w:t xml:space="preserve"> </w:t>
      </w:r>
      <w:r w:rsidRPr="00681ADF">
        <w:rPr>
          <w:rFonts w:ascii="Arial" w:hAnsi="Arial" w:cs="Arial"/>
          <w:bCs/>
          <w:sz w:val="26"/>
          <w:szCs w:val="26"/>
        </w:rPr>
        <w:t>l</w:t>
      </w:r>
      <w:r>
        <w:rPr>
          <w:rFonts w:ascii="Arial" w:hAnsi="Arial" w:cs="Arial"/>
          <w:bCs/>
          <w:sz w:val="26"/>
          <w:szCs w:val="26"/>
        </w:rPr>
        <w:t>a presente anualidad</w:t>
      </w:r>
      <w:r w:rsidRPr="00681ADF">
        <w:rPr>
          <w:rFonts w:ascii="Arial" w:hAnsi="Arial" w:cs="Arial"/>
          <w:bCs/>
          <w:sz w:val="26"/>
          <w:szCs w:val="26"/>
        </w:rPr>
        <w:t>,</w:t>
      </w:r>
      <w:r>
        <w:rPr>
          <w:rFonts w:ascii="Arial" w:hAnsi="Arial" w:cs="Arial"/>
          <w:bCs/>
          <w:sz w:val="26"/>
          <w:szCs w:val="26"/>
        </w:rPr>
        <w:t xml:space="preserve"> visto su contenido</w:t>
      </w:r>
      <w:r w:rsidRPr="00681ADF">
        <w:rPr>
          <w:rFonts w:ascii="Arial" w:hAnsi="Arial" w:cs="Arial"/>
          <w:bCs/>
          <w:sz w:val="26"/>
          <w:szCs w:val="26"/>
        </w:rPr>
        <w:t xml:space="preserve">, </w:t>
      </w:r>
      <w:r>
        <w:rPr>
          <w:rFonts w:ascii="Arial" w:hAnsi="Arial" w:cs="Arial"/>
          <w:bCs/>
          <w:sz w:val="26"/>
          <w:szCs w:val="26"/>
        </w:rPr>
        <w:t>acorde a</w:t>
      </w:r>
      <w:r w:rsidRPr="00681ADF">
        <w:rPr>
          <w:rFonts w:ascii="Arial" w:hAnsi="Arial" w:cs="Arial"/>
          <w:bCs/>
          <w:sz w:val="26"/>
          <w:szCs w:val="26"/>
        </w:rPr>
        <w:t xml:space="preserve"> lo dispuesto por el artíc</w:t>
      </w:r>
      <w:r w:rsidR="00283819">
        <w:rPr>
          <w:rFonts w:ascii="Arial" w:hAnsi="Arial" w:cs="Arial"/>
          <w:bCs/>
          <w:sz w:val="26"/>
          <w:szCs w:val="26"/>
        </w:rPr>
        <w:t>ulo 17</w:t>
      </w:r>
      <w:r w:rsidRPr="00681ADF">
        <w:rPr>
          <w:rFonts w:ascii="Arial" w:hAnsi="Arial" w:cs="Arial"/>
          <w:bCs/>
          <w:sz w:val="26"/>
          <w:szCs w:val="26"/>
        </w:rPr>
        <w:t xml:space="preserve">1, de la Ley de </w:t>
      </w:r>
      <w:r w:rsidR="00283819">
        <w:rPr>
          <w:rFonts w:ascii="Arial" w:hAnsi="Arial" w:cs="Arial"/>
          <w:bCs/>
          <w:sz w:val="26"/>
          <w:szCs w:val="26"/>
        </w:rPr>
        <w:t xml:space="preserve">Procedimiento y </w:t>
      </w:r>
      <w:r w:rsidRPr="00681ADF">
        <w:rPr>
          <w:rFonts w:ascii="Arial" w:hAnsi="Arial" w:cs="Arial"/>
          <w:bCs/>
          <w:sz w:val="26"/>
          <w:szCs w:val="26"/>
        </w:rPr>
        <w:t xml:space="preserve">Justicia Administrativa para el Estado de Oaxaca, </w:t>
      </w:r>
      <w:r>
        <w:rPr>
          <w:rFonts w:ascii="Arial" w:hAnsi="Arial" w:cs="Arial"/>
          <w:bCs/>
          <w:sz w:val="26"/>
          <w:szCs w:val="26"/>
        </w:rPr>
        <w:t>se</w:t>
      </w:r>
      <w:r w:rsidRPr="00681ADF">
        <w:rPr>
          <w:rFonts w:ascii="Arial" w:hAnsi="Arial" w:cs="Arial"/>
          <w:sz w:val="26"/>
          <w:szCs w:val="26"/>
        </w:rPr>
        <w:t xml:space="preserve"> tiene al promovente</w:t>
      </w:r>
      <w:r w:rsidRPr="00681ADF">
        <w:rPr>
          <w:rFonts w:ascii="Arial" w:hAnsi="Arial" w:cs="Arial"/>
          <w:b/>
          <w:sz w:val="26"/>
          <w:szCs w:val="26"/>
        </w:rPr>
        <w:t xml:space="preserve"> revocando</w:t>
      </w:r>
      <w:r w:rsidRPr="00681ADF">
        <w:rPr>
          <w:rFonts w:ascii="Arial" w:hAnsi="Arial" w:cs="Arial"/>
          <w:sz w:val="26"/>
          <w:szCs w:val="26"/>
        </w:rPr>
        <w:t xml:space="preserve"> el domicilio </w:t>
      </w:r>
      <w:r>
        <w:rPr>
          <w:rFonts w:ascii="Arial" w:hAnsi="Arial" w:cs="Arial"/>
          <w:sz w:val="26"/>
          <w:szCs w:val="26"/>
        </w:rPr>
        <w:t>que tenía señalado para oír y recibir notificaciones</w:t>
      </w:r>
      <w:r w:rsidRPr="00681ADF">
        <w:rPr>
          <w:rFonts w:ascii="Arial" w:hAnsi="Arial" w:cs="Arial"/>
          <w:sz w:val="26"/>
          <w:szCs w:val="26"/>
        </w:rPr>
        <w:t xml:space="preserve"> y designado el que indica</w:t>
      </w:r>
      <w:r>
        <w:rPr>
          <w:rFonts w:ascii="Arial" w:hAnsi="Arial" w:cs="Arial"/>
          <w:sz w:val="26"/>
          <w:szCs w:val="26"/>
        </w:rPr>
        <w:t xml:space="preserve"> para el mismo fin, sin revocar autorizados</w:t>
      </w:r>
      <w:r w:rsidR="00840CE5">
        <w:rPr>
          <w:rFonts w:ascii="Arial" w:hAnsi="Arial" w:cs="Arial"/>
          <w:sz w:val="26"/>
          <w:szCs w:val="26"/>
        </w:rPr>
        <w:t>.</w:t>
      </w:r>
    </w:p>
    <w:p w:rsidR="00840CE5" w:rsidRPr="00681ADF" w:rsidRDefault="00840CE5" w:rsidP="00840CE5">
      <w:pPr>
        <w:autoSpaceDE w:val="0"/>
        <w:autoSpaceDN w:val="0"/>
        <w:adjustRightInd w:val="0"/>
        <w:spacing w:after="0" w:line="360" w:lineRule="auto"/>
        <w:ind w:firstLine="708"/>
        <w:jc w:val="both"/>
        <w:rPr>
          <w:rFonts w:ascii="Arial" w:hAnsi="Arial" w:cs="Arial"/>
          <w:sz w:val="26"/>
          <w:szCs w:val="26"/>
        </w:rPr>
      </w:pPr>
    </w:p>
    <w:p w:rsidR="00585CE9" w:rsidRDefault="00585CE9" w:rsidP="00840CE5">
      <w:pPr>
        <w:spacing w:after="0"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r w:rsidR="00840CE5">
        <w:rPr>
          <w:rFonts w:ascii="Arial" w:hAnsi="Arial" w:cs="Arial"/>
          <w:sz w:val="26"/>
          <w:szCs w:val="26"/>
        </w:rPr>
        <w:t>.</w:t>
      </w:r>
    </w:p>
    <w:p w:rsidR="00840CE5" w:rsidRPr="002A598F" w:rsidRDefault="00840CE5" w:rsidP="00840CE5">
      <w:pPr>
        <w:spacing w:after="0" w:line="360" w:lineRule="auto"/>
        <w:ind w:firstLine="708"/>
        <w:jc w:val="both"/>
        <w:rPr>
          <w:rFonts w:ascii="Arial" w:hAnsi="Arial" w:cs="Arial"/>
          <w:sz w:val="26"/>
          <w:szCs w:val="26"/>
        </w:rPr>
      </w:pPr>
    </w:p>
    <w:p w:rsidR="00840CE5" w:rsidRDefault="00840CE5" w:rsidP="00840CE5">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w:t>
      </w:r>
      <w:r w:rsidR="00C50A8F">
        <w:rPr>
          <w:rFonts w:ascii="Arial" w:hAnsi="Arial" w:cs="Arial"/>
          <w:sz w:val="26"/>
          <w:szCs w:val="26"/>
        </w:rPr>
        <w:t>rtínez;</w:t>
      </w:r>
      <w:r>
        <w:rPr>
          <w:rFonts w:ascii="Arial" w:hAnsi="Arial" w:cs="Arial"/>
          <w:sz w:val="26"/>
          <w:szCs w:val="26"/>
        </w:rPr>
        <w:t xml:space="preserve"> quienes actúan con la Secretaria General de Acuerdos de este Tribunal, que autoriza y da fe.</w:t>
      </w:r>
    </w:p>
    <w:p w:rsidR="00840CE5" w:rsidRDefault="00840CE5" w:rsidP="00840CE5">
      <w:pPr>
        <w:spacing w:after="0" w:line="360" w:lineRule="auto"/>
        <w:ind w:firstLine="708"/>
        <w:jc w:val="both"/>
        <w:rPr>
          <w:rFonts w:ascii="Arial" w:hAnsi="Arial" w:cs="Arial"/>
          <w:sz w:val="26"/>
          <w:szCs w:val="26"/>
        </w:rPr>
      </w:pPr>
    </w:p>
    <w:p w:rsidR="00840CE5" w:rsidRDefault="00840CE5" w:rsidP="00840CE5">
      <w:pPr>
        <w:spacing w:after="0"/>
        <w:jc w:val="center"/>
        <w:rPr>
          <w:rFonts w:ascii="Arial" w:hAnsi="Arial" w:cs="Arial"/>
          <w:sz w:val="26"/>
          <w:szCs w:val="26"/>
        </w:rPr>
      </w:pPr>
    </w:p>
    <w:p w:rsidR="00840CE5" w:rsidRDefault="00840CE5" w:rsidP="00840CE5">
      <w:pPr>
        <w:spacing w:after="0"/>
        <w:jc w:val="center"/>
        <w:rPr>
          <w:rFonts w:ascii="Arial" w:hAnsi="Arial" w:cs="Arial"/>
          <w:sz w:val="26"/>
          <w:szCs w:val="26"/>
        </w:rPr>
      </w:pPr>
    </w:p>
    <w:p w:rsidR="00840CE5" w:rsidRDefault="00840CE5" w:rsidP="00840CE5">
      <w:pPr>
        <w:spacing w:after="0"/>
        <w:jc w:val="center"/>
        <w:rPr>
          <w:rFonts w:ascii="Arial" w:hAnsi="Arial" w:cs="Arial"/>
          <w:sz w:val="26"/>
          <w:szCs w:val="26"/>
        </w:rPr>
      </w:pPr>
    </w:p>
    <w:p w:rsidR="00840CE5" w:rsidRDefault="00840CE5" w:rsidP="00840CE5">
      <w:pPr>
        <w:spacing w:after="0"/>
        <w:jc w:val="center"/>
        <w:rPr>
          <w:rFonts w:ascii="Arial" w:hAnsi="Arial" w:cs="Arial"/>
          <w:sz w:val="26"/>
          <w:szCs w:val="26"/>
        </w:rPr>
      </w:pPr>
    </w:p>
    <w:p w:rsidR="00840CE5" w:rsidRDefault="00840CE5" w:rsidP="00840CE5">
      <w:pPr>
        <w:spacing w:after="0"/>
        <w:jc w:val="center"/>
        <w:rPr>
          <w:rFonts w:ascii="Arial" w:hAnsi="Arial" w:cs="Arial"/>
          <w:sz w:val="26"/>
          <w:szCs w:val="26"/>
        </w:rPr>
      </w:pPr>
    </w:p>
    <w:p w:rsidR="00840CE5" w:rsidRDefault="00840CE5" w:rsidP="00840CE5">
      <w:pPr>
        <w:spacing w:after="0"/>
        <w:jc w:val="center"/>
        <w:rPr>
          <w:rFonts w:ascii="Arial" w:hAnsi="Arial" w:cs="Arial"/>
          <w:sz w:val="26"/>
          <w:szCs w:val="26"/>
        </w:rPr>
      </w:pPr>
      <w:r>
        <w:rPr>
          <w:rFonts w:ascii="Arial" w:hAnsi="Arial" w:cs="Arial"/>
          <w:sz w:val="26"/>
          <w:szCs w:val="26"/>
        </w:rPr>
        <w:t>MAGISTRADO ADRIÁN QUIROGA AVENDAÑO.</w:t>
      </w:r>
    </w:p>
    <w:p w:rsidR="00840CE5" w:rsidRDefault="00840CE5" w:rsidP="00840CE5">
      <w:pPr>
        <w:spacing w:after="0"/>
        <w:jc w:val="center"/>
        <w:rPr>
          <w:rFonts w:ascii="Arial" w:hAnsi="Arial" w:cs="Arial"/>
          <w:sz w:val="26"/>
          <w:szCs w:val="26"/>
        </w:rPr>
      </w:pPr>
      <w:r>
        <w:rPr>
          <w:rFonts w:ascii="Arial" w:hAnsi="Arial" w:cs="Arial"/>
          <w:sz w:val="26"/>
          <w:szCs w:val="26"/>
        </w:rPr>
        <w:t>PRESIDENTE</w:t>
      </w:r>
    </w:p>
    <w:p w:rsidR="00840CE5" w:rsidRDefault="00840CE5" w:rsidP="00840CE5">
      <w:pPr>
        <w:rPr>
          <w:rFonts w:ascii="Arial" w:hAnsi="Arial" w:cs="Arial"/>
          <w:sz w:val="26"/>
          <w:szCs w:val="26"/>
        </w:rPr>
      </w:pPr>
    </w:p>
    <w:p w:rsidR="00840CE5" w:rsidRDefault="00840CE5" w:rsidP="00840CE5">
      <w:pPr>
        <w:jc w:val="center"/>
        <w:rPr>
          <w:rFonts w:ascii="Arial" w:hAnsi="Arial" w:cs="Arial"/>
          <w:sz w:val="26"/>
          <w:szCs w:val="26"/>
        </w:rPr>
      </w:pPr>
    </w:p>
    <w:p w:rsidR="00840CE5" w:rsidRDefault="00840CE5" w:rsidP="00840CE5">
      <w:pPr>
        <w:jc w:val="center"/>
        <w:rPr>
          <w:rFonts w:ascii="Arial" w:hAnsi="Arial" w:cs="Arial"/>
          <w:sz w:val="26"/>
          <w:szCs w:val="26"/>
        </w:rPr>
      </w:pPr>
    </w:p>
    <w:p w:rsidR="00840CE5" w:rsidRDefault="00840CE5" w:rsidP="00840CE5">
      <w:pPr>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r>
        <w:rPr>
          <w:rFonts w:ascii="Arial" w:hAnsi="Arial" w:cs="Arial"/>
          <w:sz w:val="26"/>
          <w:szCs w:val="26"/>
        </w:rPr>
        <w:t>MAGISTRADO HUGO VILLEGAS AQUINO.</w:t>
      </w:r>
    </w:p>
    <w:p w:rsidR="00840CE5" w:rsidRDefault="00840CE5" w:rsidP="00840CE5">
      <w:pPr>
        <w:spacing w:line="360" w:lineRule="auto"/>
        <w:jc w:val="center"/>
        <w:rPr>
          <w:rFonts w:ascii="Arial" w:hAnsi="Arial" w:cs="Arial"/>
          <w:sz w:val="14"/>
          <w:szCs w:val="26"/>
        </w:rPr>
      </w:pPr>
    </w:p>
    <w:p w:rsidR="00840CE5" w:rsidRDefault="00840CE5" w:rsidP="00840CE5">
      <w:pPr>
        <w:spacing w:line="360" w:lineRule="auto"/>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r>
        <w:rPr>
          <w:rFonts w:ascii="Arial" w:hAnsi="Arial" w:cs="Arial"/>
          <w:sz w:val="26"/>
          <w:szCs w:val="26"/>
        </w:rPr>
        <w:t>MAGISTRADA MARÍA ELENA VILLA DE JARQUÍN</w:t>
      </w:r>
    </w:p>
    <w:p w:rsidR="00840CE5" w:rsidRDefault="00840CE5" w:rsidP="00840CE5">
      <w:pPr>
        <w:spacing w:line="360" w:lineRule="auto"/>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p>
    <w:p w:rsidR="00840CE5" w:rsidRDefault="00840CE5" w:rsidP="00840CE5">
      <w:pPr>
        <w:spacing w:line="360" w:lineRule="auto"/>
        <w:jc w:val="center"/>
        <w:rPr>
          <w:rFonts w:ascii="Arial" w:hAnsi="Arial" w:cs="Arial"/>
          <w:sz w:val="26"/>
          <w:szCs w:val="26"/>
        </w:rPr>
      </w:pPr>
    </w:p>
    <w:p w:rsidR="00840CE5" w:rsidRDefault="00840CE5" w:rsidP="00840CE5">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840CE5" w:rsidRDefault="00840CE5" w:rsidP="00840CE5">
      <w:pPr>
        <w:jc w:val="center"/>
        <w:rPr>
          <w:rFonts w:ascii="Arial" w:eastAsia="Times New Roman" w:hAnsi="Arial" w:cs="Arial"/>
          <w:sz w:val="26"/>
          <w:szCs w:val="26"/>
        </w:rPr>
      </w:pPr>
    </w:p>
    <w:p w:rsidR="00840CE5" w:rsidRDefault="00840CE5" w:rsidP="00840CE5">
      <w:pPr>
        <w:rPr>
          <w:rFonts w:ascii="Arial" w:eastAsia="Times New Roman" w:hAnsi="Arial" w:cs="Arial"/>
          <w:sz w:val="26"/>
          <w:szCs w:val="26"/>
        </w:rPr>
      </w:pPr>
    </w:p>
    <w:p w:rsidR="00840CE5" w:rsidRDefault="00840CE5" w:rsidP="00840CE5">
      <w:pPr>
        <w:rPr>
          <w:rFonts w:ascii="Arial" w:eastAsia="Times New Roman" w:hAnsi="Arial" w:cs="Arial"/>
          <w:sz w:val="26"/>
          <w:szCs w:val="26"/>
        </w:rPr>
      </w:pPr>
    </w:p>
    <w:p w:rsidR="00840CE5" w:rsidRDefault="00840CE5" w:rsidP="00840CE5">
      <w:pPr>
        <w:jc w:val="center"/>
        <w:rPr>
          <w:rFonts w:ascii="Arial" w:eastAsia="Times New Roman" w:hAnsi="Arial" w:cs="Arial"/>
          <w:sz w:val="26"/>
          <w:szCs w:val="26"/>
        </w:rPr>
      </w:pPr>
    </w:p>
    <w:p w:rsidR="00840CE5" w:rsidRDefault="00840CE5" w:rsidP="00840CE5">
      <w:pPr>
        <w:jc w:val="center"/>
        <w:rPr>
          <w:rFonts w:ascii="Arial" w:eastAsia="Times New Roman" w:hAnsi="Arial" w:cs="Arial"/>
          <w:sz w:val="26"/>
          <w:szCs w:val="26"/>
        </w:rPr>
      </w:pPr>
    </w:p>
    <w:p w:rsidR="00840CE5" w:rsidRDefault="00840CE5" w:rsidP="00840CE5">
      <w:pPr>
        <w:spacing w:after="0"/>
        <w:jc w:val="center"/>
        <w:rPr>
          <w:rFonts w:ascii="Arial" w:hAnsi="Arial" w:cs="Arial"/>
          <w:sz w:val="26"/>
          <w:szCs w:val="26"/>
        </w:rPr>
      </w:pPr>
      <w:r>
        <w:rPr>
          <w:rFonts w:ascii="Arial" w:hAnsi="Arial" w:cs="Arial"/>
          <w:sz w:val="26"/>
          <w:szCs w:val="26"/>
        </w:rPr>
        <w:t>LICENCIADA LETICIA GARCIA SOTO.</w:t>
      </w:r>
    </w:p>
    <w:p w:rsidR="00840CE5" w:rsidRPr="00C57F32" w:rsidRDefault="00840CE5" w:rsidP="00840CE5">
      <w:pPr>
        <w:spacing w:after="0"/>
        <w:jc w:val="center"/>
        <w:rPr>
          <w:sz w:val="26"/>
          <w:szCs w:val="26"/>
        </w:rPr>
      </w:pPr>
      <w:r>
        <w:rPr>
          <w:rFonts w:ascii="Arial" w:hAnsi="Arial" w:cs="Arial"/>
          <w:sz w:val="26"/>
          <w:szCs w:val="26"/>
        </w:rPr>
        <w:t xml:space="preserve">  SECRETARIA GENERAL DE ACUERDOS.</w:t>
      </w:r>
    </w:p>
    <w:p w:rsidR="008238CF" w:rsidRPr="00585CE9" w:rsidRDefault="008238CF" w:rsidP="00840CE5">
      <w:pPr>
        <w:spacing w:after="0" w:line="360" w:lineRule="auto"/>
        <w:ind w:firstLine="708"/>
        <w:jc w:val="both"/>
      </w:pPr>
    </w:p>
    <w:sectPr w:rsidR="008238CF" w:rsidRPr="00585CE9"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7A" w:rsidRDefault="004E4C7A">
      <w:pPr>
        <w:spacing w:after="0" w:line="240" w:lineRule="auto"/>
      </w:pPr>
      <w:r>
        <w:separator/>
      </w:r>
    </w:p>
  </w:endnote>
  <w:endnote w:type="continuationSeparator" w:id="0">
    <w:p w:rsidR="004E4C7A" w:rsidRDefault="004E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87" w:rsidRDefault="00DE20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87" w:rsidRDefault="00DE2087">
    <w:pPr>
      <w:pStyle w:val="Piedepgina"/>
    </w:pPr>
    <w:bookmarkStart w:id="0" w:name="_GoBack"/>
    <w:r>
      <w:rPr>
        <w:noProof/>
      </w:rPr>
      <w:drawing>
        <wp:anchor distT="0" distB="0" distL="114300" distR="114300" simplePos="0" relativeHeight="251659264" behindDoc="0" locked="0" layoutInCell="1" allowOverlap="1" wp14:anchorId="7B05F04C" wp14:editId="2DE080DB">
          <wp:simplePos x="0" y="0"/>
          <wp:positionH relativeFrom="column">
            <wp:posOffset>-1534622</wp:posOffset>
          </wp:positionH>
          <wp:positionV relativeFrom="paragraph">
            <wp:posOffset>-5530966</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87" w:rsidRDefault="00DE20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7A" w:rsidRDefault="004E4C7A">
      <w:pPr>
        <w:spacing w:after="0" w:line="240" w:lineRule="auto"/>
      </w:pPr>
      <w:r>
        <w:separator/>
      </w:r>
    </w:p>
  </w:footnote>
  <w:footnote w:type="continuationSeparator" w:id="0">
    <w:p w:rsidR="004E4C7A" w:rsidRDefault="004E4C7A">
      <w:pPr>
        <w:spacing w:after="0" w:line="240" w:lineRule="auto"/>
      </w:pPr>
      <w:r>
        <w:continuationSeparator/>
      </w:r>
    </w:p>
  </w:footnote>
  <w:footnote w:id="1">
    <w:p w:rsidR="00585CE9" w:rsidRDefault="00585CE9" w:rsidP="00585CE9">
      <w:pPr>
        <w:pStyle w:val="Textonotapie"/>
        <w:jc w:val="both"/>
        <w:rPr>
          <w:rFonts w:ascii="Arial" w:hAnsi="Arial" w:cs="Arial"/>
          <w:sz w:val="16"/>
          <w:szCs w:val="16"/>
        </w:rPr>
      </w:pPr>
      <w:r>
        <w:rPr>
          <w:rStyle w:val="Refdenotaalpie"/>
        </w:rPr>
        <w:footnoteRef/>
      </w:r>
      <w:r>
        <w:t xml:space="preserve"> “</w:t>
      </w:r>
      <w:r w:rsidRPr="009D6518">
        <w:rPr>
          <w:rFonts w:ascii="Arial" w:hAnsi="Arial" w:cs="Arial"/>
          <w:b/>
          <w:bCs/>
          <w:sz w:val="16"/>
          <w:szCs w:val="16"/>
        </w:rPr>
        <w:t>A</w:t>
      </w:r>
      <w:r>
        <w:rPr>
          <w:rFonts w:ascii="Arial" w:hAnsi="Arial" w:cs="Arial"/>
          <w:b/>
          <w:bCs/>
          <w:sz w:val="16"/>
          <w:szCs w:val="16"/>
        </w:rPr>
        <w:t>rtí</w:t>
      </w:r>
      <w:r w:rsidRPr="009D6518">
        <w:rPr>
          <w:rFonts w:ascii="Arial" w:hAnsi="Arial" w:cs="Arial"/>
          <w:b/>
          <w:bCs/>
          <w:sz w:val="16"/>
          <w:szCs w:val="16"/>
        </w:rPr>
        <w:t xml:space="preserve">culo 206.- </w:t>
      </w:r>
      <w:r w:rsidRPr="009D6518">
        <w:rPr>
          <w:rFonts w:ascii="Arial" w:hAnsi="Arial" w:cs="Arial"/>
          <w:sz w:val="16"/>
          <w:szCs w:val="16"/>
        </w:rPr>
        <w:t xml:space="preserve">Contra los acuerdos y resoluciones dictados por los </w:t>
      </w:r>
      <w:r>
        <w:rPr>
          <w:rFonts w:ascii="Arial" w:hAnsi="Arial" w:cs="Arial"/>
          <w:sz w:val="16"/>
          <w:szCs w:val="16"/>
        </w:rPr>
        <w:t>Jueces d</w:t>
      </w:r>
      <w:r w:rsidRPr="009D6518">
        <w:rPr>
          <w:rFonts w:ascii="Arial" w:hAnsi="Arial" w:cs="Arial"/>
          <w:sz w:val="16"/>
          <w:szCs w:val="16"/>
        </w:rPr>
        <w:t>e Primera Instancia, procede el recurso de revisión, cuyo conocimiento y resolución corresponde a la Sala Superior.</w:t>
      </w:r>
    </w:p>
    <w:p w:rsidR="00585CE9" w:rsidRPr="00252D0C" w:rsidRDefault="00585CE9" w:rsidP="00585CE9">
      <w:pPr>
        <w:pStyle w:val="Textonotapie"/>
        <w:jc w:val="both"/>
      </w:pPr>
      <w:r>
        <w:rPr>
          <w:rFonts w:ascii="Arial" w:hAnsi="Arial" w:cs="Arial"/>
          <w:sz w:val="16"/>
          <w:szCs w:val="16"/>
        </w:rPr>
        <w:t>… V</w:t>
      </w:r>
      <w:r w:rsidR="002B5040">
        <w:rPr>
          <w:rFonts w:ascii="Arial" w:hAnsi="Arial" w:cs="Arial"/>
          <w:sz w:val="16"/>
          <w:szCs w:val="16"/>
        </w:rPr>
        <w:t>I</w:t>
      </w:r>
      <w:r>
        <w:rPr>
          <w:rFonts w:ascii="Arial" w:hAnsi="Arial" w:cs="Arial"/>
          <w:sz w:val="16"/>
          <w:szCs w:val="16"/>
        </w:rPr>
        <w:t xml:space="preserve">II.- </w:t>
      </w:r>
      <w:r w:rsidRPr="009D6518">
        <w:rPr>
          <w:rFonts w:ascii="Arial" w:hAnsi="Arial" w:cs="Arial"/>
          <w:sz w:val="16"/>
          <w:szCs w:val="16"/>
        </w:rPr>
        <w:t>Por violaciones cometidas durante el procedimiento del juicio, cuando hayan dejado sin defensa al recurrente y trasciendan al sentido de la sentencia;</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DE2087">
          <w:rPr>
            <w:noProof/>
          </w:rPr>
          <w:t>6</w:t>
        </w:r>
        <w:r>
          <w:fldChar w:fldCharType="end"/>
        </w:r>
      </w:p>
    </w:sdtContent>
  </w:sdt>
  <w:p w:rsidR="00126798" w:rsidRDefault="00DE2087">
    <w:pPr>
      <w:pStyle w:val="Encabezado"/>
    </w:pPr>
    <w:r>
      <w:rPr>
        <w:noProof/>
      </w:rPr>
      <w:drawing>
        <wp:anchor distT="0" distB="0" distL="114300" distR="114300" simplePos="0" relativeHeight="251663360" behindDoc="0" locked="0" layoutInCell="1" allowOverlap="1" wp14:anchorId="6C8A69C3" wp14:editId="15085ECB">
          <wp:simplePos x="0" y="0"/>
          <wp:positionH relativeFrom="column">
            <wp:posOffset>5564389</wp:posOffset>
          </wp:positionH>
          <wp:positionV relativeFrom="paragraph">
            <wp:posOffset>5442470</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DE2087">
          <w:rPr>
            <w:noProof/>
          </w:rPr>
          <w:t>7</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7216" behindDoc="0" locked="0" layoutInCell="1" allowOverlap="1" wp14:anchorId="3981AD38" wp14:editId="3EDF16CF">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144" behindDoc="1" locked="0" layoutInCell="1" allowOverlap="1" wp14:anchorId="0F7AD865" wp14:editId="76CC6252">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87" w:rsidRDefault="00DE20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381"/>
    <w:multiLevelType w:val="hybridMultilevel"/>
    <w:tmpl w:val="84A2DF7E"/>
    <w:lvl w:ilvl="0" w:tplc="63E83386">
      <w:start w:val="1"/>
      <w:numFmt w:val="lowerLetter"/>
      <w:lvlText w:val="%1)"/>
      <w:lvlJc w:val="left"/>
      <w:pPr>
        <w:ind w:left="1068" w:hanging="360"/>
      </w:pPr>
      <w:rPr>
        <w:rFonts w:ascii="Arial" w:eastAsiaTheme="minorEastAsia" w:hAnsi="Arial" w:cs="Arial"/>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164B8"/>
    <w:rsid w:val="001238F0"/>
    <w:rsid w:val="001265E6"/>
    <w:rsid w:val="00130C97"/>
    <w:rsid w:val="00132B09"/>
    <w:rsid w:val="00140704"/>
    <w:rsid w:val="00165360"/>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83819"/>
    <w:rsid w:val="0029582A"/>
    <w:rsid w:val="002A28E5"/>
    <w:rsid w:val="002A633A"/>
    <w:rsid w:val="002B3FCF"/>
    <w:rsid w:val="002B5040"/>
    <w:rsid w:val="002C06DC"/>
    <w:rsid w:val="0030310B"/>
    <w:rsid w:val="0030333C"/>
    <w:rsid w:val="00312BE5"/>
    <w:rsid w:val="00317431"/>
    <w:rsid w:val="00323644"/>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748A3"/>
    <w:rsid w:val="00494C16"/>
    <w:rsid w:val="004A5C5B"/>
    <w:rsid w:val="004A764F"/>
    <w:rsid w:val="004B5229"/>
    <w:rsid w:val="004C7B31"/>
    <w:rsid w:val="004D3FD5"/>
    <w:rsid w:val="004E4C7A"/>
    <w:rsid w:val="004F032D"/>
    <w:rsid w:val="00501D58"/>
    <w:rsid w:val="00511C35"/>
    <w:rsid w:val="005153E1"/>
    <w:rsid w:val="005170DC"/>
    <w:rsid w:val="005245DE"/>
    <w:rsid w:val="0053444C"/>
    <w:rsid w:val="00547E2C"/>
    <w:rsid w:val="0055171C"/>
    <w:rsid w:val="00573E33"/>
    <w:rsid w:val="00573F2D"/>
    <w:rsid w:val="005756D5"/>
    <w:rsid w:val="00576978"/>
    <w:rsid w:val="00585CE9"/>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1C77"/>
    <w:rsid w:val="00684DD2"/>
    <w:rsid w:val="00685F46"/>
    <w:rsid w:val="006938B1"/>
    <w:rsid w:val="00694FE2"/>
    <w:rsid w:val="006A2436"/>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87944"/>
    <w:rsid w:val="007B2637"/>
    <w:rsid w:val="007D51A7"/>
    <w:rsid w:val="007D57D5"/>
    <w:rsid w:val="007D6535"/>
    <w:rsid w:val="007E5B25"/>
    <w:rsid w:val="007F0D2C"/>
    <w:rsid w:val="007F4F00"/>
    <w:rsid w:val="00807B69"/>
    <w:rsid w:val="00814B86"/>
    <w:rsid w:val="008238CF"/>
    <w:rsid w:val="00826EEB"/>
    <w:rsid w:val="00830A05"/>
    <w:rsid w:val="00840CE5"/>
    <w:rsid w:val="00850959"/>
    <w:rsid w:val="008540F4"/>
    <w:rsid w:val="008B4464"/>
    <w:rsid w:val="008C6A10"/>
    <w:rsid w:val="008D3B78"/>
    <w:rsid w:val="008E0DC8"/>
    <w:rsid w:val="008F5AA5"/>
    <w:rsid w:val="00903ED0"/>
    <w:rsid w:val="00906BD1"/>
    <w:rsid w:val="00912974"/>
    <w:rsid w:val="009221B5"/>
    <w:rsid w:val="00937993"/>
    <w:rsid w:val="00944038"/>
    <w:rsid w:val="00944FC4"/>
    <w:rsid w:val="009508AA"/>
    <w:rsid w:val="00952E02"/>
    <w:rsid w:val="00955FB8"/>
    <w:rsid w:val="009566EE"/>
    <w:rsid w:val="009569A2"/>
    <w:rsid w:val="00960527"/>
    <w:rsid w:val="00967447"/>
    <w:rsid w:val="009B57EF"/>
    <w:rsid w:val="009C3561"/>
    <w:rsid w:val="009D0511"/>
    <w:rsid w:val="009D1D1D"/>
    <w:rsid w:val="009E1B3A"/>
    <w:rsid w:val="009F0158"/>
    <w:rsid w:val="00A010D5"/>
    <w:rsid w:val="00A0629B"/>
    <w:rsid w:val="00A07274"/>
    <w:rsid w:val="00A16F03"/>
    <w:rsid w:val="00A24022"/>
    <w:rsid w:val="00A429B2"/>
    <w:rsid w:val="00A525B4"/>
    <w:rsid w:val="00A57F60"/>
    <w:rsid w:val="00A667A9"/>
    <w:rsid w:val="00A675C0"/>
    <w:rsid w:val="00A73ACB"/>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267F"/>
    <w:rsid w:val="00BF49D0"/>
    <w:rsid w:val="00C03BC9"/>
    <w:rsid w:val="00C131FA"/>
    <w:rsid w:val="00C14778"/>
    <w:rsid w:val="00C1665C"/>
    <w:rsid w:val="00C17F5F"/>
    <w:rsid w:val="00C30E20"/>
    <w:rsid w:val="00C32D5F"/>
    <w:rsid w:val="00C32FAF"/>
    <w:rsid w:val="00C34AD0"/>
    <w:rsid w:val="00C36A0E"/>
    <w:rsid w:val="00C42D77"/>
    <w:rsid w:val="00C4480F"/>
    <w:rsid w:val="00C50A8F"/>
    <w:rsid w:val="00C52086"/>
    <w:rsid w:val="00C57F32"/>
    <w:rsid w:val="00C72B25"/>
    <w:rsid w:val="00C83B3D"/>
    <w:rsid w:val="00C90297"/>
    <w:rsid w:val="00C96B0F"/>
    <w:rsid w:val="00CA02A5"/>
    <w:rsid w:val="00CA101B"/>
    <w:rsid w:val="00CA625D"/>
    <w:rsid w:val="00CD41C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DE2087"/>
    <w:rsid w:val="00E03F45"/>
    <w:rsid w:val="00E16D22"/>
    <w:rsid w:val="00E249FF"/>
    <w:rsid w:val="00E43EDE"/>
    <w:rsid w:val="00E521E8"/>
    <w:rsid w:val="00E565F3"/>
    <w:rsid w:val="00E85F40"/>
    <w:rsid w:val="00EB17A6"/>
    <w:rsid w:val="00EB3D98"/>
    <w:rsid w:val="00EC1535"/>
    <w:rsid w:val="00EC41E7"/>
    <w:rsid w:val="00ED13F2"/>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718C7-F590-4D7B-A411-3E65C150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7755-E91C-4142-891F-633FFB8D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2010</Words>
  <Characters>11057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25</cp:revision>
  <cp:lastPrinted>2019-04-05T19:19:00Z</cp:lastPrinted>
  <dcterms:created xsi:type="dcterms:W3CDTF">2019-04-12T01:57:00Z</dcterms:created>
  <dcterms:modified xsi:type="dcterms:W3CDTF">2019-06-25T18:40:00Z</dcterms:modified>
</cp:coreProperties>
</file>