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862AAF" w:rsidRPr="00862AAF" w:rsidTr="000B38B9">
        <w:tc>
          <w:tcPr>
            <w:tcW w:w="2356" w:type="dxa"/>
          </w:tcPr>
          <w:p w:rsidR="00E76472" w:rsidRPr="00862AAF" w:rsidRDefault="00E76472" w:rsidP="000B38B9">
            <w:pPr>
              <w:widowControl w:val="0"/>
              <w:ind w:firstLine="4536"/>
              <w:rPr>
                <w:rFonts w:ascii="Arial" w:hAnsi="Arial" w:cs="Arial"/>
                <w:sz w:val="24"/>
                <w:szCs w:val="24"/>
                <w:lang w:eastAsia="es-ES"/>
              </w:rPr>
            </w:pPr>
            <w:r w:rsidRPr="00862AAF">
              <w:rPr>
                <w:rFonts w:ascii="Arial" w:hAnsi="Arial" w:cs="Arial"/>
                <w:b/>
                <w:sz w:val="24"/>
                <w:szCs w:val="24"/>
                <w:lang w:eastAsia="es-ES"/>
              </w:rPr>
              <w:t xml:space="preserve">                   </w:t>
            </w:r>
          </w:p>
        </w:tc>
        <w:tc>
          <w:tcPr>
            <w:tcW w:w="7284" w:type="dxa"/>
          </w:tcPr>
          <w:p w:rsidR="00E76472" w:rsidRPr="00862AAF" w:rsidRDefault="00E76472" w:rsidP="000B38B9">
            <w:pPr>
              <w:widowControl w:val="0"/>
              <w:tabs>
                <w:tab w:val="center" w:pos="4252"/>
                <w:tab w:val="right" w:pos="8504"/>
              </w:tabs>
              <w:ind w:left="2111" w:firstLine="4536"/>
              <w:jc w:val="both"/>
              <w:rPr>
                <w:i/>
                <w:sz w:val="24"/>
                <w:szCs w:val="24"/>
                <w:lang w:eastAsia="es-ES"/>
              </w:rPr>
            </w:pPr>
          </w:p>
          <w:p w:rsidR="00E76472" w:rsidRPr="00862AAF" w:rsidRDefault="00E76472" w:rsidP="000B38B9">
            <w:pPr>
              <w:widowControl w:val="0"/>
              <w:tabs>
                <w:tab w:val="left" w:pos="7938"/>
              </w:tabs>
              <w:ind w:left="1969" w:right="-70"/>
              <w:jc w:val="both"/>
              <w:rPr>
                <w:rFonts w:ascii="Arial" w:hAnsi="Arial" w:cs="Arial"/>
                <w:b/>
                <w:sz w:val="24"/>
                <w:szCs w:val="24"/>
                <w:lang w:eastAsia="es-ES"/>
              </w:rPr>
            </w:pPr>
            <w:r w:rsidRPr="00862AAF">
              <w:rPr>
                <w:rFonts w:ascii="Arial" w:hAnsi="Arial" w:cs="Arial"/>
                <w:b/>
                <w:sz w:val="24"/>
                <w:szCs w:val="24"/>
                <w:lang w:eastAsia="es-ES"/>
              </w:rPr>
              <w:t>QUINTA SALA UNITARIA DE PRIMERA INSTANCIA DEL TRIBUNAL DE JUSTICIA ADMINISTRATIVA DEL ESTADO DE OAXACA.</w:t>
            </w:r>
          </w:p>
          <w:p w:rsidR="00E76472" w:rsidRPr="00862AAF" w:rsidRDefault="00E76472" w:rsidP="000B38B9">
            <w:pPr>
              <w:widowControl w:val="0"/>
              <w:tabs>
                <w:tab w:val="left" w:pos="7938"/>
              </w:tabs>
              <w:ind w:left="1969" w:right="-70"/>
              <w:jc w:val="both"/>
              <w:rPr>
                <w:rFonts w:ascii="Arial" w:hAnsi="Arial" w:cs="Arial"/>
                <w:b/>
                <w:sz w:val="24"/>
                <w:szCs w:val="24"/>
                <w:lang w:eastAsia="es-ES"/>
              </w:rPr>
            </w:pPr>
          </w:p>
          <w:p w:rsidR="00E76472" w:rsidRPr="00862AAF" w:rsidRDefault="00E76472" w:rsidP="000B38B9">
            <w:pPr>
              <w:widowControl w:val="0"/>
              <w:tabs>
                <w:tab w:val="left" w:pos="7938"/>
              </w:tabs>
              <w:ind w:left="1969" w:right="-70"/>
              <w:jc w:val="both"/>
              <w:rPr>
                <w:rFonts w:ascii="Arial" w:hAnsi="Arial" w:cs="Arial"/>
                <w:b/>
                <w:sz w:val="24"/>
                <w:szCs w:val="24"/>
                <w:lang w:eastAsia="es-ES"/>
              </w:rPr>
            </w:pPr>
            <w:r w:rsidRPr="00862AAF">
              <w:rPr>
                <w:rFonts w:ascii="Arial" w:hAnsi="Arial" w:cs="Arial"/>
                <w:b/>
                <w:sz w:val="24"/>
                <w:szCs w:val="24"/>
                <w:lang w:eastAsia="es-ES"/>
              </w:rPr>
              <w:t>EXPEDIENTE: 00</w:t>
            </w:r>
            <w:r w:rsidR="00781075" w:rsidRPr="00862AAF">
              <w:rPr>
                <w:rFonts w:ascii="Arial" w:hAnsi="Arial" w:cs="Arial"/>
                <w:b/>
                <w:sz w:val="24"/>
                <w:szCs w:val="24"/>
                <w:lang w:eastAsia="es-ES"/>
              </w:rPr>
              <w:t>25</w:t>
            </w:r>
            <w:r w:rsidRPr="00862AAF">
              <w:rPr>
                <w:rFonts w:ascii="Arial" w:hAnsi="Arial" w:cs="Arial"/>
                <w:sz w:val="24"/>
                <w:szCs w:val="24"/>
                <w:lang w:eastAsia="es-ES"/>
              </w:rPr>
              <w:t>/</w:t>
            </w:r>
            <w:r w:rsidRPr="00862AAF">
              <w:rPr>
                <w:rFonts w:ascii="Arial" w:hAnsi="Arial" w:cs="Arial"/>
                <w:b/>
                <w:sz w:val="24"/>
                <w:szCs w:val="24"/>
                <w:lang w:eastAsia="es-ES"/>
              </w:rPr>
              <w:t>2019</w:t>
            </w:r>
          </w:p>
          <w:p w:rsidR="00E76472" w:rsidRPr="00862AAF" w:rsidRDefault="00E76472" w:rsidP="000B38B9">
            <w:pPr>
              <w:widowControl w:val="0"/>
              <w:tabs>
                <w:tab w:val="left" w:pos="7938"/>
              </w:tabs>
              <w:ind w:right="-70" w:firstLine="1134"/>
              <w:jc w:val="both"/>
              <w:rPr>
                <w:rFonts w:ascii="Arial" w:hAnsi="Arial" w:cs="Arial"/>
                <w:b/>
                <w:sz w:val="24"/>
                <w:szCs w:val="24"/>
                <w:lang w:eastAsia="es-ES"/>
              </w:rPr>
            </w:pPr>
            <w:r w:rsidRPr="00862AAF">
              <w:rPr>
                <w:rFonts w:ascii="Arial" w:hAnsi="Arial" w:cs="Arial"/>
                <w:b/>
                <w:sz w:val="24"/>
                <w:szCs w:val="24"/>
                <w:lang w:eastAsia="es-ES"/>
              </w:rPr>
              <w:t xml:space="preserve">                </w:t>
            </w:r>
          </w:p>
          <w:p w:rsidR="00E76472" w:rsidRPr="00862AAF" w:rsidRDefault="00E76472" w:rsidP="000B38B9">
            <w:pPr>
              <w:widowControl w:val="0"/>
              <w:tabs>
                <w:tab w:val="left" w:pos="7938"/>
              </w:tabs>
              <w:ind w:left="1967" w:right="-70"/>
              <w:rPr>
                <w:rFonts w:ascii="Arial" w:hAnsi="Arial" w:cs="Arial"/>
                <w:sz w:val="24"/>
                <w:szCs w:val="24"/>
                <w:lang w:eastAsia="es-ES"/>
              </w:rPr>
            </w:pPr>
            <w:r w:rsidRPr="00862AAF">
              <w:rPr>
                <w:rFonts w:ascii="Arial" w:hAnsi="Arial" w:cs="Arial"/>
                <w:b/>
                <w:sz w:val="24"/>
                <w:szCs w:val="24"/>
                <w:lang w:eastAsia="es-ES"/>
              </w:rPr>
              <w:t>ACTOR</w:t>
            </w:r>
            <w:r w:rsidRPr="00862AAF">
              <w:rPr>
                <w:rFonts w:ascii="Arial" w:hAnsi="Arial" w:cs="Arial"/>
                <w:sz w:val="24"/>
                <w:szCs w:val="24"/>
                <w:lang w:eastAsia="es-ES"/>
              </w:rPr>
              <w:t xml:space="preserve">: </w:t>
            </w:r>
            <w:r w:rsidR="0047434A">
              <w:rPr>
                <w:rFonts w:cs="Arial"/>
                <w:b/>
                <w:sz w:val="24"/>
                <w:szCs w:val="24"/>
              </w:rPr>
              <w:t>**********</w:t>
            </w:r>
          </w:p>
          <w:p w:rsidR="00E76472" w:rsidRPr="00862AAF" w:rsidRDefault="00E76472" w:rsidP="000B38B9">
            <w:pPr>
              <w:widowControl w:val="0"/>
              <w:tabs>
                <w:tab w:val="left" w:pos="7938"/>
              </w:tabs>
              <w:ind w:left="1967" w:right="-70"/>
              <w:rPr>
                <w:rFonts w:ascii="Arial" w:hAnsi="Arial" w:cs="Arial"/>
                <w:sz w:val="24"/>
                <w:szCs w:val="24"/>
                <w:lang w:eastAsia="es-ES"/>
              </w:rPr>
            </w:pPr>
            <w:bookmarkStart w:id="0" w:name="_GoBack"/>
            <w:bookmarkEnd w:id="0"/>
          </w:p>
          <w:p w:rsidR="00E76472" w:rsidRPr="00862AAF" w:rsidRDefault="00E76472" w:rsidP="000B38B9">
            <w:pPr>
              <w:widowControl w:val="0"/>
              <w:tabs>
                <w:tab w:val="left" w:pos="7938"/>
              </w:tabs>
              <w:ind w:left="1969" w:right="-70"/>
              <w:jc w:val="both"/>
              <w:rPr>
                <w:rFonts w:ascii="Courier" w:hAnsi="Courier"/>
                <w:i/>
                <w:sz w:val="24"/>
                <w:szCs w:val="24"/>
                <w:lang w:eastAsia="es-ES"/>
              </w:rPr>
            </w:pPr>
            <w:r w:rsidRPr="00862AAF">
              <w:rPr>
                <w:rFonts w:ascii="Arial" w:hAnsi="Arial" w:cs="Arial"/>
                <w:b/>
                <w:sz w:val="24"/>
                <w:szCs w:val="24"/>
                <w:lang w:eastAsia="es-ES"/>
              </w:rPr>
              <w:t>AUTORIDAD DEMANDADA</w:t>
            </w:r>
            <w:r w:rsidRPr="00862AAF">
              <w:rPr>
                <w:rFonts w:ascii="Arial" w:hAnsi="Arial" w:cs="Arial"/>
                <w:sz w:val="24"/>
                <w:szCs w:val="24"/>
                <w:lang w:eastAsia="es-ES"/>
              </w:rPr>
              <w:t xml:space="preserve">: </w:t>
            </w:r>
            <w:r w:rsidR="0047434A">
              <w:rPr>
                <w:rFonts w:cs="Arial"/>
                <w:b/>
                <w:sz w:val="24"/>
                <w:szCs w:val="24"/>
              </w:rPr>
              <w:t>**********</w:t>
            </w:r>
            <w:r w:rsidR="00781075" w:rsidRPr="00862AAF">
              <w:rPr>
                <w:rFonts w:ascii="Arial" w:hAnsi="Arial" w:cs="Arial"/>
                <w:sz w:val="24"/>
                <w:szCs w:val="24"/>
                <w:lang w:eastAsia="es-ES"/>
              </w:rPr>
              <w:t>.</w:t>
            </w:r>
          </w:p>
        </w:tc>
        <w:tc>
          <w:tcPr>
            <w:tcW w:w="3402" w:type="dxa"/>
            <w:tcBorders>
              <w:left w:val="nil"/>
            </w:tcBorders>
          </w:tcPr>
          <w:p w:rsidR="00E76472" w:rsidRPr="00862AAF" w:rsidRDefault="00E76472" w:rsidP="000B38B9">
            <w:pPr>
              <w:widowControl w:val="0"/>
              <w:tabs>
                <w:tab w:val="center" w:pos="4252"/>
                <w:tab w:val="right" w:pos="8504"/>
              </w:tabs>
              <w:ind w:left="71" w:firstLine="4536"/>
              <w:jc w:val="both"/>
              <w:rPr>
                <w:i/>
                <w:sz w:val="24"/>
                <w:szCs w:val="24"/>
                <w:lang w:eastAsia="es-ES"/>
              </w:rPr>
            </w:pPr>
          </w:p>
        </w:tc>
      </w:tr>
    </w:tbl>
    <w:p w:rsidR="00E76472" w:rsidRPr="00862AAF" w:rsidRDefault="00E76472" w:rsidP="00E76472">
      <w:pPr>
        <w:widowControl w:val="0"/>
        <w:tabs>
          <w:tab w:val="center" w:pos="4252"/>
          <w:tab w:val="right" w:pos="8504"/>
        </w:tabs>
        <w:ind w:firstLine="4536"/>
        <w:rPr>
          <w:rFonts w:ascii="Arial" w:hAnsi="Arial" w:cs="Arial"/>
          <w:sz w:val="24"/>
          <w:szCs w:val="24"/>
          <w:lang w:eastAsia="es-ES"/>
        </w:rPr>
      </w:pPr>
    </w:p>
    <w:p w:rsidR="00E76472" w:rsidRPr="00862AAF" w:rsidRDefault="00E76472" w:rsidP="00E76472">
      <w:pPr>
        <w:pStyle w:val="Encabezado"/>
        <w:tabs>
          <w:tab w:val="clear" w:pos="4252"/>
          <w:tab w:val="clear" w:pos="8504"/>
          <w:tab w:val="left" w:pos="6466"/>
        </w:tabs>
        <w:rPr>
          <w:szCs w:val="24"/>
        </w:rPr>
      </w:pPr>
    </w:p>
    <w:p w:rsidR="00E76472" w:rsidRPr="00862AAF" w:rsidRDefault="00E76472" w:rsidP="00E76472">
      <w:pPr>
        <w:pStyle w:val="Encabezado"/>
        <w:rPr>
          <w:szCs w:val="24"/>
        </w:rPr>
      </w:pPr>
    </w:p>
    <w:p w:rsidR="00E76472" w:rsidRPr="00862AAF" w:rsidRDefault="00E76472" w:rsidP="00E76472">
      <w:pPr>
        <w:spacing w:line="360" w:lineRule="auto"/>
        <w:jc w:val="both"/>
        <w:rPr>
          <w:rFonts w:ascii="Arial" w:hAnsi="Arial" w:cs="Arial"/>
          <w:b/>
          <w:sz w:val="24"/>
          <w:szCs w:val="24"/>
        </w:rPr>
      </w:pPr>
      <w:r w:rsidRPr="00862AAF">
        <w:rPr>
          <w:rFonts w:ascii="Arial" w:hAnsi="Arial" w:cs="Arial"/>
          <w:b/>
          <w:sz w:val="24"/>
          <w:szCs w:val="24"/>
        </w:rPr>
        <w:t>OAXACA</w:t>
      </w:r>
      <w:r w:rsidR="00C76C64" w:rsidRPr="00862AAF">
        <w:rPr>
          <w:rFonts w:ascii="Arial" w:hAnsi="Arial" w:cs="Arial"/>
          <w:b/>
          <w:sz w:val="24"/>
          <w:szCs w:val="24"/>
        </w:rPr>
        <w:t xml:space="preserve"> DE JUAREZ, OAXACA A </w:t>
      </w:r>
      <w:r w:rsidR="00C76C64">
        <w:rPr>
          <w:rFonts w:ascii="Arial" w:hAnsi="Arial" w:cs="Arial"/>
          <w:b/>
          <w:sz w:val="24"/>
          <w:szCs w:val="24"/>
        </w:rPr>
        <w:t>VEINTIOCHO</w:t>
      </w:r>
      <w:r w:rsidR="00C76C64" w:rsidRPr="00862AAF">
        <w:rPr>
          <w:rFonts w:ascii="Arial" w:hAnsi="Arial" w:cs="Arial"/>
          <w:b/>
          <w:sz w:val="24"/>
          <w:szCs w:val="24"/>
        </w:rPr>
        <w:t xml:space="preserve"> DE</w:t>
      </w:r>
      <w:r w:rsidR="00C76C64">
        <w:rPr>
          <w:rFonts w:ascii="Arial" w:hAnsi="Arial" w:cs="Arial"/>
          <w:b/>
          <w:sz w:val="24"/>
          <w:szCs w:val="24"/>
        </w:rPr>
        <w:t xml:space="preserve"> JUNIO DE DOS MIL DIECINUEVE (28</w:t>
      </w:r>
      <w:r w:rsidR="00C76C64" w:rsidRPr="00862AAF">
        <w:rPr>
          <w:rFonts w:ascii="Arial" w:hAnsi="Arial" w:cs="Arial"/>
          <w:b/>
          <w:sz w:val="24"/>
          <w:szCs w:val="24"/>
        </w:rPr>
        <w:t xml:space="preserve">/06/2019) - - - - - - - - - - - - - - - - - - - - - - - - - - - - - - - - - - - - - - - - </w:t>
      </w:r>
    </w:p>
    <w:p w:rsidR="00E76472" w:rsidRPr="00862AAF" w:rsidRDefault="00E76472" w:rsidP="00E76472">
      <w:pPr>
        <w:spacing w:line="360" w:lineRule="auto"/>
        <w:jc w:val="both"/>
        <w:rPr>
          <w:rFonts w:ascii="Arial" w:hAnsi="Arial" w:cs="Arial"/>
          <w:b/>
          <w:sz w:val="24"/>
          <w:szCs w:val="24"/>
        </w:rPr>
      </w:pPr>
    </w:p>
    <w:p w:rsidR="00E76472" w:rsidRPr="00862AAF" w:rsidRDefault="00E76472" w:rsidP="00E76472">
      <w:pPr>
        <w:spacing w:line="360" w:lineRule="auto"/>
        <w:jc w:val="both"/>
        <w:rPr>
          <w:rFonts w:ascii="Arial" w:hAnsi="Arial" w:cs="Arial"/>
          <w:sz w:val="24"/>
          <w:szCs w:val="24"/>
        </w:rPr>
      </w:pPr>
      <w:r w:rsidRPr="00862AAF">
        <w:rPr>
          <w:rFonts w:ascii="Arial" w:hAnsi="Arial" w:cs="Arial"/>
          <w:b/>
          <w:sz w:val="24"/>
          <w:szCs w:val="24"/>
        </w:rPr>
        <w:t>V  I  S  T  O  S</w:t>
      </w:r>
      <w:r w:rsidRPr="00862AAF">
        <w:rPr>
          <w:rFonts w:ascii="Arial" w:hAnsi="Arial" w:cs="Arial"/>
          <w:sz w:val="24"/>
          <w:szCs w:val="24"/>
        </w:rPr>
        <w:t xml:space="preserve">  para resolver los autos del juicio de nulidad de número 00</w:t>
      </w:r>
      <w:r w:rsidR="003058FF" w:rsidRPr="00862AAF">
        <w:rPr>
          <w:rFonts w:ascii="Arial" w:hAnsi="Arial" w:cs="Arial"/>
          <w:sz w:val="24"/>
          <w:szCs w:val="24"/>
        </w:rPr>
        <w:t>25</w:t>
      </w:r>
      <w:r w:rsidRPr="00862AAF">
        <w:rPr>
          <w:rFonts w:ascii="Arial" w:hAnsi="Arial" w:cs="Arial"/>
          <w:sz w:val="24"/>
          <w:szCs w:val="24"/>
        </w:rPr>
        <w:t xml:space="preserve">/2019, promovido por </w:t>
      </w:r>
      <w:r w:rsidR="0047434A">
        <w:rPr>
          <w:rFonts w:cs="Arial"/>
          <w:b/>
          <w:sz w:val="24"/>
          <w:szCs w:val="24"/>
        </w:rPr>
        <w:t>**********</w:t>
      </w:r>
      <w:r w:rsidRPr="00862AAF">
        <w:rPr>
          <w:rFonts w:ascii="Arial" w:hAnsi="Arial" w:cs="Arial"/>
          <w:sz w:val="24"/>
          <w:szCs w:val="24"/>
        </w:rPr>
        <w:t xml:space="preserve">, en contra de la resolución contenida en el oficio número </w:t>
      </w:r>
      <w:r w:rsidR="0047434A">
        <w:rPr>
          <w:rFonts w:cs="Arial"/>
          <w:b/>
          <w:sz w:val="24"/>
          <w:szCs w:val="24"/>
        </w:rPr>
        <w:t>**********</w:t>
      </w:r>
      <w:r w:rsidRPr="00862AAF">
        <w:rPr>
          <w:rFonts w:ascii="Arial" w:hAnsi="Arial" w:cs="Arial"/>
          <w:sz w:val="24"/>
          <w:szCs w:val="24"/>
        </w:rPr>
        <w:t>, de fech</w:t>
      </w:r>
      <w:r w:rsidR="00781075" w:rsidRPr="00862AAF">
        <w:rPr>
          <w:rFonts w:ascii="Arial" w:hAnsi="Arial" w:cs="Arial"/>
          <w:sz w:val="24"/>
          <w:szCs w:val="24"/>
        </w:rPr>
        <w:t xml:space="preserve">a once de marzo de </w:t>
      </w:r>
      <w:r w:rsidRPr="00862AAF">
        <w:rPr>
          <w:rFonts w:ascii="Arial" w:hAnsi="Arial" w:cs="Arial"/>
          <w:sz w:val="24"/>
          <w:szCs w:val="24"/>
        </w:rPr>
        <w:t>dos mil diecinueve (1</w:t>
      </w:r>
      <w:r w:rsidR="00781075" w:rsidRPr="00862AAF">
        <w:rPr>
          <w:rFonts w:ascii="Arial" w:hAnsi="Arial" w:cs="Arial"/>
          <w:sz w:val="24"/>
          <w:szCs w:val="24"/>
        </w:rPr>
        <w:t>1</w:t>
      </w:r>
      <w:r w:rsidRPr="00862AAF">
        <w:rPr>
          <w:rFonts w:ascii="Arial" w:hAnsi="Arial" w:cs="Arial"/>
          <w:sz w:val="24"/>
          <w:szCs w:val="24"/>
        </w:rPr>
        <w:t>-0</w:t>
      </w:r>
      <w:r w:rsidR="00781075" w:rsidRPr="00862AAF">
        <w:rPr>
          <w:rFonts w:ascii="Arial" w:hAnsi="Arial" w:cs="Arial"/>
          <w:sz w:val="24"/>
          <w:szCs w:val="24"/>
        </w:rPr>
        <w:t>3</w:t>
      </w:r>
      <w:r w:rsidRPr="00862AAF">
        <w:rPr>
          <w:rFonts w:ascii="Arial" w:hAnsi="Arial" w:cs="Arial"/>
          <w:sz w:val="24"/>
          <w:szCs w:val="24"/>
        </w:rPr>
        <w:t xml:space="preserve">-2019), signado por el </w:t>
      </w:r>
      <w:r w:rsidR="0047434A">
        <w:rPr>
          <w:rFonts w:cs="Arial"/>
          <w:b/>
          <w:sz w:val="24"/>
          <w:szCs w:val="24"/>
        </w:rPr>
        <w:t>**********</w:t>
      </w:r>
      <w:r w:rsidRPr="00862AAF">
        <w:rPr>
          <w:rFonts w:ascii="Arial" w:hAnsi="Arial" w:cs="Arial"/>
          <w:sz w:val="24"/>
          <w:szCs w:val="24"/>
        </w:rPr>
        <w:t xml:space="preserve">, DIRECTOR GENERAL DE LA OFICINA DE PENSIONES DEL ESTADO DE OAXACA, y; </w:t>
      </w:r>
    </w:p>
    <w:p w:rsidR="00E76472" w:rsidRPr="00862AAF" w:rsidRDefault="00E76472" w:rsidP="00E76472">
      <w:pPr>
        <w:spacing w:line="360" w:lineRule="auto"/>
        <w:jc w:val="both"/>
        <w:rPr>
          <w:rFonts w:ascii="Arial" w:hAnsi="Arial" w:cs="Arial"/>
          <w:b/>
          <w:sz w:val="24"/>
          <w:szCs w:val="24"/>
        </w:rPr>
      </w:pPr>
    </w:p>
    <w:p w:rsidR="00E76472" w:rsidRPr="00862AAF" w:rsidRDefault="00E76472" w:rsidP="00E76472">
      <w:pPr>
        <w:spacing w:line="360" w:lineRule="auto"/>
        <w:jc w:val="both"/>
        <w:rPr>
          <w:rFonts w:ascii="Arial" w:hAnsi="Arial" w:cs="Arial"/>
          <w:b/>
          <w:spacing w:val="-3"/>
          <w:sz w:val="24"/>
          <w:szCs w:val="24"/>
          <w:lang w:val="es-ES_tradnl"/>
        </w:rPr>
      </w:pPr>
      <w:r w:rsidRPr="00862AAF">
        <w:rPr>
          <w:rFonts w:ascii="Arial" w:hAnsi="Arial" w:cs="Arial"/>
          <w:sz w:val="24"/>
          <w:szCs w:val="24"/>
        </w:rPr>
        <w:t xml:space="preserve">                                         </w:t>
      </w:r>
      <w:r w:rsidRPr="00862AAF">
        <w:rPr>
          <w:rFonts w:ascii="Arial" w:hAnsi="Arial" w:cs="Arial"/>
          <w:b/>
          <w:sz w:val="24"/>
          <w:szCs w:val="24"/>
        </w:rPr>
        <w:t>R E</w:t>
      </w:r>
      <w:r w:rsidRPr="00862AAF">
        <w:rPr>
          <w:rFonts w:ascii="Arial" w:hAnsi="Arial" w:cs="Arial"/>
          <w:b/>
          <w:spacing w:val="-3"/>
          <w:sz w:val="24"/>
          <w:szCs w:val="24"/>
          <w:lang w:val="es-ES_tradnl"/>
        </w:rPr>
        <w:t xml:space="preserve"> S U L T A N D O:</w:t>
      </w:r>
    </w:p>
    <w:p w:rsidR="00E76472" w:rsidRPr="00862AAF" w:rsidRDefault="00E76472" w:rsidP="00E76472">
      <w:pPr>
        <w:spacing w:line="360" w:lineRule="auto"/>
        <w:jc w:val="both"/>
        <w:rPr>
          <w:rFonts w:ascii="Arial" w:hAnsi="Arial" w:cs="Arial"/>
          <w:sz w:val="24"/>
          <w:szCs w:val="24"/>
        </w:rPr>
      </w:pPr>
    </w:p>
    <w:p w:rsidR="00E76472" w:rsidRPr="00862AAF" w:rsidRDefault="00E76472" w:rsidP="00E76472">
      <w:pPr>
        <w:spacing w:line="360" w:lineRule="auto"/>
        <w:jc w:val="both"/>
        <w:rPr>
          <w:rFonts w:ascii="Arial" w:hAnsi="Arial" w:cs="Arial"/>
          <w:sz w:val="24"/>
          <w:szCs w:val="24"/>
        </w:rPr>
      </w:pPr>
      <w:r w:rsidRPr="00862AAF">
        <w:rPr>
          <w:rFonts w:ascii="Arial" w:hAnsi="Arial" w:cs="Arial"/>
          <w:b/>
          <w:spacing w:val="-3"/>
          <w:sz w:val="24"/>
          <w:szCs w:val="24"/>
          <w:lang w:val="es-ES_tradnl"/>
        </w:rPr>
        <w:tab/>
        <w:t>PRIMERO.-</w:t>
      </w:r>
      <w:r w:rsidRPr="00862AAF">
        <w:rPr>
          <w:rFonts w:ascii="Arial" w:hAnsi="Arial" w:cs="Arial"/>
          <w:sz w:val="24"/>
          <w:szCs w:val="24"/>
        </w:rPr>
        <w:t xml:space="preserve"> </w:t>
      </w:r>
      <w:r w:rsidR="0047434A">
        <w:rPr>
          <w:rFonts w:cs="Arial"/>
          <w:b/>
          <w:sz w:val="24"/>
          <w:szCs w:val="24"/>
        </w:rPr>
        <w:t>**********</w:t>
      </w:r>
      <w:r w:rsidRPr="00862AAF">
        <w:rPr>
          <w:rFonts w:ascii="Arial" w:hAnsi="Arial" w:cs="Arial"/>
          <w:sz w:val="24"/>
          <w:szCs w:val="24"/>
        </w:rPr>
        <w:t>,</w:t>
      </w:r>
      <w:r w:rsidRPr="00862AAF">
        <w:rPr>
          <w:rFonts w:ascii="Arial" w:hAnsi="Arial" w:cs="Arial"/>
          <w:spacing w:val="-3"/>
          <w:sz w:val="24"/>
          <w:szCs w:val="24"/>
          <w:lang w:val="es-ES_tradnl"/>
        </w:rPr>
        <w:t xml:space="preserve"> mediante </w:t>
      </w:r>
      <w:r w:rsidRPr="00862AAF">
        <w:rPr>
          <w:rFonts w:ascii="Arial" w:hAnsi="Arial" w:cs="Arial"/>
          <w:sz w:val="24"/>
          <w:szCs w:val="24"/>
          <w:lang w:val="es-MX"/>
        </w:rPr>
        <w:t xml:space="preserve">escrito recibido el veintisiete de </w:t>
      </w:r>
      <w:r w:rsidR="003058FF" w:rsidRPr="00862AAF">
        <w:rPr>
          <w:rFonts w:ascii="Arial" w:hAnsi="Arial" w:cs="Arial"/>
          <w:sz w:val="24"/>
          <w:szCs w:val="24"/>
          <w:lang w:val="es-MX"/>
        </w:rPr>
        <w:t>marzo</w:t>
      </w:r>
      <w:r w:rsidRPr="00862AAF">
        <w:rPr>
          <w:rFonts w:ascii="Arial" w:hAnsi="Arial" w:cs="Arial"/>
          <w:sz w:val="24"/>
          <w:szCs w:val="24"/>
          <w:lang w:val="es-MX"/>
        </w:rPr>
        <w:t xml:space="preserve"> de dos mil diecinueve (27-0</w:t>
      </w:r>
      <w:r w:rsidR="003058FF" w:rsidRPr="00862AAF">
        <w:rPr>
          <w:rFonts w:ascii="Arial" w:hAnsi="Arial" w:cs="Arial"/>
          <w:sz w:val="24"/>
          <w:szCs w:val="24"/>
          <w:lang w:val="es-MX"/>
        </w:rPr>
        <w:t>3</w:t>
      </w:r>
      <w:r w:rsidRPr="00862AAF">
        <w:rPr>
          <w:rFonts w:ascii="Arial" w:hAnsi="Arial" w:cs="Arial"/>
          <w:sz w:val="24"/>
          <w:szCs w:val="24"/>
          <w:lang w:val="es-MX"/>
        </w:rPr>
        <w:t xml:space="preserve">-2019), </w:t>
      </w:r>
      <w:r w:rsidRPr="00862AAF">
        <w:rPr>
          <w:rFonts w:ascii="Arial" w:hAnsi="Arial" w:cs="Arial"/>
          <w:bCs/>
          <w:sz w:val="24"/>
          <w:szCs w:val="24"/>
          <w:lang w:val="es-MX"/>
        </w:rPr>
        <w:t>por propio derecho</w:t>
      </w:r>
      <w:r w:rsidRPr="00862AAF">
        <w:rPr>
          <w:rFonts w:ascii="Arial" w:hAnsi="Arial" w:cs="Arial"/>
          <w:sz w:val="24"/>
          <w:szCs w:val="24"/>
        </w:rPr>
        <w:t xml:space="preserve"> demandó la nulidad del oficio número </w:t>
      </w:r>
      <w:r w:rsidR="0047434A">
        <w:rPr>
          <w:rFonts w:cs="Arial"/>
          <w:b/>
          <w:sz w:val="24"/>
          <w:szCs w:val="24"/>
        </w:rPr>
        <w:t>**********</w:t>
      </w:r>
      <w:r w:rsidRPr="00862AAF">
        <w:rPr>
          <w:rFonts w:ascii="Arial" w:hAnsi="Arial" w:cs="Arial"/>
          <w:sz w:val="24"/>
          <w:szCs w:val="24"/>
        </w:rPr>
        <w:t xml:space="preserve">, de fecha </w:t>
      </w:r>
      <w:r w:rsidR="001C5DD6" w:rsidRPr="00862AAF">
        <w:rPr>
          <w:rFonts w:ascii="Arial" w:hAnsi="Arial" w:cs="Arial"/>
          <w:sz w:val="24"/>
          <w:szCs w:val="24"/>
        </w:rPr>
        <w:t xml:space="preserve">once de marzo de dos mil diecinueve (11-03-2019), </w:t>
      </w:r>
      <w:r w:rsidRPr="00862AAF">
        <w:rPr>
          <w:rFonts w:ascii="Arial" w:hAnsi="Arial" w:cs="Arial"/>
          <w:sz w:val="24"/>
          <w:szCs w:val="24"/>
        </w:rPr>
        <w:t xml:space="preserve"> emitido por el  </w:t>
      </w:r>
      <w:r w:rsidR="0047434A">
        <w:rPr>
          <w:rFonts w:cs="Arial"/>
          <w:b/>
          <w:sz w:val="24"/>
          <w:szCs w:val="24"/>
        </w:rPr>
        <w:t>**********</w:t>
      </w:r>
      <w:r w:rsidRPr="00862AAF">
        <w:rPr>
          <w:rFonts w:ascii="Arial" w:hAnsi="Arial" w:cs="Arial"/>
          <w:sz w:val="24"/>
          <w:szCs w:val="24"/>
        </w:rPr>
        <w:t xml:space="preserve">, DIRECTOR GENERAL DE LA OFICINA DE PENSIONES DEL ESTADO DE OAXACA. - - - - - - - - - - - - - - - - - - - - - - - - - - - - - </w:t>
      </w:r>
    </w:p>
    <w:p w:rsidR="00E76472" w:rsidRPr="00862AAF" w:rsidRDefault="00E76472" w:rsidP="00E76472">
      <w:pPr>
        <w:spacing w:line="360" w:lineRule="auto"/>
        <w:jc w:val="both"/>
        <w:rPr>
          <w:rFonts w:ascii="Arial" w:hAnsi="Arial" w:cs="Arial"/>
          <w:sz w:val="24"/>
          <w:szCs w:val="24"/>
        </w:rPr>
      </w:pPr>
    </w:p>
    <w:p w:rsidR="00E76472" w:rsidRPr="00862AAF" w:rsidRDefault="00E76472" w:rsidP="00E76472">
      <w:pPr>
        <w:spacing w:line="360" w:lineRule="auto"/>
        <w:ind w:firstLine="567"/>
        <w:jc w:val="both"/>
        <w:rPr>
          <w:rFonts w:ascii="Arial" w:hAnsi="Arial" w:cs="Arial"/>
          <w:sz w:val="24"/>
          <w:szCs w:val="24"/>
        </w:rPr>
      </w:pPr>
      <w:r w:rsidRPr="00862AAF">
        <w:rPr>
          <w:rFonts w:ascii="Arial" w:hAnsi="Arial" w:cs="Arial"/>
          <w:b/>
          <w:sz w:val="24"/>
          <w:szCs w:val="24"/>
        </w:rPr>
        <w:t>SEGUNDO.-</w:t>
      </w:r>
      <w:r w:rsidRPr="00862AAF">
        <w:rPr>
          <w:rFonts w:ascii="Arial" w:hAnsi="Arial" w:cs="Arial"/>
          <w:sz w:val="24"/>
          <w:szCs w:val="24"/>
        </w:rPr>
        <w:t xml:space="preserve"> Por auto de fecha veintiocho de </w:t>
      </w:r>
      <w:r w:rsidR="00C40D3A" w:rsidRPr="00862AAF">
        <w:rPr>
          <w:rFonts w:ascii="Arial" w:hAnsi="Arial" w:cs="Arial"/>
          <w:sz w:val="24"/>
          <w:szCs w:val="24"/>
        </w:rPr>
        <w:t>marzo</w:t>
      </w:r>
      <w:r w:rsidRPr="00862AAF">
        <w:rPr>
          <w:rFonts w:ascii="Arial" w:hAnsi="Arial" w:cs="Arial"/>
          <w:sz w:val="24"/>
          <w:szCs w:val="24"/>
        </w:rPr>
        <w:t xml:space="preserve"> de dos mil diecinueve </w:t>
      </w:r>
      <w:r w:rsidRPr="00862AAF">
        <w:rPr>
          <w:rFonts w:ascii="Arial" w:hAnsi="Arial" w:cs="Arial"/>
          <w:sz w:val="24"/>
          <w:szCs w:val="24"/>
          <w:lang w:val="es-MX"/>
        </w:rPr>
        <w:t>(28-0</w:t>
      </w:r>
      <w:r w:rsidR="00C40D3A" w:rsidRPr="00862AAF">
        <w:rPr>
          <w:rFonts w:ascii="Arial" w:hAnsi="Arial" w:cs="Arial"/>
          <w:sz w:val="24"/>
          <w:szCs w:val="24"/>
          <w:lang w:val="es-MX"/>
        </w:rPr>
        <w:t>3</w:t>
      </w:r>
      <w:r w:rsidRPr="00862AAF">
        <w:rPr>
          <w:rFonts w:ascii="Arial" w:hAnsi="Arial" w:cs="Arial"/>
          <w:sz w:val="24"/>
          <w:szCs w:val="24"/>
          <w:lang w:val="es-MX"/>
        </w:rPr>
        <w:t xml:space="preserve">-2019), </w:t>
      </w:r>
      <w:r w:rsidRPr="00862AAF">
        <w:rPr>
          <w:rFonts w:ascii="Arial" w:hAnsi="Arial" w:cs="Arial"/>
          <w:sz w:val="24"/>
          <w:szCs w:val="24"/>
        </w:rPr>
        <w:t xml:space="preserve">se admitió a trámite la demanda, ordenándose notificar, emplazar y correr traslado a la autoridad demandada, para que realizara su contestación en los términos de Ley.- - - - - - - </w:t>
      </w:r>
      <w:r w:rsidRPr="00862AAF">
        <w:rPr>
          <w:rFonts w:ascii="Arial" w:hAnsi="Arial" w:cs="Arial"/>
          <w:bCs/>
          <w:sz w:val="24"/>
          <w:szCs w:val="24"/>
        </w:rPr>
        <w:t xml:space="preserve">- - - - - - - - - - - - - - - - - - - - - - - - -  - - - - - - - - - - - - - </w:t>
      </w:r>
    </w:p>
    <w:p w:rsidR="00E76472" w:rsidRPr="00862AAF" w:rsidRDefault="00E76472" w:rsidP="00E76472">
      <w:pPr>
        <w:pStyle w:val="corte4fondo"/>
        <w:ind w:right="51" w:firstLine="567"/>
        <w:rPr>
          <w:rFonts w:cs="Arial"/>
          <w:bCs/>
          <w:sz w:val="24"/>
          <w:szCs w:val="24"/>
        </w:rPr>
      </w:pPr>
      <w:r w:rsidRPr="00862AAF">
        <w:rPr>
          <w:rFonts w:cs="Arial"/>
          <w:bCs/>
          <w:sz w:val="24"/>
          <w:szCs w:val="24"/>
        </w:rPr>
        <w:tab/>
      </w:r>
    </w:p>
    <w:p w:rsidR="00E76472" w:rsidRPr="00862AAF" w:rsidRDefault="00E76472" w:rsidP="00E76472">
      <w:pPr>
        <w:pStyle w:val="corte4fondo"/>
        <w:ind w:right="51" w:firstLine="567"/>
        <w:rPr>
          <w:rFonts w:cs="Arial"/>
          <w:sz w:val="24"/>
          <w:szCs w:val="24"/>
        </w:rPr>
      </w:pPr>
      <w:r w:rsidRPr="00862AAF">
        <w:rPr>
          <w:rFonts w:cs="Arial"/>
          <w:b/>
          <w:bCs/>
          <w:sz w:val="24"/>
          <w:szCs w:val="24"/>
        </w:rPr>
        <w:t>TERCERO</w:t>
      </w:r>
      <w:r w:rsidRPr="00862AAF">
        <w:rPr>
          <w:rFonts w:cs="Arial"/>
          <w:bCs/>
          <w:sz w:val="24"/>
          <w:szCs w:val="24"/>
        </w:rPr>
        <w:t xml:space="preserve">.- En auto de fecha </w:t>
      </w:r>
      <w:r w:rsidR="00493B89" w:rsidRPr="00862AAF">
        <w:rPr>
          <w:rFonts w:cs="Arial"/>
          <w:bCs/>
          <w:sz w:val="24"/>
          <w:szCs w:val="24"/>
        </w:rPr>
        <w:t>dieciséis de mayo de</w:t>
      </w:r>
      <w:r w:rsidRPr="00862AAF">
        <w:rPr>
          <w:rFonts w:cs="Arial"/>
          <w:bCs/>
          <w:sz w:val="24"/>
          <w:szCs w:val="24"/>
        </w:rPr>
        <w:t>l año dos mil diecinueve (1</w:t>
      </w:r>
      <w:r w:rsidR="00493B89" w:rsidRPr="00862AAF">
        <w:rPr>
          <w:rFonts w:cs="Arial"/>
          <w:bCs/>
          <w:sz w:val="24"/>
          <w:szCs w:val="24"/>
        </w:rPr>
        <w:t>6-</w:t>
      </w:r>
      <w:r w:rsidRPr="00862AAF">
        <w:rPr>
          <w:rFonts w:cs="Arial"/>
          <w:bCs/>
          <w:sz w:val="24"/>
          <w:szCs w:val="24"/>
        </w:rPr>
        <w:t>0</w:t>
      </w:r>
      <w:r w:rsidR="00493B89" w:rsidRPr="00862AAF">
        <w:rPr>
          <w:rFonts w:cs="Arial"/>
          <w:bCs/>
          <w:sz w:val="24"/>
          <w:szCs w:val="24"/>
        </w:rPr>
        <w:t>5</w:t>
      </w:r>
      <w:r w:rsidRPr="00862AAF">
        <w:rPr>
          <w:rFonts w:cs="Arial"/>
          <w:bCs/>
          <w:sz w:val="24"/>
          <w:szCs w:val="24"/>
        </w:rPr>
        <w:t>-2019), se tuvo a</w:t>
      </w:r>
      <w:r w:rsidRPr="00862AAF">
        <w:rPr>
          <w:rFonts w:cs="Arial"/>
          <w:sz w:val="24"/>
          <w:szCs w:val="24"/>
        </w:rPr>
        <w:t xml:space="preserve">l </w:t>
      </w:r>
      <w:r w:rsidR="0047434A">
        <w:rPr>
          <w:rFonts w:cs="Arial"/>
          <w:b/>
          <w:sz w:val="24"/>
          <w:szCs w:val="24"/>
        </w:rPr>
        <w:t>**********</w:t>
      </w:r>
      <w:r w:rsidRPr="00862AAF">
        <w:rPr>
          <w:rFonts w:cs="Arial"/>
          <w:sz w:val="24"/>
          <w:szCs w:val="24"/>
        </w:rPr>
        <w:t>, DIRECTOR GENERAL DE LA OFICINA DE PENSIONES DEL ESTADO DE OAXACA</w:t>
      </w:r>
      <w:r w:rsidRPr="00862AAF">
        <w:rPr>
          <w:rFonts w:cs="Arial"/>
          <w:bCs/>
          <w:sz w:val="24"/>
          <w:szCs w:val="24"/>
        </w:rPr>
        <w:t xml:space="preserve">, </w:t>
      </w:r>
      <w:r w:rsidRPr="00862AAF">
        <w:rPr>
          <w:rFonts w:cs="Arial"/>
          <w:sz w:val="24"/>
          <w:szCs w:val="24"/>
        </w:rPr>
        <w:t xml:space="preserve">dando contestación a la demanda, haciendo valer sus excepciones y defensas y, por ofrecidas y admitidas sus pruebas, ordenándose correr traslado a la parte actora con la contestación de la demanda y en la parte final de este proveído se </w:t>
      </w:r>
      <w:r w:rsidRPr="00862AAF">
        <w:rPr>
          <w:rFonts w:cs="Arial"/>
          <w:sz w:val="24"/>
          <w:szCs w:val="24"/>
          <w:lang w:val="es-ES"/>
        </w:rPr>
        <w:t xml:space="preserve">señaló </w:t>
      </w:r>
      <w:r w:rsidRPr="00862AAF">
        <w:rPr>
          <w:rFonts w:cs="Arial"/>
          <w:sz w:val="24"/>
          <w:szCs w:val="24"/>
        </w:rPr>
        <w:t xml:space="preserve">día y hora para la celebración de la audiencia de Ley.- - - - - - - - - - - - - - - - - - - - - - - - - </w:t>
      </w:r>
      <w:r w:rsidR="0047434A" w:rsidRPr="00862AAF">
        <w:rPr>
          <w:rFonts w:cs="Arial"/>
          <w:sz w:val="24"/>
          <w:szCs w:val="24"/>
        </w:rPr>
        <w:t xml:space="preserve">- - - - - - - - - </w:t>
      </w:r>
    </w:p>
    <w:p w:rsidR="00E76472" w:rsidRPr="00862AAF" w:rsidRDefault="00E76472" w:rsidP="00E76472">
      <w:pPr>
        <w:pStyle w:val="corte4fondo"/>
        <w:ind w:right="51" w:firstLine="567"/>
        <w:rPr>
          <w:rFonts w:cs="Arial"/>
          <w:b/>
          <w:bCs/>
          <w:snapToGrid w:val="0"/>
          <w:sz w:val="24"/>
          <w:szCs w:val="24"/>
        </w:rPr>
      </w:pPr>
    </w:p>
    <w:p w:rsidR="00E76472" w:rsidRPr="00862AAF" w:rsidRDefault="00E76472" w:rsidP="00E76472">
      <w:pPr>
        <w:pStyle w:val="corte4fondo"/>
        <w:ind w:right="51" w:firstLine="567"/>
        <w:rPr>
          <w:rFonts w:cs="Arial"/>
          <w:sz w:val="24"/>
          <w:szCs w:val="24"/>
        </w:rPr>
      </w:pPr>
      <w:r w:rsidRPr="00862AAF">
        <w:rPr>
          <w:rFonts w:cs="Arial"/>
          <w:b/>
          <w:bCs/>
          <w:snapToGrid w:val="0"/>
          <w:sz w:val="24"/>
          <w:szCs w:val="24"/>
        </w:rPr>
        <w:t>CUARTO</w:t>
      </w:r>
      <w:r w:rsidRPr="00862AAF">
        <w:rPr>
          <w:rFonts w:cs="Arial"/>
          <w:bCs/>
          <w:snapToGrid w:val="0"/>
          <w:sz w:val="24"/>
          <w:szCs w:val="24"/>
        </w:rPr>
        <w:t xml:space="preserve">.- </w:t>
      </w:r>
      <w:r w:rsidRPr="00862AAF">
        <w:rPr>
          <w:rFonts w:cs="Arial"/>
          <w:bCs/>
          <w:sz w:val="24"/>
          <w:szCs w:val="24"/>
        </w:rPr>
        <w:t xml:space="preserve">Con fecha </w:t>
      </w:r>
      <w:r w:rsidR="00FC3F9F" w:rsidRPr="00862AAF">
        <w:rPr>
          <w:rFonts w:cs="Arial"/>
          <w:b/>
          <w:sz w:val="24"/>
          <w:szCs w:val="24"/>
        </w:rPr>
        <w:t>DIECIOCHO DE JUNIO DE DOS MIL DIECINUEVE</w:t>
      </w:r>
      <w:r w:rsidRPr="00862AAF">
        <w:rPr>
          <w:rFonts w:cs="Arial"/>
          <w:bCs/>
          <w:sz w:val="24"/>
          <w:szCs w:val="24"/>
        </w:rPr>
        <w:t>, (</w:t>
      </w:r>
      <w:r w:rsidR="00FC3F9F" w:rsidRPr="00862AAF">
        <w:rPr>
          <w:rFonts w:cs="Arial"/>
          <w:bCs/>
          <w:sz w:val="24"/>
          <w:szCs w:val="24"/>
        </w:rPr>
        <w:t>18</w:t>
      </w:r>
      <w:r w:rsidRPr="00862AAF">
        <w:rPr>
          <w:rFonts w:cs="Arial"/>
          <w:bCs/>
          <w:sz w:val="24"/>
          <w:szCs w:val="24"/>
        </w:rPr>
        <w:t xml:space="preserve">-06-2019) </w:t>
      </w:r>
      <w:r w:rsidRPr="00862AAF">
        <w:rPr>
          <w:rFonts w:cs="Arial"/>
          <w:sz w:val="24"/>
          <w:szCs w:val="24"/>
          <w:lang w:val="es-ES"/>
        </w:rPr>
        <w:t xml:space="preserve">se celebró la audiencia </w:t>
      </w:r>
      <w:r w:rsidRPr="00862AAF">
        <w:rPr>
          <w:rFonts w:cs="Arial"/>
          <w:sz w:val="24"/>
          <w:szCs w:val="24"/>
        </w:rPr>
        <w:t xml:space="preserve">final en cada una de sus etapas; asentando </w:t>
      </w:r>
      <w:r w:rsidRPr="00862AAF">
        <w:rPr>
          <w:rFonts w:cs="Arial"/>
          <w:sz w:val="24"/>
          <w:szCs w:val="24"/>
        </w:rPr>
        <w:lastRenderedPageBreak/>
        <w:t xml:space="preserve">que únicamente la parte actora formuló alegatos, mismos que se tomarán en cuenta en la sentencia que hoy se pronuncia, y;- - - - - - - - - - - - - - - - - - - - - - - - - </w:t>
      </w:r>
    </w:p>
    <w:p w:rsidR="00E76472" w:rsidRPr="00862AAF" w:rsidRDefault="00E76472" w:rsidP="00E76472">
      <w:pPr>
        <w:pStyle w:val="corte4fondo"/>
        <w:ind w:right="51" w:firstLine="567"/>
        <w:rPr>
          <w:rFonts w:cs="Arial"/>
          <w:b/>
          <w:spacing w:val="-3"/>
          <w:sz w:val="24"/>
          <w:szCs w:val="24"/>
        </w:rPr>
      </w:pPr>
    </w:p>
    <w:p w:rsidR="00E76472" w:rsidRPr="00862AAF" w:rsidRDefault="00E76472" w:rsidP="00E76472">
      <w:pPr>
        <w:pStyle w:val="corte4fondo"/>
        <w:ind w:right="51" w:firstLine="567"/>
        <w:jc w:val="center"/>
        <w:rPr>
          <w:rFonts w:cs="Arial"/>
          <w:b/>
          <w:spacing w:val="-3"/>
          <w:sz w:val="24"/>
          <w:szCs w:val="24"/>
        </w:rPr>
      </w:pPr>
      <w:r w:rsidRPr="00862AAF">
        <w:rPr>
          <w:rFonts w:cs="Arial"/>
          <w:b/>
          <w:spacing w:val="-3"/>
          <w:sz w:val="24"/>
          <w:szCs w:val="24"/>
        </w:rPr>
        <w:t>C O N S I D E R A N D O</w:t>
      </w:r>
    </w:p>
    <w:p w:rsidR="00E76472" w:rsidRPr="00862AAF" w:rsidRDefault="00E76472" w:rsidP="00E76472">
      <w:pPr>
        <w:pStyle w:val="corte4fondo"/>
        <w:ind w:right="51" w:firstLine="567"/>
        <w:rPr>
          <w:rFonts w:cs="Arial"/>
          <w:bCs/>
          <w:sz w:val="24"/>
          <w:szCs w:val="24"/>
        </w:rPr>
      </w:pPr>
    </w:p>
    <w:p w:rsidR="00E76472" w:rsidRPr="00862AAF" w:rsidRDefault="00E76472" w:rsidP="00E76472">
      <w:pPr>
        <w:spacing w:line="360" w:lineRule="auto"/>
        <w:ind w:firstLine="708"/>
        <w:jc w:val="both"/>
        <w:rPr>
          <w:rFonts w:ascii="Arial" w:hAnsi="Arial" w:cs="Arial"/>
          <w:sz w:val="24"/>
          <w:szCs w:val="24"/>
        </w:rPr>
      </w:pPr>
      <w:r w:rsidRPr="00862AAF">
        <w:rPr>
          <w:rFonts w:ascii="Arial" w:hAnsi="Arial" w:cs="Arial"/>
          <w:b/>
          <w:sz w:val="24"/>
          <w:szCs w:val="24"/>
        </w:rPr>
        <w:t xml:space="preserve">PRIMERO.- </w:t>
      </w:r>
      <w:r w:rsidRPr="00862AAF">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 - - - - - - - - - - - - </w:t>
      </w:r>
    </w:p>
    <w:p w:rsidR="00E76472" w:rsidRPr="00862AAF" w:rsidRDefault="00E76472" w:rsidP="00E76472">
      <w:pPr>
        <w:spacing w:line="360" w:lineRule="auto"/>
        <w:jc w:val="both"/>
        <w:rPr>
          <w:rFonts w:ascii="Arial" w:hAnsi="Arial" w:cs="Arial"/>
          <w:sz w:val="24"/>
          <w:szCs w:val="24"/>
        </w:rPr>
      </w:pPr>
      <w:r w:rsidRPr="00862AAF">
        <w:rPr>
          <w:rFonts w:ascii="Arial" w:hAnsi="Arial" w:cs="Arial"/>
          <w:sz w:val="24"/>
          <w:szCs w:val="24"/>
        </w:rPr>
        <w:t xml:space="preserve"> </w:t>
      </w:r>
    </w:p>
    <w:p w:rsidR="00E76472" w:rsidRPr="00862AAF" w:rsidRDefault="00E76472" w:rsidP="00E76472">
      <w:pPr>
        <w:spacing w:line="360" w:lineRule="auto"/>
        <w:ind w:right="51" w:firstLine="709"/>
        <w:jc w:val="both"/>
        <w:rPr>
          <w:rFonts w:ascii="Arial" w:hAnsi="Arial" w:cs="Arial"/>
          <w:sz w:val="24"/>
          <w:szCs w:val="24"/>
        </w:rPr>
      </w:pPr>
      <w:r w:rsidRPr="00862AAF">
        <w:rPr>
          <w:rFonts w:ascii="Arial" w:hAnsi="Arial" w:cs="Arial"/>
          <w:b/>
          <w:snapToGrid w:val="0"/>
          <w:sz w:val="24"/>
          <w:szCs w:val="24"/>
        </w:rPr>
        <w:t xml:space="preserve">SEGUNDO.- </w:t>
      </w:r>
      <w:r w:rsidRPr="00862AAF">
        <w:rPr>
          <w:rFonts w:ascii="Arial" w:hAnsi="Arial" w:cs="Arial"/>
          <w:sz w:val="24"/>
          <w:szCs w:val="24"/>
        </w:rPr>
        <w:t xml:space="preserve">La personalidad de las partes quedó acreditada en autos, en términos del artículo </w:t>
      </w:r>
      <w:r w:rsidRPr="00862AAF">
        <w:rPr>
          <w:rFonts w:ascii="Arial" w:hAnsi="Arial" w:cs="Arial"/>
          <w:snapToGrid w:val="0"/>
          <w:sz w:val="24"/>
          <w:szCs w:val="24"/>
        </w:rPr>
        <w:t>150 y 151 de la Ley de Procedimiento y Justicia Administrativa para el Estado de Oaxaca.</w:t>
      </w:r>
      <w:r w:rsidRPr="00862AAF">
        <w:rPr>
          <w:rFonts w:ascii="Arial" w:hAnsi="Arial" w:cs="Arial"/>
          <w:sz w:val="24"/>
          <w:szCs w:val="24"/>
        </w:rPr>
        <w:t xml:space="preserve"> </w:t>
      </w:r>
    </w:p>
    <w:p w:rsidR="00E76472" w:rsidRPr="00862AAF" w:rsidRDefault="00E76472" w:rsidP="00E76472">
      <w:pPr>
        <w:spacing w:line="360" w:lineRule="auto"/>
        <w:ind w:right="51" w:firstLine="709"/>
        <w:jc w:val="both"/>
        <w:rPr>
          <w:rFonts w:ascii="Arial" w:hAnsi="Arial" w:cs="Arial"/>
          <w:snapToGrid w:val="0"/>
          <w:sz w:val="24"/>
          <w:szCs w:val="24"/>
        </w:rPr>
      </w:pPr>
      <w:r w:rsidRPr="00862AAF">
        <w:rPr>
          <w:rFonts w:ascii="Arial" w:hAnsi="Arial" w:cs="Arial"/>
          <w:sz w:val="24"/>
          <w:szCs w:val="24"/>
        </w:rPr>
        <w:t xml:space="preserve"> </w:t>
      </w:r>
    </w:p>
    <w:p w:rsidR="00DF5861" w:rsidRPr="00862AAF" w:rsidRDefault="00E76472" w:rsidP="00DF5861">
      <w:pPr>
        <w:pStyle w:val="corte4fondo"/>
        <w:ind w:right="51" w:firstLine="567"/>
        <w:rPr>
          <w:rFonts w:ascii="Tahoma" w:hAnsi="Tahoma" w:cs="Tahoma"/>
          <w:sz w:val="24"/>
          <w:szCs w:val="24"/>
        </w:rPr>
      </w:pPr>
      <w:r w:rsidRPr="00862AAF">
        <w:rPr>
          <w:rFonts w:cs="Arial"/>
          <w:b/>
          <w:sz w:val="24"/>
          <w:szCs w:val="24"/>
        </w:rPr>
        <w:t xml:space="preserve">TERCERO.- </w:t>
      </w:r>
      <w:r w:rsidRPr="00862AAF">
        <w:rPr>
          <w:rFonts w:cs="Arial"/>
          <w:sz w:val="24"/>
          <w:szCs w:val="24"/>
        </w:rPr>
        <w:t xml:space="preserve"> </w:t>
      </w:r>
      <w:r w:rsidR="00DF5861" w:rsidRPr="00862AAF">
        <w:rPr>
          <w:rFonts w:ascii="Tahoma" w:hAnsi="Tahoma" w:cs="Tahoma"/>
          <w:sz w:val="24"/>
          <w:szCs w:val="24"/>
        </w:rPr>
        <w:t xml:space="preserve">Esta Sala advierte que no se actualizan </w:t>
      </w:r>
      <w:r w:rsidR="00DF5861" w:rsidRPr="00862AAF">
        <w:rPr>
          <w:rFonts w:ascii="Tahoma" w:hAnsi="Tahoma" w:cs="Tahoma"/>
          <w:b/>
          <w:sz w:val="24"/>
          <w:szCs w:val="24"/>
        </w:rPr>
        <w:t xml:space="preserve">las causales de improcedencia o sobreseimiento </w:t>
      </w:r>
      <w:r w:rsidR="00DF5861" w:rsidRPr="00862AAF">
        <w:rPr>
          <w:rFonts w:ascii="Tahoma" w:hAnsi="Tahoma" w:cs="Tahoma"/>
          <w:sz w:val="24"/>
          <w:szCs w:val="24"/>
        </w:rPr>
        <w:t xml:space="preserve">en el presente juicio, como erróneamente lo trata de hacer valer la Autoridad demandada, por lo siguiente: </w:t>
      </w:r>
    </w:p>
    <w:p w:rsidR="00DF5861" w:rsidRPr="00862AAF" w:rsidRDefault="00DF5861" w:rsidP="00DF5861">
      <w:pPr>
        <w:spacing w:line="360" w:lineRule="auto"/>
        <w:ind w:firstLine="708"/>
        <w:jc w:val="both"/>
        <w:rPr>
          <w:rFonts w:ascii="Tahoma" w:hAnsi="Tahoma" w:cs="Tahoma"/>
          <w:sz w:val="24"/>
          <w:szCs w:val="24"/>
          <w:lang w:val="es-ES_tradnl"/>
        </w:rPr>
      </w:pPr>
    </w:p>
    <w:p w:rsidR="00DF5861" w:rsidRPr="00862AAF" w:rsidRDefault="00DF5861" w:rsidP="00DF5861">
      <w:pPr>
        <w:spacing w:line="360" w:lineRule="auto"/>
        <w:ind w:firstLine="708"/>
        <w:jc w:val="both"/>
        <w:rPr>
          <w:rFonts w:ascii="Arial" w:hAnsi="Arial" w:cs="Arial"/>
          <w:sz w:val="24"/>
          <w:szCs w:val="24"/>
        </w:rPr>
      </w:pPr>
      <w:r w:rsidRPr="00862AAF">
        <w:rPr>
          <w:rFonts w:ascii="Tahoma" w:hAnsi="Tahoma" w:cs="Tahoma"/>
          <w:sz w:val="24"/>
          <w:szCs w:val="24"/>
          <w:lang w:val="es-ES_tradnl"/>
        </w:rPr>
        <w:t xml:space="preserve"> </w:t>
      </w:r>
      <w:r w:rsidRPr="00862AAF">
        <w:rPr>
          <w:rFonts w:ascii="Tahoma" w:hAnsi="Tahoma" w:cs="Tahoma"/>
          <w:sz w:val="24"/>
          <w:szCs w:val="24"/>
        </w:rPr>
        <w:t xml:space="preserve">El Director General de la Oficina de Pensiones del Gobierno del Estado de Oaxaca, al contestar la demanda solicitó el sobreseimiento del juicio, porque en su concepto se actualizan las causales previstas en </w:t>
      </w:r>
      <w:r w:rsidRPr="00862AAF">
        <w:rPr>
          <w:rFonts w:ascii="Arial" w:hAnsi="Arial" w:cs="Arial"/>
          <w:sz w:val="24"/>
          <w:szCs w:val="24"/>
          <w:lang w:val="es-ES_tradnl"/>
        </w:rPr>
        <w:t>los artículos 161, fracción IX y X 162 fracción II de la</w:t>
      </w:r>
      <w:r w:rsidRPr="00862AAF">
        <w:rPr>
          <w:rFonts w:ascii="Arial" w:hAnsi="Arial" w:cs="Arial"/>
          <w:sz w:val="24"/>
          <w:szCs w:val="24"/>
        </w:rPr>
        <w:t xml:space="preserve"> Ley de Procedimiento y Justicia Administrativa del Estado de Oaxaca</w:t>
      </w:r>
      <w:r w:rsidRPr="00862AAF">
        <w:rPr>
          <w:rFonts w:ascii="Arial" w:hAnsi="Arial" w:cs="Arial"/>
          <w:sz w:val="24"/>
          <w:szCs w:val="24"/>
          <w:lang w:val="es-ES_tradnl"/>
        </w:rPr>
        <w:t xml:space="preserve">, </w:t>
      </w:r>
      <w:r w:rsidRPr="00862AAF">
        <w:rPr>
          <w:rFonts w:ascii="Tahoma" w:hAnsi="Tahoma" w:cs="Tahoma"/>
          <w:sz w:val="24"/>
          <w:szCs w:val="24"/>
        </w:rPr>
        <w:t xml:space="preserve">que a la letra dicen: </w:t>
      </w:r>
    </w:p>
    <w:p w:rsidR="00DF5861" w:rsidRPr="00862AAF" w:rsidRDefault="00DF5861" w:rsidP="00DF5861">
      <w:pPr>
        <w:spacing w:line="360" w:lineRule="auto"/>
        <w:jc w:val="both"/>
        <w:rPr>
          <w:rFonts w:ascii="Tahoma" w:hAnsi="Tahoma" w:cs="Tahoma"/>
          <w:sz w:val="24"/>
          <w:szCs w:val="24"/>
        </w:rPr>
      </w:pPr>
    </w:p>
    <w:p w:rsidR="00DF5861" w:rsidRPr="00862AAF" w:rsidRDefault="00DF5861" w:rsidP="00DF5861">
      <w:pPr>
        <w:spacing w:line="360" w:lineRule="auto"/>
        <w:ind w:left="1701" w:right="1469" w:hanging="141"/>
        <w:jc w:val="both"/>
        <w:rPr>
          <w:rFonts w:ascii="Tahoma" w:hAnsi="Tahoma" w:cs="Tahoma"/>
          <w:i/>
          <w:sz w:val="24"/>
          <w:szCs w:val="24"/>
        </w:rPr>
      </w:pPr>
      <w:r w:rsidRPr="00862AAF">
        <w:rPr>
          <w:rFonts w:ascii="Tahoma" w:hAnsi="Tahoma" w:cs="Tahoma"/>
          <w:b/>
          <w:i/>
          <w:sz w:val="24"/>
          <w:szCs w:val="24"/>
        </w:rPr>
        <w:t>ARTICULO 161.-</w:t>
      </w:r>
      <w:r w:rsidRPr="00862AAF">
        <w:rPr>
          <w:rFonts w:ascii="Tahoma" w:hAnsi="Tahoma" w:cs="Tahoma"/>
          <w:i/>
          <w:sz w:val="24"/>
          <w:szCs w:val="24"/>
        </w:rPr>
        <w:t xml:space="preserve"> Es improcedente el juicio ante el Tribunal contra actos: </w:t>
      </w:r>
    </w:p>
    <w:p w:rsidR="00AA5A76" w:rsidRPr="00862AAF" w:rsidRDefault="00AA5A76" w:rsidP="00AA5A76">
      <w:pPr>
        <w:spacing w:line="360" w:lineRule="auto"/>
        <w:ind w:left="1701" w:right="1469" w:hanging="141"/>
        <w:jc w:val="both"/>
        <w:rPr>
          <w:rFonts w:ascii="Tahoma" w:hAnsi="Tahoma" w:cs="Tahoma"/>
          <w:i/>
          <w:sz w:val="24"/>
          <w:szCs w:val="24"/>
        </w:rPr>
      </w:pPr>
      <w:r w:rsidRPr="00862AAF">
        <w:rPr>
          <w:rFonts w:ascii="Tahoma" w:hAnsi="Tahoma" w:cs="Tahoma"/>
          <w:i/>
          <w:sz w:val="24"/>
          <w:szCs w:val="24"/>
        </w:rPr>
        <w:t xml:space="preserve">IX. Cuando de las constancias de autos apareciere claramente que no existe el acto reclamado o cuando no se probare su existencia; y </w:t>
      </w:r>
    </w:p>
    <w:p w:rsidR="00AA5A76" w:rsidRPr="00862AAF" w:rsidRDefault="00AA5A76" w:rsidP="00AA5A76">
      <w:pPr>
        <w:spacing w:line="360" w:lineRule="auto"/>
        <w:ind w:left="1701" w:right="1469" w:hanging="141"/>
        <w:jc w:val="both"/>
        <w:rPr>
          <w:rFonts w:ascii="Tahoma" w:hAnsi="Tahoma" w:cs="Tahoma"/>
          <w:i/>
          <w:sz w:val="24"/>
          <w:szCs w:val="24"/>
        </w:rPr>
      </w:pPr>
      <w:r w:rsidRPr="00862AAF">
        <w:rPr>
          <w:rFonts w:ascii="Tahoma" w:hAnsi="Tahoma" w:cs="Tahoma"/>
          <w:i/>
          <w:sz w:val="24"/>
          <w:szCs w:val="24"/>
        </w:rPr>
        <w:t xml:space="preserve"> </w:t>
      </w:r>
    </w:p>
    <w:p w:rsidR="00AA5A76" w:rsidRPr="00862AAF" w:rsidRDefault="00AA5A76" w:rsidP="00AA5A76">
      <w:pPr>
        <w:spacing w:line="360" w:lineRule="auto"/>
        <w:ind w:left="1701" w:right="1469" w:hanging="141"/>
        <w:jc w:val="both"/>
        <w:rPr>
          <w:rFonts w:ascii="Tahoma" w:hAnsi="Tahoma" w:cs="Tahoma"/>
          <w:i/>
          <w:sz w:val="24"/>
          <w:szCs w:val="24"/>
        </w:rPr>
      </w:pPr>
      <w:r w:rsidRPr="00862AAF">
        <w:rPr>
          <w:rFonts w:ascii="Tahoma" w:hAnsi="Tahoma" w:cs="Tahoma"/>
          <w:i/>
          <w:sz w:val="24"/>
          <w:szCs w:val="24"/>
        </w:rPr>
        <w:t xml:space="preserve">X. En los demás casos en que la improcedencia resulte de alguna disposición de esta Ley o de cualquiera otra de naturaleza fiscal o administrativa. </w:t>
      </w:r>
    </w:p>
    <w:p w:rsidR="00DF5861" w:rsidRPr="00862AAF" w:rsidRDefault="00DF5861" w:rsidP="00DF5861">
      <w:pPr>
        <w:spacing w:line="360" w:lineRule="auto"/>
        <w:ind w:left="1701" w:right="1469" w:hanging="141"/>
        <w:jc w:val="both"/>
        <w:rPr>
          <w:rFonts w:ascii="Tahoma" w:hAnsi="Tahoma" w:cs="Tahoma"/>
          <w:i/>
          <w:sz w:val="24"/>
          <w:szCs w:val="24"/>
        </w:rPr>
      </w:pPr>
    </w:p>
    <w:p w:rsidR="00AA5A76" w:rsidRPr="00862AAF" w:rsidRDefault="00AA5A76" w:rsidP="00AA5A76">
      <w:pPr>
        <w:spacing w:line="360" w:lineRule="auto"/>
        <w:ind w:left="1559" w:right="1469"/>
        <w:jc w:val="both"/>
        <w:rPr>
          <w:rFonts w:ascii="Tahoma" w:hAnsi="Tahoma" w:cs="Tahoma"/>
          <w:i/>
          <w:sz w:val="24"/>
          <w:szCs w:val="24"/>
        </w:rPr>
      </w:pPr>
      <w:r w:rsidRPr="00862AAF">
        <w:rPr>
          <w:rFonts w:ascii="Tahoma" w:hAnsi="Tahoma" w:cs="Tahoma"/>
          <w:b/>
          <w:i/>
          <w:sz w:val="24"/>
          <w:szCs w:val="24"/>
        </w:rPr>
        <w:t xml:space="preserve">   </w:t>
      </w:r>
      <w:r w:rsidR="00DF5861" w:rsidRPr="00862AAF">
        <w:rPr>
          <w:rFonts w:ascii="Tahoma" w:hAnsi="Tahoma" w:cs="Tahoma"/>
          <w:b/>
          <w:i/>
          <w:sz w:val="24"/>
          <w:szCs w:val="24"/>
        </w:rPr>
        <w:t>ARTÍCULO 162.-</w:t>
      </w:r>
      <w:r w:rsidR="00DF5861" w:rsidRPr="00862AAF">
        <w:rPr>
          <w:rFonts w:ascii="Tahoma" w:hAnsi="Tahoma" w:cs="Tahoma"/>
          <w:i/>
          <w:sz w:val="24"/>
          <w:szCs w:val="24"/>
        </w:rPr>
        <w:t xml:space="preserve"> Procede el sobreseimiento del </w:t>
      </w:r>
      <w:r w:rsidRPr="00862AAF">
        <w:rPr>
          <w:rFonts w:ascii="Tahoma" w:hAnsi="Tahoma" w:cs="Tahoma"/>
          <w:i/>
          <w:sz w:val="24"/>
          <w:szCs w:val="24"/>
        </w:rPr>
        <w:t xml:space="preserve">                  </w:t>
      </w:r>
      <w:r w:rsidR="00DF5861" w:rsidRPr="00862AAF">
        <w:rPr>
          <w:rFonts w:ascii="Tahoma" w:hAnsi="Tahoma" w:cs="Tahoma"/>
          <w:i/>
          <w:sz w:val="24"/>
          <w:szCs w:val="24"/>
        </w:rPr>
        <w:t xml:space="preserve">juicio:… </w:t>
      </w:r>
    </w:p>
    <w:p w:rsidR="00AA5A76" w:rsidRPr="00862AAF" w:rsidRDefault="00AA5A76" w:rsidP="00AA5A76">
      <w:pPr>
        <w:spacing w:line="360" w:lineRule="auto"/>
        <w:ind w:left="1559" w:right="1469"/>
        <w:jc w:val="both"/>
        <w:rPr>
          <w:rFonts w:ascii="Tahoma" w:hAnsi="Tahoma" w:cs="Tahoma"/>
          <w:i/>
          <w:sz w:val="24"/>
          <w:szCs w:val="24"/>
        </w:rPr>
      </w:pPr>
    </w:p>
    <w:p w:rsidR="00AA5A76" w:rsidRPr="00862AAF" w:rsidRDefault="00AA5A76" w:rsidP="00AA5A76">
      <w:pPr>
        <w:spacing w:line="360" w:lineRule="auto"/>
        <w:ind w:left="1559" w:right="1469"/>
        <w:jc w:val="both"/>
        <w:rPr>
          <w:rFonts w:ascii="Tahoma" w:hAnsi="Tahoma" w:cs="Tahoma"/>
          <w:i/>
          <w:sz w:val="24"/>
          <w:szCs w:val="24"/>
        </w:rPr>
      </w:pPr>
      <w:r w:rsidRPr="00862AAF">
        <w:rPr>
          <w:rFonts w:ascii="Tahoma" w:hAnsi="Tahoma" w:cs="Tahoma"/>
          <w:i/>
          <w:sz w:val="24"/>
          <w:szCs w:val="24"/>
        </w:rPr>
        <w:lastRenderedPageBreak/>
        <w:t xml:space="preserve">II.- Cuando durante la tramitación del procedimiento sobreviniere alguna de las causas de improcedencia a que se refiere el artículo anterior; </w:t>
      </w:r>
    </w:p>
    <w:p w:rsidR="00DF5861" w:rsidRPr="00862AAF" w:rsidRDefault="00DF5861" w:rsidP="00DF5861">
      <w:pPr>
        <w:spacing w:line="360" w:lineRule="auto"/>
        <w:jc w:val="both"/>
        <w:rPr>
          <w:rFonts w:ascii="Tahoma" w:hAnsi="Tahoma" w:cs="Tahoma"/>
          <w:i/>
          <w:sz w:val="24"/>
          <w:szCs w:val="24"/>
        </w:rPr>
      </w:pPr>
    </w:p>
    <w:p w:rsidR="00DF5861" w:rsidRPr="00862AAF" w:rsidRDefault="00DF5861" w:rsidP="00DF5861">
      <w:pPr>
        <w:spacing w:line="360" w:lineRule="auto"/>
        <w:jc w:val="both"/>
        <w:rPr>
          <w:rFonts w:ascii="Tahoma" w:hAnsi="Tahoma" w:cs="Tahoma"/>
          <w:sz w:val="24"/>
          <w:szCs w:val="24"/>
        </w:rPr>
      </w:pPr>
      <w:r w:rsidRPr="00862AAF">
        <w:rPr>
          <w:rFonts w:ascii="Tahoma" w:hAnsi="Tahoma" w:cs="Tahoma"/>
          <w:sz w:val="24"/>
          <w:szCs w:val="24"/>
        </w:rPr>
        <w:t xml:space="preserve"> </w:t>
      </w:r>
      <w:r w:rsidRPr="00862AAF">
        <w:rPr>
          <w:rFonts w:ascii="Tahoma" w:hAnsi="Tahoma" w:cs="Tahoma"/>
          <w:sz w:val="24"/>
          <w:szCs w:val="24"/>
        </w:rPr>
        <w:tab/>
      </w:r>
      <w:proofErr w:type="spellStart"/>
      <w:r w:rsidR="0019156E" w:rsidRPr="00862AAF">
        <w:rPr>
          <w:rFonts w:ascii="Tahoma" w:hAnsi="Tahoma" w:cs="Tahoma"/>
          <w:sz w:val="24"/>
          <w:szCs w:val="24"/>
        </w:rPr>
        <w:t>Si</w:t>
      </w:r>
      <w:proofErr w:type="spellEnd"/>
      <w:r w:rsidR="0019156E" w:rsidRPr="00862AAF">
        <w:rPr>
          <w:rFonts w:ascii="Tahoma" w:hAnsi="Tahoma" w:cs="Tahoma"/>
          <w:sz w:val="24"/>
          <w:szCs w:val="24"/>
        </w:rPr>
        <w:t xml:space="preserve"> embargo, t</w:t>
      </w:r>
      <w:r w:rsidRPr="00862AAF">
        <w:rPr>
          <w:rFonts w:ascii="Tahoma" w:hAnsi="Tahoma" w:cs="Tahoma"/>
          <w:sz w:val="24"/>
          <w:szCs w:val="24"/>
        </w:rPr>
        <w:t>iene que decírsele a la demandada que los argumentos esgrimidos al tratar de actualizar las hipótesis de las fracciones referidas resultan erróneas, toda vez que de autos se advierte que el acto reclamado si existe, tan es así que la administrada lo presentó en original ante este Tribunal y corre agregado a foja</w:t>
      </w:r>
      <w:r w:rsidR="0019156E" w:rsidRPr="00862AAF">
        <w:rPr>
          <w:rFonts w:ascii="Tahoma" w:hAnsi="Tahoma" w:cs="Tahoma"/>
          <w:sz w:val="24"/>
          <w:szCs w:val="24"/>
        </w:rPr>
        <w:t>s</w:t>
      </w:r>
      <w:r w:rsidRPr="00862AAF">
        <w:rPr>
          <w:rFonts w:ascii="Tahoma" w:hAnsi="Tahoma" w:cs="Tahoma"/>
          <w:sz w:val="24"/>
          <w:szCs w:val="24"/>
        </w:rPr>
        <w:t xml:space="preserve"> (</w:t>
      </w:r>
      <w:r w:rsidR="0019156E" w:rsidRPr="00862AAF">
        <w:rPr>
          <w:rFonts w:ascii="Tahoma" w:hAnsi="Tahoma" w:cs="Tahoma"/>
          <w:sz w:val="24"/>
          <w:szCs w:val="24"/>
        </w:rPr>
        <w:t>9 y 10</w:t>
      </w:r>
      <w:r w:rsidRPr="00862AAF">
        <w:rPr>
          <w:rFonts w:ascii="Tahoma" w:hAnsi="Tahoma" w:cs="Tahoma"/>
          <w:sz w:val="24"/>
          <w:szCs w:val="24"/>
        </w:rPr>
        <w:t>) del sumario</w:t>
      </w:r>
      <w:r w:rsidR="0019156E" w:rsidRPr="00862AAF">
        <w:rPr>
          <w:rFonts w:ascii="Tahoma" w:hAnsi="Tahoma" w:cs="Tahoma"/>
          <w:sz w:val="24"/>
          <w:szCs w:val="24"/>
        </w:rPr>
        <w:t xml:space="preserve"> y la misma demandada lo ofreció como prueba en copias certificadas y obran en fojas (28 y 29)</w:t>
      </w:r>
      <w:r w:rsidRPr="00862AAF">
        <w:rPr>
          <w:rFonts w:ascii="Tahoma" w:hAnsi="Tahoma" w:cs="Tahoma"/>
          <w:sz w:val="24"/>
          <w:szCs w:val="24"/>
        </w:rPr>
        <w:t xml:space="preserve">. Documento que adquiere valor probatorio pleno en términos del artículo 203, Fracción I, de la Ley de Procedimiento </w:t>
      </w:r>
      <w:r w:rsidR="0019156E" w:rsidRPr="00862AAF">
        <w:rPr>
          <w:rFonts w:ascii="Tahoma" w:hAnsi="Tahoma" w:cs="Tahoma"/>
          <w:sz w:val="24"/>
          <w:szCs w:val="24"/>
        </w:rPr>
        <w:t>que rige a este Tribunal.</w:t>
      </w:r>
    </w:p>
    <w:p w:rsidR="00DF5861" w:rsidRPr="00862AAF" w:rsidRDefault="00DF5861" w:rsidP="00DF5861">
      <w:pPr>
        <w:spacing w:line="360" w:lineRule="auto"/>
        <w:jc w:val="both"/>
        <w:rPr>
          <w:rFonts w:ascii="Tahoma" w:hAnsi="Tahoma" w:cs="Tahoma"/>
          <w:sz w:val="24"/>
          <w:szCs w:val="24"/>
        </w:rPr>
      </w:pPr>
    </w:p>
    <w:p w:rsidR="00DF5861" w:rsidRPr="00862AAF" w:rsidRDefault="00DF5861" w:rsidP="00DF5861">
      <w:pPr>
        <w:spacing w:line="360" w:lineRule="auto"/>
        <w:ind w:firstLine="708"/>
        <w:jc w:val="both"/>
        <w:rPr>
          <w:rFonts w:ascii="Tahoma" w:hAnsi="Tahoma" w:cs="Tahoma"/>
          <w:sz w:val="24"/>
          <w:szCs w:val="24"/>
        </w:rPr>
      </w:pPr>
      <w:r w:rsidRPr="00862AAF">
        <w:rPr>
          <w:rFonts w:ascii="Tahoma" w:hAnsi="Tahoma" w:cs="Tahoma"/>
          <w:sz w:val="24"/>
          <w:szCs w:val="24"/>
        </w:rPr>
        <w:t xml:space="preserve">Por ende, al quedar desestimadas las causales de improcedencia y las excepciones hechas valer por la autoridad demandada, NO SE SOBRESEE EL PRESENTE JUICIO.- - - - - - - - - - - - - - - - - - - - - - - - - - - - - - - - - - - - - - - - - -   </w:t>
      </w:r>
    </w:p>
    <w:p w:rsidR="00DF5861" w:rsidRPr="00862AAF" w:rsidRDefault="00DF5861" w:rsidP="00DF5861">
      <w:pPr>
        <w:spacing w:line="360" w:lineRule="auto"/>
        <w:jc w:val="both"/>
        <w:rPr>
          <w:rFonts w:ascii="Tahoma" w:hAnsi="Tahoma" w:cs="Tahoma"/>
          <w:sz w:val="24"/>
          <w:szCs w:val="24"/>
        </w:rPr>
      </w:pPr>
    </w:p>
    <w:p w:rsidR="00E76472" w:rsidRPr="00862AAF" w:rsidRDefault="0031047E" w:rsidP="0031047E">
      <w:pPr>
        <w:spacing w:line="360" w:lineRule="auto"/>
        <w:ind w:firstLine="708"/>
        <w:jc w:val="both"/>
        <w:rPr>
          <w:rFonts w:ascii="Arial" w:hAnsi="Arial" w:cs="Arial"/>
          <w:sz w:val="24"/>
          <w:szCs w:val="24"/>
        </w:rPr>
      </w:pPr>
      <w:r w:rsidRPr="00862AAF">
        <w:rPr>
          <w:rFonts w:ascii="Arial" w:hAnsi="Arial" w:cs="Arial"/>
          <w:b/>
          <w:sz w:val="24"/>
          <w:szCs w:val="24"/>
        </w:rPr>
        <w:t>CUARTO</w:t>
      </w:r>
      <w:r w:rsidR="00E76472" w:rsidRPr="00862AAF">
        <w:rPr>
          <w:rFonts w:ascii="Arial" w:hAnsi="Arial" w:cs="Arial"/>
          <w:b/>
          <w:sz w:val="24"/>
          <w:szCs w:val="24"/>
        </w:rPr>
        <w:t>.-</w:t>
      </w:r>
      <w:r w:rsidR="00E76472" w:rsidRPr="00862AAF">
        <w:rPr>
          <w:rFonts w:ascii="Arial" w:hAnsi="Arial" w:cs="Arial"/>
          <w:sz w:val="24"/>
          <w:szCs w:val="24"/>
        </w:rPr>
        <w:t xml:space="preserve"> </w:t>
      </w:r>
      <w:r w:rsidR="00E76472" w:rsidRPr="00862AAF">
        <w:rPr>
          <w:rFonts w:ascii="Arial" w:hAnsi="Arial" w:cs="Arial"/>
          <w:b/>
          <w:bCs/>
          <w:sz w:val="24"/>
          <w:szCs w:val="24"/>
        </w:rPr>
        <w:t xml:space="preserve">Estudio de los Conceptos de Impugnación y pruebas ofrecidas por el actor. </w:t>
      </w:r>
      <w:r w:rsidR="00E76472" w:rsidRPr="00862AAF">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E76472" w:rsidRPr="00862AAF">
        <w:rPr>
          <w:rFonts w:ascii="Arial" w:hAnsi="Arial" w:cs="Arial"/>
          <w:sz w:val="24"/>
          <w:szCs w:val="24"/>
        </w:rPr>
        <w:t xml:space="preserve">; no obstante, serán valorados en el cuerpo de esta sentencia. - - - - - - - - - - - - - - - - - - - - - - - - - - - - -  </w:t>
      </w:r>
    </w:p>
    <w:p w:rsidR="00E76472" w:rsidRPr="00862AAF" w:rsidRDefault="00E76472" w:rsidP="00E76472">
      <w:pPr>
        <w:spacing w:line="360" w:lineRule="auto"/>
        <w:jc w:val="both"/>
        <w:rPr>
          <w:rFonts w:ascii="Arial" w:hAnsi="Arial" w:cs="Arial"/>
          <w:sz w:val="24"/>
          <w:szCs w:val="24"/>
        </w:rPr>
      </w:pPr>
    </w:p>
    <w:p w:rsidR="00E76472" w:rsidRPr="00862AAF" w:rsidRDefault="00E76472" w:rsidP="00E76472">
      <w:pPr>
        <w:pStyle w:val="Textonotapie"/>
        <w:widowControl w:val="0"/>
        <w:spacing w:line="360" w:lineRule="auto"/>
        <w:ind w:firstLine="708"/>
        <w:jc w:val="both"/>
        <w:rPr>
          <w:rFonts w:ascii="Arial" w:hAnsi="Arial" w:cs="Arial"/>
          <w:sz w:val="24"/>
          <w:szCs w:val="24"/>
          <w:lang w:eastAsia="es-MX"/>
        </w:rPr>
      </w:pPr>
      <w:r w:rsidRPr="00862AAF">
        <w:rPr>
          <w:rFonts w:ascii="Arial" w:hAnsi="Arial" w:cs="Arial"/>
          <w:sz w:val="24"/>
          <w:szCs w:val="24"/>
          <w:lang w:val="es-MX" w:eastAsia="es-MX"/>
        </w:rPr>
        <w:t>Al respecto resulta aplicable</w:t>
      </w:r>
      <w:r w:rsidRPr="00862AAF">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862AAF">
        <w:rPr>
          <w:rFonts w:ascii="Arial" w:hAnsi="Arial" w:cs="Arial"/>
          <w:i/>
          <w:sz w:val="24"/>
          <w:szCs w:val="24"/>
          <w:lang w:eastAsia="es-MX"/>
        </w:rPr>
        <w:t>Semanario Judicial de la Federación y su Gaceta</w:t>
      </w:r>
      <w:r w:rsidRPr="00862AAF">
        <w:rPr>
          <w:rFonts w:ascii="Arial" w:hAnsi="Arial" w:cs="Arial"/>
          <w:sz w:val="24"/>
          <w:szCs w:val="24"/>
          <w:lang w:eastAsia="es-MX"/>
        </w:rPr>
        <w:t>, Tomo XXXI, mayo de 2010, página 830, de rubro:</w:t>
      </w:r>
    </w:p>
    <w:p w:rsidR="00E76472" w:rsidRPr="00862AAF" w:rsidRDefault="00E76472" w:rsidP="00E76472">
      <w:pPr>
        <w:pStyle w:val="Textonotapie"/>
        <w:widowControl w:val="0"/>
        <w:spacing w:line="360" w:lineRule="auto"/>
        <w:jc w:val="both"/>
        <w:rPr>
          <w:rFonts w:ascii="Arial" w:hAnsi="Arial" w:cs="Arial"/>
          <w:sz w:val="24"/>
          <w:szCs w:val="24"/>
          <w:lang w:eastAsia="es-MX"/>
        </w:rPr>
      </w:pPr>
    </w:p>
    <w:p w:rsidR="00E76472" w:rsidRPr="00862AAF" w:rsidRDefault="00E76472" w:rsidP="00E76472">
      <w:pPr>
        <w:pStyle w:val="Textonotapie"/>
        <w:widowControl w:val="0"/>
        <w:spacing w:line="360" w:lineRule="auto"/>
        <w:ind w:left="1701" w:right="1469"/>
        <w:jc w:val="both"/>
        <w:rPr>
          <w:rFonts w:ascii="Arial" w:hAnsi="Arial" w:cs="Arial"/>
          <w:b/>
          <w:sz w:val="24"/>
          <w:szCs w:val="24"/>
          <w:lang w:eastAsia="es-MX"/>
        </w:rPr>
      </w:pPr>
      <w:r w:rsidRPr="00862AAF">
        <w:rPr>
          <w:rFonts w:ascii="Arial" w:hAnsi="Arial" w:cs="Arial"/>
          <w:sz w:val="24"/>
          <w:szCs w:val="24"/>
          <w:lang w:eastAsia="es-MX"/>
        </w:rPr>
        <w:t xml:space="preserve"> </w:t>
      </w:r>
      <w:r w:rsidRPr="00862AAF">
        <w:rPr>
          <w:rFonts w:ascii="Arial" w:hAnsi="Arial" w:cs="Arial"/>
          <w:b/>
          <w:sz w:val="24"/>
          <w:szCs w:val="24"/>
          <w:lang w:eastAsia="es-MX"/>
        </w:rPr>
        <w:t>CONCEPTOS DE VIOLACIÓN O AGRAVIOS. PARA CUMPLIR CON LOS PRINCIPIOS DE CONGRUENCIA Y EXHAUSTIVIDAD EN LAS SENTENCIAS DE AMPARO ES INNECESARIA SU TRANSCRIPCIÓN.</w:t>
      </w:r>
    </w:p>
    <w:p w:rsidR="00E76472" w:rsidRPr="00862AAF" w:rsidRDefault="00E76472" w:rsidP="00E76472">
      <w:pPr>
        <w:pStyle w:val="Textonotapie"/>
        <w:widowControl w:val="0"/>
        <w:spacing w:line="360" w:lineRule="auto"/>
        <w:ind w:left="1701" w:right="1469"/>
        <w:jc w:val="both"/>
        <w:rPr>
          <w:rFonts w:ascii="Arial" w:hAnsi="Arial" w:cs="Arial"/>
          <w:b/>
          <w:sz w:val="24"/>
          <w:szCs w:val="24"/>
          <w:lang w:eastAsia="es-MX"/>
        </w:rPr>
      </w:pPr>
    </w:p>
    <w:p w:rsidR="00E76472" w:rsidRPr="00862AAF" w:rsidRDefault="00E76472" w:rsidP="00E76472">
      <w:pPr>
        <w:spacing w:line="360" w:lineRule="auto"/>
        <w:ind w:firstLine="708"/>
        <w:jc w:val="both"/>
        <w:rPr>
          <w:rFonts w:ascii="Arial" w:hAnsi="Arial" w:cs="Arial"/>
          <w:sz w:val="24"/>
          <w:szCs w:val="24"/>
        </w:rPr>
      </w:pPr>
      <w:r w:rsidRPr="00862AAF">
        <w:rPr>
          <w:rFonts w:ascii="Arial" w:hAnsi="Arial" w:cs="Arial"/>
          <w:sz w:val="24"/>
          <w:szCs w:val="24"/>
        </w:rPr>
        <w:t xml:space="preserve">Esta Sala, después de haber realizado un estudio minucioso del oficio número </w:t>
      </w:r>
      <w:r w:rsidR="0047434A">
        <w:rPr>
          <w:rFonts w:cs="Arial"/>
          <w:b/>
          <w:sz w:val="24"/>
          <w:szCs w:val="24"/>
        </w:rPr>
        <w:t>**********</w:t>
      </w:r>
      <w:r w:rsidRPr="00862AAF">
        <w:rPr>
          <w:rFonts w:ascii="Arial" w:hAnsi="Arial" w:cs="Arial"/>
          <w:sz w:val="24"/>
          <w:szCs w:val="24"/>
        </w:rPr>
        <w:t xml:space="preserve">, de fecha </w:t>
      </w:r>
      <w:r w:rsidR="00BB14C9" w:rsidRPr="00862AAF">
        <w:rPr>
          <w:rFonts w:ascii="Arial" w:hAnsi="Arial" w:cs="Arial"/>
          <w:sz w:val="24"/>
          <w:szCs w:val="24"/>
        </w:rPr>
        <w:t>once</w:t>
      </w:r>
      <w:r w:rsidRPr="00862AAF">
        <w:rPr>
          <w:rFonts w:ascii="Arial" w:hAnsi="Arial" w:cs="Arial"/>
          <w:sz w:val="24"/>
          <w:szCs w:val="24"/>
        </w:rPr>
        <w:t xml:space="preserve"> de </w:t>
      </w:r>
      <w:r w:rsidR="00BB14C9" w:rsidRPr="00862AAF">
        <w:rPr>
          <w:rFonts w:ascii="Arial" w:hAnsi="Arial" w:cs="Arial"/>
          <w:sz w:val="24"/>
          <w:szCs w:val="24"/>
        </w:rPr>
        <w:t>marzo</w:t>
      </w:r>
      <w:r w:rsidRPr="00862AAF">
        <w:rPr>
          <w:rFonts w:ascii="Arial" w:hAnsi="Arial" w:cs="Arial"/>
          <w:sz w:val="24"/>
          <w:szCs w:val="24"/>
        </w:rPr>
        <w:t xml:space="preserve"> de dos mil diecinueve (1</w:t>
      </w:r>
      <w:r w:rsidR="00BB14C9" w:rsidRPr="00862AAF">
        <w:rPr>
          <w:rFonts w:ascii="Arial" w:hAnsi="Arial" w:cs="Arial"/>
          <w:sz w:val="24"/>
          <w:szCs w:val="24"/>
        </w:rPr>
        <w:t>1</w:t>
      </w:r>
      <w:r w:rsidRPr="00862AAF">
        <w:rPr>
          <w:rFonts w:ascii="Arial" w:hAnsi="Arial" w:cs="Arial"/>
          <w:sz w:val="24"/>
          <w:szCs w:val="24"/>
        </w:rPr>
        <w:t>-0</w:t>
      </w:r>
      <w:r w:rsidR="00BB14C9" w:rsidRPr="00862AAF">
        <w:rPr>
          <w:rFonts w:ascii="Arial" w:hAnsi="Arial" w:cs="Arial"/>
          <w:sz w:val="24"/>
          <w:szCs w:val="24"/>
        </w:rPr>
        <w:t>3</w:t>
      </w:r>
      <w:r w:rsidRPr="00862AAF">
        <w:rPr>
          <w:rFonts w:ascii="Arial" w:hAnsi="Arial" w:cs="Arial"/>
          <w:sz w:val="24"/>
          <w:szCs w:val="24"/>
        </w:rPr>
        <w:t xml:space="preserve">-2019), emitido por el </w:t>
      </w:r>
      <w:r w:rsidR="0047434A">
        <w:rPr>
          <w:rFonts w:cs="Arial"/>
          <w:b/>
          <w:sz w:val="24"/>
          <w:szCs w:val="24"/>
        </w:rPr>
        <w:t>**********</w:t>
      </w:r>
      <w:r w:rsidRPr="00862AAF">
        <w:rPr>
          <w:rFonts w:ascii="Arial" w:hAnsi="Arial" w:cs="Arial"/>
          <w:sz w:val="24"/>
          <w:szCs w:val="24"/>
        </w:rPr>
        <w:t xml:space="preserve">,  DIRECTOR GENERAL DE LA OFICINA DE PENSIONES DEL ESTADO DE OAXACA, y tomando en consideración los </w:t>
      </w:r>
      <w:r w:rsidRPr="00862AAF">
        <w:rPr>
          <w:rFonts w:ascii="Arial" w:hAnsi="Arial" w:cs="Arial"/>
          <w:sz w:val="24"/>
          <w:szCs w:val="24"/>
        </w:rPr>
        <w:lastRenderedPageBreak/>
        <w:t>conceptos de impugnación hechos valer por el actor se advierte que, la enjuiciada para negar la devolución del fondo de pensiones al actor</w:t>
      </w:r>
      <w:r w:rsidR="007E04F0" w:rsidRPr="00862AAF">
        <w:rPr>
          <w:rFonts w:ascii="Arial" w:hAnsi="Arial" w:cs="Arial"/>
          <w:sz w:val="24"/>
          <w:szCs w:val="24"/>
        </w:rPr>
        <w:t>,</w:t>
      </w:r>
      <w:r w:rsidRPr="00862AAF">
        <w:rPr>
          <w:rFonts w:ascii="Arial" w:hAnsi="Arial" w:cs="Arial"/>
          <w:sz w:val="24"/>
          <w:szCs w:val="24"/>
        </w:rPr>
        <w:t xml:space="preserve"> se basó preponderantemente en los artículos 14 y 64, de la Ley de Pensiones para los Trabajadores de Gobierno del Estado  de Oaxaca: que establecen:</w:t>
      </w:r>
    </w:p>
    <w:p w:rsidR="00E76472" w:rsidRPr="00862AAF" w:rsidRDefault="00E76472" w:rsidP="00E76472">
      <w:pPr>
        <w:spacing w:line="360" w:lineRule="auto"/>
        <w:ind w:firstLine="708"/>
        <w:jc w:val="both"/>
        <w:rPr>
          <w:rFonts w:ascii="Arial" w:hAnsi="Arial" w:cs="Arial"/>
          <w:sz w:val="24"/>
          <w:szCs w:val="24"/>
        </w:rPr>
      </w:pPr>
    </w:p>
    <w:p w:rsidR="00E76472" w:rsidRPr="00862AAF" w:rsidRDefault="00E76472" w:rsidP="00E76472">
      <w:pPr>
        <w:spacing w:line="360" w:lineRule="auto"/>
        <w:ind w:left="1701" w:right="1468" w:firstLine="708"/>
        <w:jc w:val="both"/>
        <w:rPr>
          <w:rFonts w:ascii="Arial" w:hAnsi="Arial" w:cs="Arial"/>
        </w:rPr>
      </w:pPr>
      <w:r w:rsidRPr="00862AAF">
        <w:rPr>
          <w:rFonts w:ascii="Arial" w:hAnsi="Arial" w:cs="Arial"/>
        </w:rPr>
        <w:t>Artículo 14: El hecho de contribuir al Fondo de Pensiones no da derecho alguno de propiedad al trabajador, individual, ni colectivo sobre el patrimonio de la Oficina de Pensiones, sino solo el de gozar de los beneficios que concede esta Ley. Durante el tiempo de una licencia ilimitada sin goce de sueldo, el trabajador tendrá suspendidos tales derechos y beneficios.</w:t>
      </w:r>
    </w:p>
    <w:p w:rsidR="00E76472" w:rsidRPr="00862AAF" w:rsidRDefault="00E76472" w:rsidP="00E76472">
      <w:pPr>
        <w:spacing w:line="360" w:lineRule="auto"/>
        <w:ind w:left="1701" w:right="1468" w:firstLine="708"/>
        <w:jc w:val="both"/>
        <w:rPr>
          <w:rFonts w:ascii="Arial" w:hAnsi="Arial" w:cs="Arial"/>
        </w:rPr>
      </w:pPr>
    </w:p>
    <w:p w:rsidR="00E76472" w:rsidRPr="00862AAF" w:rsidRDefault="00E76472" w:rsidP="00E76472">
      <w:pPr>
        <w:spacing w:line="360" w:lineRule="auto"/>
        <w:ind w:left="1701" w:right="1468" w:firstLine="708"/>
        <w:jc w:val="both"/>
        <w:rPr>
          <w:rFonts w:ascii="Arial" w:hAnsi="Arial" w:cs="Arial"/>
        </w:rPr>
      </w:pPr>
      <w:r w:rsidRPr="00862AAF">
        <w:rPr>
          <w:rFonts w:ascii="Arial" w:hAnsi="Arial" w:cs="Arial"/>
        </w:rPr>
        <w:t>Artículo 64: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w:t>
      </w:r>
    </w:p>
    <w:p w:rsidR="00E76472" w:rsidRPr="00862AAF" w:rsidRDefault="00E76472" w:rsidP="00E76472">
      <w:pPr>
        <w:spacing w:line="360" w:lineRule="auto"/>
        <w:ind w:firstLine="708"/>
        <w:jc w:val="both"/>
        <w:rPr>
          <w:rFonts w:ascii="Arial" w:hAnsi="Arial" w:cs="Arial"/>
          <w:sz w:val="24"/>
          <w:szCs w:val="24"/>
        </w:rPr>
      </w:pPr>
    </w:p>
    <w:p w:rsidR="00E76472" w:rsidRPr="00862AAF" w:rsidRDefault="00E76472" w:rsidP="00E76472">
      <w:pPr>
        <w:spacing w:line="360" w:lineRule="auto"/>
        <w:jc w:val="both"/>
        <w:rPr>
          <w:rFonts w:ascii="Arial" w:hAnsi="Arial" w:cs="Arial"/>
          <w:sz w:val="24"/>
          <w:szCs w:val="24"/>
        </w:rPr>
      </w:pPr>
      <w:r w:rsidRPr="00862AAF">
        <w:rPr>
          <w:rFonts w:ascii="Arial" w:hAnsi="Arial" w:cs="Arial"/>
          <w:sz w:val="24"/>
          <w:szCs w:val="24"/>
        </w:rPr>
        <w:t xml:space="preserve"> </w:t>
      </w:r>
      <w:r w:rsidRPr="00862AAF">
        <w:rPr>
          <w:rFonts w:ascii="Arial" w:hAnsi="Arial" w:cs="Arial"/>
          <w:sz w:val="24"/>
          <w:szCs w:val="24"/>
        </w:rPr>
        <w:tab/>
        <w:t>Sin embargo, la demandada pasó por alto, lo establecido en el artículo 4º., del Ordenamiento Legal invocado, y que consta en el acto reclamado, toda vez que esta no realizó un análisis respecto a la Ley invocada para así garantizar los derechos del actor, máxime que es una obligación que tenemos todas las autoridades en el ámbito de nuestras competencias, p</w:t>
      </w:r>
      <w:r w:rsidRPr="00862AAF">
        <w:rPr>
          <w:rFonts w:ascii="Arial" w:hAnsi="Arial" w:cs="Arial"/>
          <w:b/>
          <w:bCs/>
          <w:sz w:val="24"/>
          <w:szCs w:val="24"/>
        </w:rPr>
        <w:t>romover, respetar, proteger y garantizar</w:t>
      </w:r>
      <w:r w:rsidRPr="00862AAF">
        <w:rPr>
          <w:rFonts w:ascii="Arial" w:hAnsi="Arial" w:cs="Arial"/>
          <w:sz w:val="24"/>
          <w:szCs w:val="24"/>
        </w:rPr>
        <w:t xml:space="preserve"> los derechos humanos, de conformidad con el artículo 1º., de la Constitución Federal;  lo anterior es así, toda vez que el citado numeral 4º.,  señala: </w:t>
      </w:r>
      <w:r w:rsidRPr="00862AAF">
        <w:rPr>
          <w:rFonts w:ascii="Arial" w:hAnsi="Arial" w:cs="Arial"/>
          <w:b/>
          <w:bCs/>
          <w:sz w:val="24"/>
          <w:szCs w:val="24"/>
        </w:rPr>
        <w:t>“Para los efectos de esta Ley los derechos entre trabajadores de confianza y de base, se adecuarán a lo que especifica la propia Ley</w:t>
      </w:r>
      <w:r w:rsidRPr="00862AAF">
        <w:rPr>
          <w:rFonts w:ascii="Arial" w:hAnsi="Arial" w:cs="Arial"/>
          <w:sz w:val="24"/>
          <w:szCs w:val="24"/>
        </w:rPr>
        <w:t xml:space="preserve">”; entendiéndose que el objetivo del legislador no fue la de diferenciar los derechos de un trabajador de confianza y un trabajador de base, en virtud de que la palabra “adecuarán” significa que el derecho de los mismos se aplicará e igualará a los supuestos normativos en que cada uno se encuentran en un momento determinado y no a la diferenciación de un estatus de trabajador, tomando en cuenta que la palabra adecuar es un verbo activo que etimológicamente proviene del latín </w:t>
      </w:r>
      <w:r w:rsidRPr="00862AAF">
        <w:rPr>
          <w:rFonts w:ascii="Arial" w:hAnsi="Arial" w:cs="Arial"/>
          <w:sz w:val="24"/>
          <w:szCs w:val="24"/>
          <w:shd w:val="clear" w:color="auto" w:fill="FFFFFF"/>
        </w:rPr>
        <w:t>«</w:t>
      </w:r>
      <w:proofErr w:type="spellStart"/>
      <w:r w:rsidRPr="00862AAF">
        <w:rPr>
          <w:rFonts w:ascii="Arial" w:hAnsi="Arial" w:cs="Arial"/>
          <w:sz w:val="24"/>
          <w:szCs w:val="24"/>
          <w:shd w:val="clear" w:color="auto" w:fill="FFFFFF"/>
        </w:rPr>
        <w:t>adæquāre</w:t>
      </w:r>
      <w:proofErr w:type="spellEnd"/>
      <w:r w:rsidRPr="00862AAF">
        <w:rPr>
          <w:rFonts w:ascii="Arial" w:hAnsi="Arial" w:cs="Arial"/>
          <w:sz w:val="24"/>
          <w:szCs w:val="24"/>
          <w:shd w:val="clear" w:color="auto" w:fill="FFFFFF"/>
        </w:rPr>
        <w:t>» que significa igualar de una cosa a otra, compuesto del prefijo «ad» y de «</w:t>
      </w:r>
      <w:proofErr w:type="spellStart"/>
      <w:r w:rsidRPr="00862AAF">
        <w:rPr>
          <w:rFonts w:ascii="Arial" w:hAnsi="Arial" w:cs="Arial"/>
          <w:sz w:val="24"/>
          <w:szCs w:val="24"/>
          <w:shd w:val="clear" w:color="auto" w:fill="FFFFFF"/>
        </w:rPr>
        <w:t>æquāre</w:t>
      </w:r>
      <w:proofErr w:type="spellEnd"/>
      <w:r w:rsidRPr="00862AAF">
        <w:rPr>
          <w:rFonts w:ascii="Arial" w:hAnsi="Arial" w:cs="Arial"/>
          <w:sz w:val="24"/>
          <w:szCs w:val="24"/>
          <w:shd w:val="clear" w:color="auto" w:fill="FFFFFF"/>
        </w:rPr>
        <w:t xml:space="preserve">» igualar; y la </w:t>
      </w:r>
      <w:r w:rsidRPr="00862AAF">
        <w:rPr>
          <w:rFonts w:ascii="Arial" w:hAnsi="Arial" w:cs="Arial"/>
          <w:sz w:val="24"/>
          <w:szCs w:val="24"/>
        </w:rPr>
        <w:t xml:space="preserve"> autoridad al motivar su actuar hace una mala interpretación del artículo 64 de la Ley de Pensiones para los Trabajadores de Gobierno del Estado  de Oaxaca; por tanto, se deduce que lo dispuesto por el citado numeral involucra tanto a los trabajadores de base como los trabajadores de confianza, resultando que el contenido del oficio impugnado, es violatorio de garantías individuales consagradas por los artículos 1º., 14 y 16, de la Constitución Política de los Estados Unidos Mexicanos</w:t>
      </w:r>
      <w:r w:rsidR="007E04F0" w:rsidRPr="00862AAF">
        <w:rPr>
          <w:rFonts w:ascii="Arial" w:hAnsi="Arial" w:cs="Arial"/>
          <w:sz w:val="24"/>
          <w:szCs w:val="24"/>
        </w:rPr>
        <w:t>, en los que se establece</w:t>
      </w:r>
      <w:r w:rsidRPr="00862AAF">
        <w:rPr>
          <w:rFonts w:ascii="Arial" w:hAnsi="Arial" w:cs="Arial"/>
          <w:sz w:val="24"/>
          <w:szCs w:val="24"/>
        </w:rPr>
        <w:t xml:space="preserve"> que </w:t>
      </w:r>
      <w:r w:rsidRPr="00862AAF">
        <w:rPr>
          <w:rFonts w:ascii="Arial" w:hAnsi="Arial" w:cs="Arial"/>
          <w:b/>
          <w:bCs/>
          <w:sz w:val="24"/>
          <w:szCs w:val="24"/>
        </w:rPr>
        <w:t xml:space="preserve">todas las </w:t>
      </w:r>
      <w:r w:rsidRPr="00862AAF">
        <w:rPr>
          <w:rFonts w:ascii="Arial" w:hAnsi="Arial" w:cs="Arial"/>
          <w:b/>
          <w:bCs/>
          <w:sz w:val="24"/>
          <w:szCs w:val="24"/>
        </w:rPr>
        <w:lastRenderedPageBreak/>
        <w:t>personas</w:t>
      </w:r>
      <w:r w:rsidRPr="00862AAF">
        <w:rPr>
          <w:rFonts w:ascii="Arial" w:hAnsi="Arial" w:cs="Arial"/>
          <w:sz w:val="24"/>
          <w:szCs w:val="24"/>
        </w:rPr>
        <w:t xml:space="preserve"> gozarán de los derechos humanos reconocidos por ella; es claro apreciar que la referida autoridad al contestar la demanda manifiesta que en la Ley de Pensiones para los Trabajadores del Gobierno del Estado de Oaxaca, no existe precepto legal o figura jurídica que establezca expresamente que sean devueltas las aportaciones hechas al fondo de pensiones </w:t>
      </w:r>
      <w:r w:rsidR="003B499D" w:rsidRPr="00862AAF">
        <w:rPr>
          <w:rFonts w:ascii="Arial" w:hAnsi="Arial" w:cs="Arial"/>
          <w:sz w:val="24"/>
          <w:szCs w:val="24"/>
        </w:rPr>
        <w:t>a quien</w:t>
      </w:r>
      <w:r w:rsidRPr="00862AAF">
        <w:rPr>
          <w:rFonts w:ascii="Arial" w:hAnsi="Arial" w:cs="Arial"/>
          <w:sz w:val="24"/>
          <w:szCs w:val="24"/>
        </w:rPr>
        <w:t xml:space="preserve"> tuvo el carácter de trabajador con nombramiento de empleado de confianza del Gobierno del Estado Libre y Soberano de Oaxaca, toda vez que no lo prevé la Ley de pensiones para los Trabajadores del Estado de Oaxaca o en cualquier otra de ese tipo; con lo cual queda de manifiesto el acto discriminatorio de la autoridad demandada, toda vez que viola el derecho humano de Igualdad </w:t>
      </w:r>
      <w:r w:rsidR="003B499D" w:rsidRPr="00862AAF">
        <w:rPr>
          <w:rFonts w:ascii="Arial" w:hAnsi="Arial" w:cs="Arial"/>
          <w:sz w:val="24"/>
          <w:szCs w:val="24"/>
        </w:rPr>
        <w:t xml:space="preserve"> y no discriminación, </w:t>
      </w:r>
      <w:r w:rsidRPr="00862AAF">
        <w:rPr>
          <w:rFonts w:ascii="Arial" w:hAnsi="Arial" w:cs="Arial"/>
          <w:sz w:val="24"/>
          <w:szCs w:val="24"/>
        </w:rPr>
        <w:t xml:space="preserve">contenido en el artículo 123, apartado B, fracción V, de la Constitución Política de los Estados Unidos Mexicanos, 23.3, de la Declaración Universal De Los Derechos Humanos y 24 de la Convención Americana sobre Derechos Humanos. </w:t>
      </w:r>
    </w:p>
    <w:p w:rsidR="00E76472" w:rsidRPr="00862AAF" w:rsidRDefault="00E76472" w:rsidP="00E76472">
      <w:pPr>
        <w:spacing w:line="360" w:lineRule="auto"/>
        <w:jc w:val="both"/>
        <w:rPr>
          <w:rFonts w:ascii="Arial" w:hAnsi="Arial" w:cs="Arial"/>
          <w:sz w:val="24"/>
          <w:szCs w:val="24"/>
        </w:rPr>
      </w:pPr>
    </w:p>
    <w:p w:rsidR="00E76472" w:rsidRPr="00862AAF" w:rsidRDefault="00E76472" w:rsidP="00E76472">
      <w:pPr>
        <w:spacing w:line="360" w:lineRule="auto"/>
        <w:ind w:firstLine="708"/>
        <w:jc w:val="both"/>
        <w:rPr>
          <w:rFonts w:ascii="Arial" w:hAnsi="Arial" w:cs="Arial"/>
          <w:sz w:val="24"/>
          <w:szCs w:val="24"/>
        </w:rPr>
      </w:pPr>
      <w:r w:rsidRPr="00862AAF">
        <w:rPr>
          <w:rFonts w:ascii="Arial" w:hAnsi="Arial" w:cs="Arial"/>
          <w:sz w:val="24"/>
          <w:szCs w:val="24"/>
        </w:rPr>
        <w:t>Así también, es evidente la indebida fundamentación y motivación del acto impugnado con franca violación al artículo 17, fracción V, de la ley de Procedimiento y Justicia Administrativa para el Estado de Oaxaca, por lo que esta Sala, en atención al principio Pro Persona previsto en el artículo 1º.,  de la Constitución Política de los Estados Unidos Mexicanos, debe maximizar el ejercicio de los derechos fundamentales del administrado, en el sentido de aplicar la interpretación de la norma que busque el mayor beneficio de las personas, aunado a que la función esencial de esta sala es garantizar que los actos administrativos se ajusten al principio de legalidad y seguridad jurídica así como con observancia de los principios contenidos en los Tratados Internacionales y Convencionales, privilegiando los derechos humanos de los gobernados; en este sentido, si la Constitución Federal está privilegiando el Derecho humano a la Igualdad y prohibiendo cualquier clase de discriminación, la autoridad demandada debió privilegiar dicho Derecho, y no aplicar una Ley Secundaria que lo restringe , pues privilegia a unos y afecta a otros. Al respecto, para ejemplificar, cito la siguiente tesis de número y rubro:</w:t>
      </w:r>
    </w:p>
    <w:p w:rsidR="00E76472" w:rsidRPr="00862AAF" w:rsidRDefault="00E76472" w:rsidP="00E76472">
      <w:pPr>
        <w:spacing w:line="360" w:lineRule="auto"/>
        <w:ind w:left="397"/>
        <w:jc w:val="both"/>
        <w:rPr>
          <w:rFonts w:ascii="Arial" w:hAnsi="Arial" w:cs="Arial"/>
          <w:sz w:val="24"/>
          <w:szCs w:val="24"/>
        </w:rPr>
      </w:pPr>
    </w:p>
    <w:p w:rsidR="00E76472" w:rsidRPr="00862AAF" w:rsidRDefault="00E76472" w:rsidP="00E76472">
      <w:pPr>
        <w:spacing w:line="360" w:lineRule="auto"/>
        <w:ind w:left="397"/>
        <w:jc w:val="both"/>
        <w:rPr>
          <w:rFonts w:ascii="Arial" w:hAnsi="Arial" w:cs="Arial"/>
        </w:rPr>
      </w:pPr>
    </w:p>
    <w:tbl>
      <w:tblPr>
        <w:tblpPr w:leftFromText="141" w:rightFromText="141" w:vertAnchor="text" w:horzAnchor="margin" w:tblpXSpec="center" w:tblpY="20"/>
        <w:tblW w:w="5662"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58"/>
        <w:gridCol w:w="1258"/>
        <w:gridCol w:w="1056"/>
        <w:gridCol w:w="2090"/>
      </w:tblGrid>
      <w:tr w:rsidR="00862AAF" w:rsidRPr="00862AAF" w:rsidTr="00F96040">
        <w:trPr>
          <w:trHeight w:val="303"/>
          <w:tblCellSpacing w:w="0" w:type="dxa"/>
        </w:trPr>
        <w:tc>
          <w:tcPr>
            <w:tcW w:w="125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E76472" w:rsidRPr="00862AAF" w:rsidRDefault="00E76472" w:rsidP="000B38B9">
            <w:pPr>
              <w:spacing w:line="360" w:lineRule="auto"/>
              <w:ind w:left="-57"/>
              <w:jc w:val="both"/>
              <w:rPr>
                <w:rFonts w:ascii="Arial" w:hAnsi="Arial" w:cs="Arial"/>
                <w:sz w:val="16"/>
                <w:szCs w:val="16"/>
                <w:lang w:val="es-MX"/>
              </w:rPr>
            </w:pPr>
            <w:r w:rsidRPr="00862AAF">
              <w:rPr>
                <w:rStyle w:val="lbl-encabezado-negro"/>
                <w:rFonts w:ascii="Arial" w:hAnsi="Arial" w:cs="Arial"/>
                <w:szCs w:val="24"/>
              </w:rPr>
              <w:t xml:space="preserve">  </w:t>
            </w:r>
            <w:r w:rsidRPr="00862AAF">
              <w:rPr>
                <w:rStyle w:val="lbl-encabezado-negro"/>
              </w:rPr>
              <w:t xml:space="preserve">    </w:t>
            </w:r>
            <w:r w:rsidR="00DF1E87" w:rsidRPr="00862AAF">
              <w:rPr>
                <w:rStyle w:val="lbl-encabezado-negro"/>
              </w:rPr>
              <w:t xml:space="preserve">  </w:t>
            </w:r>
            <w:r w:rsidR="00F96040" w:rsidRPr="00862AAF">
              <w:rPr>
                <w:rStyle w:val="lbl-encabezado-negro"/>
              </w:rPr>
              <w:t xml:space="preserve">    </w:t>
            </w:r>
            <w:r w:rsidRPr="00862AAF">
              <w:rPr>
                <w:rStyle w:val="lbl-encabezado-negro"/>
                <w:rFonts w:ascii="Arial" w:hAnsi="Arial" w:cs="Arial"/>
                <w:sz w:val="16"/>
                <w:szCs w:val="16"/>
              </w:rPr>
              <w:t>Tesis: III.4o.T.33 L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E76472" w:rsidRPr="00862AAF" w:rsidRDefault="00E76472" w:rsidP="000B38B9">
            <w:pPr>
              <w:spacing w:line="360" w:lineRule="auto"/>
              <w:ind w:left="397"/>
              <w:jc w:val="both"/>
              <w:rPr>
                <w:rFonts w:ascii="Arial" w:hAnsi="Arial" w:cs="Arial"/>
                <w:sz w:val="16"/>
                <w:szCs w:val="16"/>
              </w:rPr>
            </w:pPr>
            <w:r w:rsidRPr="00862AAF">
              <w:rPr>
                <w:rStyle w:val="lbl-encabezado-negro"/>
                <w:rFonts w:ascii="Arial" w:hAnsi="Arial" w:cs="Arial"/>
                <w:sz w:val="16"/>
                <w:szCs w:val="16"/>
              </w:rPr>
              <w:t>Gaceta del Semanario Judicial de la Federación</w:t>
            </w:r>
          </w:p>
        </w:tc>
        <w:tc>
          <w:tcPr>
            <w:tcW w:w="1046"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E76472" w:rsidRPr="00862AAF" w:rsidRDefault="00E76472" w:rsidP="000B38B9">
            <w:pPr>
              <w:spacing w:line="360" w:lineRule="auto"/>
              <w:ind w:left="397"/>
              <w:jc w:val="both"/>
              <w:rPr>
                <w:rFonts w:ascii="Arial" w:hAnsi="Arial" w:cs="Arial"/>
                <w:sz w:val="16"/>
                <w:szCs w:val="16"/>
              </w:rPr>
            </w:pPr>
            <w:r w:rsidRPr="00862AAF">
              <w:rPr>
                <w:rStyle w:val="lbl-encabezado-negro"/>
                <w:rFonts w:ascii="Arial" w:hAnsi="Arial" w:cs="Arial"/>
                <w:sz w:val="16"/>
                <w:szCs w:val="16"/>
              </w:rPr>
              <w:t>Décima Época</w:t>
            </w:r>
          </w:p>
        </w:tc>
        <w:tc>
          <w:tcPr>
            <w:tcW w:w="210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E76472" w:rsidRPr="00862AAF" w:rsidRDefault="00E76472" w:rsidP="000B38B9">
            <w:pPr>
              <w:spacing w:line="360" w:lineRule="auto"/>
              <w:ind w:left="397"/>
              <w:jc w:val="both"/>
              <w:rPr>
                <w:rFonts w:ascii="Arial" w:hAnsi="Arial" w:cs="Arial"/>
                <w:sz w:val="16"/>
                <w:szCs w:val="16"/>
              </w:rPr>
            </w:pPr>
            <w:r w:rsidRPr="00862AAF">
              <w:rPr>
                <w:rStyle w:val="lbl-encabezado-negro"/>
                <w:rFonts w:ascii="Arial" w:hAnsi="Arial" w:cs="Arial"/>
                <w:sz w:val="16"/>
                <w:szCs w:val="16"/>
              </w:rPr>
              <w:t>2015338</w:t>
            </w:r>
            <w:r w:rsidRPr="00862AAF">
              <w:rPr>
                <w:rFonts w:ascii="Arial" w:hAnsi="Arial" w:cs="Arial"/>
                <w:sz w:val="16"/>
                <w:szCs w:val="16"/>
              </w:rPr>
              <w:t>        </w:t>
            </w:r>
            <w:r w:rsidRPr="00862AAF">
              <w:rPr>
                <w:rStyle w:val="lbl-encabezado-negro"/>
                <w:rFonts w:ascii="Arial" w:hAnsi="Arial" w:cs="Arial"/>
                <w:sz w:val="16"/>
                <w:szCs w:val="16"/>
              </w:rPr>
              <w:t>1 de 18</w:t>
            </w:r>
          </w:p>
        </w:tc>
      </w:tr>
      <w:tr w:rsidR="00862AAF" w:rsidRPr="00862AAF" w:rsidTr="00F96040">
        <w:trPr>
          <w:trHeight w:val="190"/>
          <w:tblCellSpacing w:w="0" w:type="dxa"/>
        </w:trPr>
        <w:tc>
          <w:tcPr>
            <w:tcW w:w="1258" w:type="dxa"/>
            <w:tcBorders>
              <w:top w:val="single" w:sz="6" w:space="0" w:color="A0A0A0"/>
              <w:left w:val="single" w:sz="6" w:space="0" w:color="A0A0A0"/>
              <w:bottom w:val="single" w:sz="6" w:space="0" w:color="A0A0A0"/>
              <w:right w:val="single" w:sz="6" w:space="0" w:color="A0A0A0"/>
            </w:tcBorders>
            <w:vAlign w:val="center"/>
            <w:hideMark/>
          </w:tcPr>
          <w:p w:rsidR="00E76472" w:rsidRPr="00862AAF" w:rsidRDefault="00E76472" w:rsidP="000B38B9">
            <w:pPr>
              <w:spacing w:line="360" w:lineRule="auto"/>
              <w:ind w:left="397"/>
              <w:jc w:val="both"/>
              <w:rPr>
                <w:rFonts w:ascii="Arial" w:hAnsi="Arial" w:cs="Arial"/>
                <w:sz w:val="16"/>
                <w:szCs w:val="16"/>
              </w:rPr>
            </w:pPr>
            <w:r w:rsidRPr="00862AAF">
              <w:rPr>
                <w:rFonts w:ascii="Arial" w:hAnsi="Arial" w:cs="Arial"/>
                <w:sz w:val="16"/>
                <w:szCs w:val="16"/>
              </w:rPr>
              <w:t>Tribunales Colegiados de Circuito</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E76472" w:rsidRPr="00862AAF" w:rsidRDefault="00E76472" w:rsidP="000B38B9">
            <w:pPr>
              <w:spacing w:line="360" w:lineRule="auto"/>
              <w:ind w:left="397"/>
              <w:jc w:val="both"/>
              <w:rPr>
                <w:rFonts w:ascii="Arial" w:hAnsi="Arial" w:cs="Arial"/>
                <w:sz w:val="16"/>
                <w:szCs w:val="16"/>
              </w:rPr>
            </w:pPr>
            <w:r w:rsidRPr="00862AAF">
              <w:rPr>
                <w:rFonts w:ascii="Arial" w:hAnsi="Arial" w:cs="Arial"/>
                <w:sz w:val="16"/>
                <w:szCs w:val="16"/>
              </w:rPr>
              <w:t>Libro 47, Octubre de 2017, Tomo IV</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E76472" w:rsidRPr="00862AAF" w:rsidRDefault="00E76472" w:rsidP="000B38B9">
            <w:pPr>
              <w:spacing w:line="360" w:lineRule="auto"/>
              <w:ind w:left="397"/>
              <w:jc w:val="both"/>
              <w:rPr>
                <w:rFonts w:ascii="Arial" w:hAnsi="Arial" w:cs="Arial"/>
                <w:sz w:val="16"/>
                <w:szCs w:val="16"/>
              </w:rPr>
            </w:pPr>
            <w:proofErr w:type="spellStart"/>
            <w:r w:rsidRPr="00862AAF">
              <w:rPr>
                <w:rFonts w:ascii="Arial" w:hAnsi="Arial" w:cs="Arial"/>
                <w:sz w:val="16"/>
                <w:szCs w:val="16"/>
              </w:rPr>
              <w:t>Pag</w:t>
            </w:r>
            <w:proofErr w:type="spellEnd"/>
            <w:r w:rsidRPr="00862AAF">
              <w:rPr>
                <w:rFonts w:ascii="Arial" w:hAnsi="Arial" w:cs="Arial"/>
                <w:sz w:val="16"/>
                <w:szCs w:val="16"/>
              </w:rPr>
              <w:t>. 2418</w:t>
            </w:r>
          </w:p>
        </w:tc>
        <w:tc>
          <w:tcPr>
            <w:tcW w:w="2100" w:type="dxa"/>
            <w:tcBorders>
              <w:top w:val="single" w:sz="6" w:space="0" w:color="A0A0A0"/>
              <w:left w:val="single" w:sz="6" w:space="0" w:color="A0A0A0"/>
              <w:bottom w:val="single" w:sz="6" w:space="0" w:color="A0A0A0"/>
              <w:right w:val="single" w:sz="6" w:space="0" w:color="A0A0A0"/>
            </w:tcBorders>
            <w:vAlign w:val="center"/>
            <w:hideMark/>
          </w:tcPr>
          <w:p w:rsidR="00E76472" w:rsidRPr="00862AAF" w:rsidRDefault="00E76472" w:rsidP="000B38B9">
            <w:pPr>
              <w:spacing w:line="360" w:lineRule="auto"/>
              <w:ind w:left="397"/>
              <w:jc w:val="both"/>
              <w:rPr>
                <w:rFonts w:ascii="Arial" w:hAnsi="Arial" w:cs="Arial"/>
                <w:sz w:val="16"/>
                <w:szCs w:val="16"/>
              </w:rPr>
            </w:pPr>
            <w:r w:rsidRPr="00862AAF">
              <w:rPr>
                <w:rFonts w:ascii="Arial" w:hAnsi="Arial" w:cs="Arial"/>
                <w:sz w:val="16"/>
                <w:szCs w:val="16"/>
              </w:rPr>
              <w:t>Tesis Aislada(Constitucional, Laboral)</w:t>
            </w:r>
          </w:p>
        </w:tc>
      </w:tr>
    </w:tbl>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p>
    <w:p w:rsidR="00E76472" w:rsidRPr="00862AAF" w:rsidRDefault="00E76472" w:rsidP="00E76472">
      <w:pPr>
        <w:ind w:left="1701" w:right="1468"/>
        <w:jc w:val="both"/>
        <w:rPr>
          <w:rFonts w:ascii="Arial" w:hAnsi="Arial" w:cs="Arial"/>
          <w:b/>
          <w:bCs/>
          <w:lang w:val="es-MX"/>
        </w:rPr>
      </w:pPr>
      <w:r w:rsidRPr="00862AAF">
        <w:rPr>
          <w:rFonts w:ascii="Arial" w:hAnsi="Arial" w:cs="Arial"/>
          <w:b/>
          <w:bCs/>
          <w:lang w:val="es-MX"/>
        </w:rPr>
        <w:t xml:space="preserve">CONDICIONES GENERALES DE TRABAJO DEL AYUNTAMIENTO CONSTITUCIONAL DE TONALÁ, </w:t>
      </w:r>
      <w:r w:rsidRPr="00862AAF">
        <w:rPr>
          <w:rFonts w:ascii="Arial" w:hAnsi="Arial" w:cs="Arial"/>
          <w:b/>
          <w:bCs/>
          <w:lang w:val="es-MX"/>
        </w:rPr>
        <w:lastRenderedPageBreak/>
        <w:t>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w:t>
      </w:r>
    </w:p>
    <w:p w:rsidR="00E76472" w:rsidRPr="00862AAF" w:rsidRDefault="00E76472" w:rsidP="00E76472">
      <w:pPr>
        <w:spacing w:line="360" w:lineRule="auto"/>
        <w:ind w:left="1701" w:right="1468"/>
        <w:jc w:val="both"/>
        <w:rPr>
          <w:rFonts w:ascii="Arial" w:hAnsi="Arial" w:cs="Arial"/>
          <w:vanish/>
        </w:rPr>
      </w:pPr>
    </w:p>
    <w:p w:rsidR="00E76472" w:rsidRPr="00862AAF" w:rsidRDefault="00E76472" w:rsidP="00E76472">
      <w:pPr>
        <w:spacing w:line="360" w:lineRule="auto"/>
        <w:ind w:left="1701" w:right="1468"/>
        <w:jc w:val="both"/>
        <w:rPr>
          <w:rFonts w:ascii="Arial" w:hAnsi="Arial" w:cs="Arial"/>
        </w:rPr>
      </w:pPr>
    </w:p>
    <w:p w:rsidR="00E76472" w:rsidRPr="00862AAF" w:rsidRDefault="00E76472" w:rsidP="00E76472">
      <w:pPr>
        <w:spacing w:line="360" w:lineRule="auto"/>
        <w:ind w:left="1701" w:right="1468"/>
        <w:jc w:val="both"/>
        <w:rPr>
          <w:rFonts w:ascii="Arial" w:hAnsi="Arial" w:cs="Arial"/>
        </w:rPr>
      </w:pPr>
      <w:r w:rsidRPr="00862AAF">
        <w:rPr>
          <w:rFonts w:ascii="Arial" w:hAnsi="Arial" w:cs="Arial"/>
        </w:rPr>
        <w:t xml:space="preserve"> Del artículo </w:t>
      </w:r>
      <w:hyperlink r:id="rId7" w:history="1">
        <w:r w:rsidRPr="00862AAF">
          <w:rPr>
            <w:rStyle w:val="Hipervnculo"/>
            <w:rFonts w:ascii="Arial" w:hAnsi="Arial" w:cs="Arial"/>
            <w:color w:val="auto"/>
          </w:rPr>
          <w:t>1o., quinto párrafo, de la Constitución Política de los Estados Unidos Mexicanos</w:t>
        </w:r>
      </w:hyperlink>
      <w:r w:rsidRPr="00862AAF">
        <w:rPr>
          <w:rFonts w:ascii="Arial" w:hAnsi="Arial" w:cs="Arial"/>
        </w:rPr>
        <w:t>, se advierte la prohibición de todo tipo de discriminación que atente contra la dignidad humana y tenga por objeto anular o menoscabar los derechos y libertades de las personas; a su vez, el artículo </w:t>
      </w:r>
      <w:hyperlink r:id="rId8" w:history="1">
        <w:r w:rsidRPr="00862AAF">
          <w:rPr>
            <w:rStyle w:val="Hipervnculo"/>
            <w:rFonts w:ascii="Arial" w:hAnsi="Arial" w:cs="Arial"/>
            <w:color w:val="auto"/>
          </w:rPr>
          <w:t>123, apartado B, fracción V, constitucional</w:t>
        </w:r>
      </w:hyperlink>
      <w:r w:rsidRPr="00862AAF">
        <w:rPr>
          <w:rFonts w:ascii="Arial" w:hAnsi="Arial" w:cs="Arial"/>
        </w:rPr>
        <w:t>, señala que a trabajo igual corresponderá salario igual, sin tener en cuenta el sexo; asimismo, el artículo </w:t>
      </w:r>
      <w:hyperlink r:id="rId9" w:history="1">
        <w:r w:rsidRPr="00862AAF">
          <w:rPr>
            <w:rStyle w:val="Hipervnculo"/>
            <w:rFonts w:ascii="Arial" w:hAnsi="Arial" w:cs="Arial"/>
            <w:color w:val="auto"/>
          </w:rPr>
          <w:t>23 de la Declaración Universal de los Derechos Humanos</w:t>
        </w:r>
      </w:hyperlink>
      <w:r w:rsidRPr="00862AAF">
        <w:rPr>
          <w:rFonts w:ascii="Arial" w:hAnsi="Arial" w:cs="Arial"/>
        </w:rPr>
        <w:t>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w:t>
      </w:r>
      <w:hyperlink r:id="rId10" w:history="1">
        <w:r w:rsidRPr="00862AAF">
          <w:rPr>
            <w:rStyle w:val="Hipervnculo"/>
            <w:rFonts w:ascii="Arial" w:hAnsi="Arial" w:cs="Arial"/>
            <w:color w:val="auto"/>
          </w:rPr>
          <w:t>2o. y 89 de la Ley para los Servidores Públicos del Estado de Jalisco y sus Municipios</w:t>
        </w:r>
      </w:hyperlink>
      <w:r w:rsidRPr="00862AAF">
        <w:rPr>
          <w:rFonts w:ascii="Arial" w:hAnsi="Arial" w:cs="Arial"/>
        </w:rPr>
        <w:t xml:space="preserve">, se advierte que tiene el carácter de servidor público toda persona que presta un trabajo personal subordinado, físico o intelectual, sin distinción alguna. Por tanto, si el Ayuntamiento Constitucional de Tonalá, Jalisco, que se rige por la Ley para los Servidores Públicos del Estado de Jalisco y sus Municipios, al excluir, con fundamento en el citado artículo 1 de las Condiciones Generales de Trabajo, de las prestaciones o beneficios a los trabajadores no sindicalizados o trabajadores por tiempo y obra determinada, que laboran en idénticas condiciones de trabajo que los sindicalizados o de base, es inconstitucional e </w:t>
      </w:r>
      <w:proofErr w:type="spellStart"/>
      <w:r w:rsidRPr="00862AAF">
        <w:rPr>
          <w:rFonts w:ascii="Arial" w:hAnsi="Arial" w:cs="Arial"/>
        </w:rPr>
        <w:t>inconvencional</w:t>
      </w:r>
      <w:proofErr w:type="spellEnd"/>
      <w:r w:rsidRPr="00862AAF">
        <w:rPr>
          <w:rFonts w:ascii="Arial" w:hAnsi="Arial" w:cs="Arial"/>
        </w:rPr>
        <w:t xml:space="preserve">,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en cuanto a las diferencias en los emolumentos a los trabajadores que laboran en igualdad de condiciones, por el solo hecho de ser de base o sindicalizados, estableciendo un régimen de excepción y perjuicio, contrario a los derechos </w:t>
      </w:r>
      <w:r w:rsidRPr="00862AAF">
        <w:rPr>
          <w:rFonts w:ascii="Arial" w:hAnsi="Arial" w:cs="Arial"/>
        </w:rPr>
        <w:lastRenderedPageBreak/>
        <w:t>fundamentales de igualdad y no discriminación en relación con el derecho al trabajo.</w:t>
      </w:r>
      <w:r w:rsidRPr="00862AAF">
        <w:rPr>
          <w:rFonts w:ascii="Arial" w:hAnsi="Arial" w:cs="Arial"/>
        </w:rPr>
        <w:br/>
      </w:r>
      <w:r w:rsidRPr="00862AAF">
        <w:rPr>
          <w:rFonts w:ascii="Arial" w:hAnsi="Arial" w:cs="Arial"/>
        </w:rPr>
        <w:br/>
        <w:t>CUARTO TRIBUNAL COLEGIADO EN MATERIA DE TRABAJO DEL TERCER CIRCUITO.</w:t>
      </w:r>
    </w:p>
    <w:p w:rsidR="00E76472" w:rsidRPr="00862AAF" w:rsidRDefault="00E76472" w:rsidP="00E76472">
      <w:pPr>
        <w:spacing w:line="360" w:lineRule="auto"/>
        <w:ind w:left="1701" w:right="1468"/>
        <w:jc w:val="both"/>
        <w:rPr>
          <w:rFonts w:ascii="Arial" w:hAnsi="Arial" w:cs="Arial"/>
        </w:rPr>
      </w:pPr>
      <w:r w:rsidRPr="00862AAF">
        <w:rPr>
          <w:rFonts w:ascii="Arial" w:hAnsi="Arial" w:cs="Arial"/>
        </w:rPr>
        <w:t xml:space="preserve">Amparo directo 787/2016. Eduardo </w:t>
      </w:r>
      <w:proofErr w:type="spellStart"/>
      <w:r w:rsidRPr="00862AAF">
        <w:rPr>
          <w:rFonts w:ascii="Arial" w:hAnsi="Arial" w:cs="Arial"/>
        </w:rPr>
        <w:t>Zuzuarregui</w:t>
      </w:r>
      <w:proofErr w:type="spellEnd"/>
      <w:r w:rsidRPr="00862AAF">
        <w:rPr>
          <w:rFonts w:ascii="Arial" w:hAnsi="Arial" w:cs="Arial"/>
        </w:rPr>
        <w:t xml:space="preserve"> Roque y otros. 15 de junio de 2017. Unanimidad de votos. Ponente: José de Jesús López Arias. Secretario: Óscar Ignacio Blanco Arvizu.</w:t>
      </w:r>
    </w:p>
    <w:p w:rsidR="00E76472" w:rsidRPr="00862AAF" w:rsidRDefault="00E76472" w:rsidP="00E76472">
      <w:pPr>
        <w:spacing w:line="360" w:lineRule="auto"/>
        <w:ind w:right="51" w:firstLine="567"/>
        <w:jc w:val="both"/>
        <w:rPr>
          <w:rFonts w:ascii="Arial" w:hAnsi="Arial" w:cs="Arial"/>
        </w:rPr>
      </w:pPr>
    </w:p>
    <w:p w:rsidR="00E76472" w:rsidRPr="00862AAF" w:rsidRDefault="00B41482" w:rsidP="00E76472">
      <w:pPr>
        <w:spacing w:line="360" w:lineRule="auto"/>
        <w:jc w:val="both"/>
        <w:rPr>
          <w:rFonts w:ascii="Arial" w:hAnsi="Arial" w:cs="Arial"/>
          <w:vanish/>
          <w:sz w:val="24"/>
          <w:szCs w:val="24"/>
        </w:rPr>
      </w:pPr>
      <w:r w:rsidRPr="00862AAF">
        <w:rPr>
          <w:rFonts w:ascii="Arial" w:hAnsi="Arial" w:cs="Arial"/>
          <w:sz w:val="24"/>
          <w:szCs w:val="24"/>
        </w:rPr>
        <w:tab/>
      </w:r>
    </w:p>
    <w:p w:rsidR="00E76472" w:rsidRPr="00862AAF" w:rsidRDefault="00E76472" w:rsidP="00E76472">
      <w:pPr>
        <w:spacing w:line="360" w:lineRule="auto"/>
        <w:jc w:val="both"/>
        <w:rPr>
          <w:rFonts w:ascii="Arial" w:hAnsi="Arial" w:cs="Arial"/>
          <w:sz w:val="24"/>
          <w:szCs w:val="24"/>
        </w:rPr>
      </w:pPr>
      <w:r w:rsidRPr="00862AAF">
        <w:rPr>
          <w:rFonts w:ascii="Arial" w:hAnsi="Arial" w:cs="Arial"/>
          <w:sz w:val="24"/>
          <w:szCs w:val="24"/>
        </w:rPr>
        <w:t xml:space="preserve">Por otra parte, el artículo 123, apartado B, fracción XIV, de la Constitución Política de los Estados Unidos Mexicanos señala que la Ley determinará los cargos que sean considerados de confianza. Las personas que lo desempeñen disfrutarán de las medidas de protección al salario y gozarán de los beneficios de la seguridad social; en consecuencia, tenemos que el fondo de pensiones es parte integrante de las medidas de protección al salario; por tanto, el actor tiene derecho constitucional a la devolución de las cantidades que le fueron descontadas de su sueldo, por concepto y a favor del fondo de pensiones, durante el tiempo que laboró para el Gobierno del Estado de Oaxaca; lo anterior es así, toda vez que la Suprema Corte de Justicia de la Nación ha reconocido el derecho a la protección del salario aunque se trate de personal de confianza. Para mayor ilustración, se invoca la siguiente jurisprudencia de número y rubro: </w:t>
      </w:r>
    </w:p>
    <w:p w:rsidR="00E76472" w:rsidRPr="00862AAF" w:rsidRDefault="00E76472" w:rsidP="00E76472">
      <w:pPr>
        <w:spacing w:after="260" w:line="360" w:lineRule="auto"/>
        <w:jc w:val="both"/>
        <w:rPr>
          <w:rFonts w:ascii="Arial" w:hAnsi="Arial" w:cs="Arial"/>
          <w:sz w:val="24"/>
          <w:szCs w:val="24"/>
        </w:rPr>
      </w:pPr>
    </w:p>
    <w:p w:rsidR="00E76472" w:rsidRPr="00862AAF" w:rsidRDefault="00E76472" w:rsidP="00E76472">
      <w:pPr>
        <w:spacing w:line="360" w:lineRule="auto"/>
        <w:ind w:left="1701" w:right="1468"/>
        <w:jc w:val="both"/>
        <w:rPr>
          <w:rFonts w:ascii="Arial" w:hAnsi="Arial" w:cs="Arial"/>
        </w:rPr>
      </w:pPr>
      <w:r w:rsidRPr="00862AAF">
        <w:rPr>
          <w:rFonts w:ascii="Arial" w:hAnsi="Arial" w:cs="Arial"/>
        </w:rPr>
        <w:t>TRABAJADORES DE CONFIANZA AL SERVICIO DEL ESTADO. SU FALTA DE ESTABILIDAD EN EL EMPLEO CONSTITUYE UNA RESTRICCIÓN CONSTITUCIONAL, POR LO QUE LES RESULTAN INAPLICABLES NORMAS CONVENCIONALES.</w:t>
      </w:r>
    </w:p>
    <w:p w:rsidR="00E76472" w:rsidRPr="00862AAF" w:rsidRDefault="00E76472" w:rsidP="00E76472">
      <w:pPr>
        <w:spacing w:line="360" w:lineRule="auto"/>
        <w:ind w:left="1701" w:right="1468"/>
        <w:jc w:val="both"/>
        <w:rPr>
          <w:rFonts w:ascii="Arial" w:hAnsi="Arial" w:cs="Arial"/>
        </w:rPr>
      </w:pPr>
    </w:p>
    <w:p w:rsidR="00E76472" w:rsidRPr="00862AAF" w:rsidRDefault="00E76472" w:rsidP="00E76472">
      <w:pPr>
        <w:spacing w:line="360" w:lineRule="auto"/>
        <w:ind w:left="1701" w:right="1468"/>
        <w:jc w:val="both"/>
        <w:rPr>
          <w:rFonts w:ascii="Arial" w:hAnsi="Arial" w:cs="Arial"/>
        </w:rPr>
      </w:pPr>
      <w:r w:rsidRPr="00862AAF">
        <w:rPr>
          <w:rFonts w:ascii="Arial" w:hAnsi="Arial" w:cs="Arial"/>
        </w:rPr>
        <w:t xml:space="preserve">La actual integración de la Segunda Sala de la Suprema Corte de Justicia de la Nación ha reiterado la interpretación de la fracción XIV, en relación con la diversa IX, del apartado B del artículo 123 de la Constitución Política de los Estados Unidos Mexicanos, en el sentido de que los trabajadores de confianza sólo </w:t>
      </w:r>
      <w:r w:rsidRPr="00862AAF">
        <w:rPr>
          <w:rFonts w:ascii="Arial" w:hAnsi="Arial" w:cs="Arial"/>
          <w:b/>
          <w:bCs/>
        </w:rPr>
        <w:t>disfrutarán de las medidas de protección del salario y gozarán de los beneficios de la seguridad social,</w:t>
      </w:r>
      <w:r w:rsidRPr="00862AAF">
        <w:rPr>
          <w:rFonts w:ascii="Arial" w:hAnsi="Arial" w:cs="Arial"/>
        </w:rPr>
        <w:t xml:space="preserve"> sobre la base de que no fue intención del Constituyente Permanente otorgarles derecho de inamovilidad en el empleo y que, por ello, representa una restricción de rango constitucional. En tal virtud, si bien el Protocolo Adicional a la Convención Americana sobre Derechos Humanos en Materia de Derechos Económicos, Sociales y Culturales (Protocolo de San Salvador), en su artículo 7, apartado d, establece el derecho de las personas a una indemnización o a la readmisión en el empleo, o a cualquier otra prestación prevista en la legislación nacional, en caso de despido injustificado, lo cierto es que esta </w:t>
      </w:r>
      <w:r w:rsidRPr="00862AAF">
        <w:rPr>
          <w:rFonts w:ascii="Arial" w:hAnsi="Arial" w:cs="Arial"/>
        </w:rPr>
        <w:lastRenderedPageBreak/>
        <w:t>norma de rango convencional no puede aplicarse en el régimen interno en relación con los trabajadores de confianza al servicio del Estado, porque su falta de estabilidad en el empleo constituye una restricción constitucional.</w:t>
      </w:r>
    </w:p>
    <w:p w:rsidR="00E76472" w:rsidRPr="00862AAF" w:rsidRDefault="00E76472" w:rsidP="00E76472">
      <w:pPr>
        <w:spacing w:line="360" w:lineRule="auto"/>
        <w:ind w:left="1701" w:right="1468"/>
        <w:jc w:val="both"/>
        <w:rPr>
          <w:rFonts w:ascii="Arial" w:hAnsi="Arial" w:cs="Arial"/>
        </w:rPr>
      </w:pPr>
      <w:r w:rsidRPr="00862AAF">
        <w:rPr>
          <w:rFonts w:ascii="Arial" w:hAnsi="Arial" w:cs="Arial"/>
        </w:rPr>
        <w:t xml:space="preserve">Amparo directo 25/2012. Salvador Arroyo Barboza y/o Barbosa. 29 de mayo de 2013. Cinco votos de los Ministros Luis María Aguilar Morales, Alberto Pérez </w:t>
      </w:r>
      <w:proofErr w:type="spellStart"/>
      <w:r w:rsidRPr="00862AAF">
        <w:rPr>
          <w:rFonts w:ascii="Arial" w:hAnsi="Arial" w:cs="Arial"/>
        </w:rPr>
        <w:t>Dayán</w:t>
      </w:r>
      <w:proofErr w:type="spellEnd"/>
      <w:r w:rsidRPr="00862AAF">
        <w:rPr>
          <w:rFonts w:ascii="Arial" w:hAnsi="Arial" w:cs="Arial"/>
        </w:rPr>
        <w:t xml:space="preserve">,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35/2012. Arturo Sánchez García. 29 de mayo de 2013. Cinco votos de los Ministros Luis María Aguilar Morales, Alberto Pérez </w:t>
      </w:r>
      <w:proofErr w:type="spellStart"/>
      <w:r w:rsidRPr="00862AAF">
        <w:rPr>
          <w:rFonts w:ascii="Arial" w:hAnsi="Arial" w:cs="Arial"/>
        </w:rPr>
        <w:t>Dayán</w:t>
      </w:r>
      <w:proofErr w:type="spellEnd"/>
      <w:r w:rsidRPr="00862AAF">
        <w:rPr>
          <w:rFonts w:ascii="Arial" w:hAnsi="Arial" w:cs="Arial"/>
        </w:rPr>
        <w:t xml:space="preserve">,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67/2012. Diana Guadalupe Paz </w:t>
      </w:r>
      <w:proofErr w:type="spellStart"/>
      <w:r w:rsidRPr="00862AAF">
        <w:rPr>
          <w:rFonts w:ascii="Arial" w:hAnsi="Arial" w:cs="Arial"/>
        </w:rPr>
        <w:t>Turrubiates</w:t>
      </w:r>
      <w:proofErr w:type="spellEnd"/>
      <w:r w:rsidRPr="00862AAF">
        <w:rPr>
          <w:rFonts w:ascii="Arial" w:hAnsi="Arial" w:cs="Arial"/>
        </w:rPr>
        <w:t xml:space="preserve">. 5 de junio de 2013. Cinco votos de los Ministros Luis María Aguilar Morales, Alberto Pérez </w:t>
      </w:r>
      <w:proofErr w:type="spellStart"/>
      <w:r w:rsidRPr="00862AAF">
        <w:rPr>
          <w:rFonts w:ascii="Arial" w:hAnsi="Arial" w:cs="Arial"/>
        </w:rPr>
        <w:t>Dayán</w:t>
      </w:r>
      <w:proofErr w:type="spellEnd"/>
      <w:r w:rsidRPr="00862AAF">
        <w:rPr>
          <w:rFonts w:ascii="Arial" w:hAnsi="Arial" w:cs="Arial"/>
        </w:rPr>
        <w:t xml:space="preserve">, José Fernando Franco González Salas, Margarita Beatriz Luna Ramos y Sergio A. Valls Hernández; Margarita Beatriz Luna Ramos votó en contra de consideraciones y Luis María Aguilar Morales votó con salvedades. Ponente: Alberto Pérez </w:t>
      </w:r>
      <w:proofErr w:type="spellStart"/>
      <w:r w:rsidRPr="00862AAF">
        <w:rPr>
          <w:rFonts w:ascii="Arial" w:hAnsi="Arial" w:cs="Arial"/>
        </w:rPr>
        <w:t>Dayán</w:t>
      </w:r>
      <w:proofErr w:type="spellEnd"/>
      <w:r w:rsidRPr="00862AAF">
        <w:rPr>
          <w:rFonts w:ascii="Arial" w:hAnsi="Arial" w:cs="Arial"/>
        </w:rPr>
        <w:t xml:space="preserve">. Secretario: Jorge Antonio Medina Gaona. Amparo directo 32/2012. Adán Fernando Chávez Fuentes. 12 de junio de 2013. Cinco votos de los Ministros Luis María Aguilar Morales, Alberto Pérez </w:t>
      </w:r>
      <w:proofErr w:type="spellStart"/>
      <w:r w:rsidRPr="00862AAF">
        <w:rPr>
          <w:rFonts w:ascii="Arial" w:hAnsi="Arial" w:cs="Arial"/>
        </w:rPr>
        <w:t>Dayán</w:t>
      </w:r>
      <w:proofErr w:type="spellEnd"/>
      <w:r w:rsidRPr="00862AAF">
        <w:rPr>
          <w:rFonts w:ascii="Arial" w:hAnsi="Arial" w:cs="Arial"/>
        </w:rPr>
        <w:t xml:space="preserve">, José Fernando Franco González Salas, Margarita Beatriz Luna Ramos y Sergio A. Valls Hernández. Ponente: Margarita Beatriz Luna Ramos. Secretario: Fausto Gorbea Ortiz. Amparo directo 55/2012. Gabriel Martínez Cruz. 12 de junio de 2013. Cinco votos de los Ministros Luis María Aguilar Morales, Alberto Pérez </w:t>
      </w:r>
      <w:proofErr w:type="spellStart"/>
      <w:r w:rsidRPr="00862AAF">
        <w:rPr>
          <w:rFonts w:ascii="Arial" w:hAnsi="Arial" w:cs="Arial"/>
        </w:rPr>
        <w:t>Dayán</w:t>
      </w:r>
      <w:proofErr w:type="spellEnd"/>
      <w:r w:rsidRPr="00862AAF">
        <w:rPr>
          <w:rFonts w:ascii="Arial" w:hAnsi="Arial" w:cs="Arial"/>
        </w:rPr>
        <w:t xml:space="preserve">, José Fernando Franco González Salas, Margarita Beatriz Luna Ramos y Sergio A. Valls Hernández; Margarita Beatriz Luna Ramos votó en contra de consideraciones y Luis María Aguilar Morales votó con salvedades. Ponente: Luis María Aguilar Morales. Secretaria: Amalia </w:t>
      </w:r>
      <w:proofErr w:type="spellStart"/>
      <w:r w:rsidRPr="00862AAF">
        <w:rPr>
          <w:rFonts w:ascii="Arial" w:hAnsi="Arial" w:cs="Arial"/>
        </w:rPr>
        <w:t>Tecona</w:t>
      </w:r>
      <w:proofErr w:type="spellEnd"/>
      <w:r w:rsidRPr="00862AAF">
        <w:rPr>
          <w:rFonts w:ascii="Arial" w:hAnsi="Arial" w:cs="Arial"/>
        </w:rPr>
        <w:t xml:space="preserve"> Silva. Tesis de jurisprudencia 23/2014 (10a.). Aprobada por la Segunda Sala de este Alto Tribunal, en sesión privada del diecinueve de febrero de dos mil catorce.</w:t>
      </w:r>
    </w:p>
    <w:p w:rsidR="00E76472" w:rsidRPr="00862AAF" w:rsidRDefault="00E76472" w:rsidP="00E76472">
      <w:pPr>
        <w:spacing w:line="360" w:lineRule="auto"/>
        <w:ind w:left="1701" w:right="1468" w:firstLine="567"/>
        <w:jc w:val="both"/>
        <w:rPr>
          <w:rFonts w:ascii="Arial" w:hAnsi="Arial" w:cs="Arial"/>
        </w:rPr>
      </w:pPr>
      <w:r w:rsidRPr="00862AAF">
        <w:rPr>
          <w:rFonts w:ascii="Arial" w:hAnsi="Arial" w:cs="Arial"/>
        </w:rPr>
        <w:t xml:space="preserve"> </w:t>
      </w:r>
    </w:p>
    <w:p w:rsidR="008E6A5B" w:rsidRPr="00862AAF" w:rsidRDefault="00E76472" w:rsidP="00E76472">
      <w:pPr>
        <w:spacing w:line="360" w:lineRule="auto"/>
        <w:ind w:right="51" w:firstLine="567"/>
        <w:jc w:val="both"/>
        <w:rPr>
          <w:rFonts w:ascii="Arial" w:hAnsi="Arial" w:cs="Arial"/>
          <w:sz w:val="24"/>
          <w:szCs w:val="24"/>
        </w:rPr>
      </w:pPr>
      <w:r w:rsidRPr="00862AAF">
        <w:rPr>
          <w:rFonts w:ascii="Arial" w:hAnsi="Arial" w:cs="Arial"/>
          <w:sz w:val="24"/>
          <w:szCs w:val="24"/>
        </w:rPr>
        <w:t xml:space="preserve"> Por todo lo anteriormente expuesto, se concluye que el acto impugnado fue emitido de manera ilegal, al no existir una correcta fundamentación y motivación,  vulnerando con ello el </w:t>
      </w:r>
      <w:r w:rsidRPr="00862AAF">
        <w:rPr>
          <w:rFonts w:ascii="Arial" w:hAnsi="Arial" w:cs="Arial"/>
          <w:b/>
          <w:bCs/>
          <w:sz w:val="24"/>
          <w:szCs w:val="24"/>
        </w:rPr>
        <w:t>derecho de igualdad</w:t>
      </w:r>
      <w:r w:rsidRPr="00862AAF">
        <w:rPr>
          <w:rFonts w:ascii="Arial" w:hAnsi="Arial" w:cs="Arial"/>
          <w:sz w:val="24"/>
          <w:szCs w:val="24"/>
        </w:rPr>
        <w:t xml:space="preserve"> del administrado, máxime que su actuar se encuentra  fundado en preceptos </w:t>
      </w:r>
      <w:proofErr w:type="spellStart"/>
      <w:r w:rsidRPr="00862AAF">
        <w:rPr>
          <w:rFonts w:ascii="Arial" w:hAnsi="Arial" w:cs="Arial"/>
          <w:sz w:val="24"/>
          <w:szCs w:val="24"/>
        </w:rPr>
        <w:t>inconvencionales</w:t>
      </w:r>
      <w:proofErr w:type="spellEnd"/>
      <w:r w:rsidRPr="00862AAF">
        <w:rPr>
          <w:rFonts w:ascii="Arial" w:hAnsi="Arial" w:cs="Arial"/>
          <w:sz w:val="24"/>
          <w:szCs w:val="24"/>
        </w:rPr>
        <w:t xml:space="preserve">, vulnerando con ello </w:t>
      </w:r>
      <w:r w:rsidRPr="00862AAF">
        <w:rPr>
          <w:rFonts w:ascii="Arial" w:hAnsi="Arial" w:cs="Arial"/>
          <w:sz w:val="24"/>
          <w:szCs w:val="24"/>
        </w:rPr>
        <w:lastRenderedPageBreak/>
        <w:t>el derecho del actor a recibir la devolución del descuento efectuado, durante el tiempo que laboró para Gobierno del Estado de Oaxaca</w:t>
      </w:r>
      <w:r w:rsidR="00C4739B" w:rsidRPr="00862AAF">
        <w:rPr>
          <w:rFonts w:ascii="Arial" w:hAnsi="Arial" w:cs="Arial"/>
          <w:sz w:val="24"/>
          <w:szCs w:val="24"/>
        </w:rPr>
        <w:t xml:space="preserve"> como Empleada de Confianza</w:t>
      </w:r>
      <w:r w:rsidRPr="00862AAF">
        <w:rPr>
          <w:rFonts w:ascii="Arial" w:hAnsi="Arial" w:cs="Arial"/>
          <w:sz w:val="24"/>
          <w:szCs w:val="24"/>
        </w:rPr>
        <w:t xml:space="preserve">, tal y como lo demuestra </w:t>
      </w:r>
      <w:r w:rsidR="00C4739B" w:rsidRPr="00862AAF">
        <w:rPr>
          <w:rFonts w:ascii="Arial" w:hAnsi="Arial" w:cs="Arial"/>
          <w:sz w:val="24"/>
          <w:szCs w:val="24"/>
        </w:rPr>
        <w:t>la actora</w:t>
      </w:r>
      <w:r w:rsidRPr="00862AAF">
        <w:rPr>
          <w:rFonts w:ascii="Arial" w:hAnsi="Arial" w:cs="Arial"/>
          <w:sz w:val="24"/>
          <w:szCs w:val="24"/>
        </w:rPr>
        <w:t xml:space="preserve"> con su nombramiento expedido por  la Secretaría de Administración del Poder Ejecutivo del Estado Libre y Soberano de Oaxaca,</w:t>
      </w:r>
      <w:r w:rsidR="000B33AB" w:rsidRPr="00862AAF">
        <w:rPr>
          <w:rFonts w:ascii="Arial" w:hAnsi="Arial" w:cs="Arial"/>
          <w:sz w:val="24"/>
          <w:szCs w:val="24"/>
        </w:rPr>
        <w:t xml:space="preserve"> (visible a foja 12), </w:t>
      </w:r>
      <w:r w:rsidR="00032DB2" w:rsidRPr="00862AAF">
        <w:rPr>
          <w:rFonts w:ascii="Arial" w:hAnsi="Arial" w:cs="Arial"/>
          <w:sz w:val="24"/>
          <w:szCs w:val="24"/>
        </w:rPr>
        <w:t>del</w:t>
      </w:r>
      <w:r w:rsidRPr="00862AAF">
        <w:rPr>
          <w:rFonts w:ascii="Arial" w:hAnsi="Arial" w:cs="Arial"/>
          <w:sz w:val="24"/>
          <w:szCs w:val="24"/>
        </w:rPr>
        <w:t xml:space="preserve"> uno de mayo de dos mil </w:t>
      </w:r>
      <w:r w:rsidR="00CD3385" w:rsidRPr="00862AAF">
        <w:rPr>
          <w:rFonts w:ascii="Arial" w:hAnsi="Arial" w:cs="Arial"/>
          <w:sz w:val="24"/>
          <w:szCs w:val="24"/>
        </w:rPr>
        <w:t>quince</w:t>
      </w:r>
      <w:r w:rsidRPr="00862AAF">
        <w:rPr>
          <w:rFonts w:ascii="Arial" w:hAnsi="Arial" w:cs="Arial"/>
          <w:sz w:val="24"/>
          <w:szCs w:val="24"/>
        </w:rPr>
        <w:t xml:space="preserve"> </w:t>
      </w:r>
      <w:r w:rsidR="007A0E47" w:rsidRPr="00862AAF">
        <w:rPr>
          <w:rFonts w:ascii="Arial" w:hAnsi="Arial" w:cs="Arial"/>
          <w:sz w:val="24"/>
          <w:szCs w:val="24"/>
        </w:rPr>
        <w:t>(01-05-2015)</w:t>
      </w:r>
      <w:r w:rsidRPr="00862AAF">
        <w:rPr>
          <w:rFonts w:ascii="Arial" w:hAnsi="Arial" w:cs="Arial"/>
          <w:sz w:val="24"/>
          <w:szCs w:val="24"/>
        </w:rPr>
        <w:t xml:space="preserve">, </w:t>
      </w:r>
      <w:r w:rsidR="000B33AB" w:rsidRPr="00862AAF">
        <w:rPr>
          <w:rFonts w:ascii="Arial" w:hAnsi="Arial" w:cs="Arial"/>
          <w:sz w:val="24"/>
          <w:szCs w:val="24"/>
        </w:rPr>
        <w:t>a</w:t>
      </w:r>
      <w:r w:rsidRPr="00862AAF">
        <w:rPr>
          <w:rFonts w:ascii="Arial" w:hAnsi="Arial" w:cs="Arial"/>
          <w:sz w:val="24"/>
          <w:szCs w:val="24"/>
        </w:rPr>
        <w:t xml:space="preserve">l treinta y uno de </w:t>
      </w:r>
      <w:r w:rsidR="00CD3385" w:rsidRPr="00862AAF">
        <w:rPr>
          <w:rFonts w:ascii="Arial" w:hAnsi="Arial" w:cs="Arial"/>
          <w:sz w:val="24"/>
          <w:szCs w:val="24"/>
        </w:rPr>
        <w:t>enero</w:t>
      </w:r>
      <w:r w:rsidRPr="00862AAF">
        <w:rPr>
          <w:rFonts w:ascii="Arial" w:hAnsi="Arial" w:cs="Arial"/>
          <w:sz w:val="24"/>
          <w:szCs w:val="24"/>
        </w:rPr>
        <w:t xml:space="preserve"> de dos mil </w:t>
      </w:r>
      <w:r w:rsidR="00CD3385" w:rsidRPr="00862AAF">
        <w:rPr>
          <w:rFonts w:ascii="Arial" w:hAnsi="Arial" w:cs="Arial"/>
          <w:sz w:val="24"/>
          <w:szCs w:val="24"/>
        </w:rPr>
        <w:t>diecinueve</w:t>
      </w:r>
      <w:r w:rsidRPr="00862AAF">
        <w:rPr>
          <w:rFonts w:ascii="Arial" w:hAnsi="Arial" w:cs="Arial"/>
          <w:sz w:val="24"/>
          <w:szCs w:val="24"/>
        </w:rPr>
        <w:t>, (3</w:t>
      </w:r>
      <w:r w:rsidR="00E76249" w:rsidRPr="00862AAF">
        <w:rPr>
          <w:rFonts w:ascii="Arial" w:hAnsi="Arial" w:cs="Arial"/>
          <w:sz w:val="24"/>
          <w:szCs w:val="24"/>
        </w:rPr>
        <w:t>1-01-</w:t>
      </w:r>
      <w:r w:rsidRPr="00862AAF">
        <w:rPr>
          <w:rFonts w:ascii="Arial" w:hAnsi="Arial" w:cs="Arial"/>
          <w:sz w:val="24"/>
          <w:szCs w:val="24"/>
        </w:rPr>
        <w:t>201</w:t>
      </w:r>
      <w:r w:rsidR="00CD3385" w:rsidRPr="00862AAF">
        <w:rPr>
          <w:rFonts w:ascii="Arial" w:hAnsi="Arial" w:cs="Arial"/>
          <w:sz w:val="24"/>
          <w:szCs w:val="24"/>
        </w:rPr>
        <w:t>9</w:t>
      </w:r>
      <w:r w:rsidRPr="00862AAF">
        <w:rPr>
          <w:rFonts w:ascii="Arial" w:hAnsi="Arial" w:cs="Arial"/>
          <w:sz w:val="24"/>
          <w:szCs w:val="24"/>
        </w:rPr>
        <w:t>) aportaciones que quedan fehacientemente comprobadas con la documental exhibida por la demandante, consistente</w:t>
      </w:r>
      <w:r w:rsidR="00E76249" w:rsidRPr="00862AAF">
        <w:rPr>
          <w:rFonts w:ascii="Arial" w:hAnsi="Arial" w:cs="Arial"/>
          <w:sz w:val="24"/>
          <w:szCs w:val="24"/>
        </w:rPr>
        <w:t xml:space="preserve"> en</w:t>
      </w:r>
      <w:r w:rsidRPr="00862AAF">
        <w:rPr>
          <w:rFonts w:ascii="Arial" w:hAnsi="Arial" w:cs="Arial"/>
          <w:sz w:val="24"/>
          <w:szCs w:val="24"/>
        </w:rPr>
        <w:t xml:space="preserve"> el último comprobante de pago </w:t>
      </w:r>
      <w:r w:rsidR="00D414E3" w:rsidRPr="00862AAF">
        <w:rPr>
          <w:rFonts w:ascii="Arial" w:hAnsi="Arial" w:cs="Arial"/>
          <w:sz w:val="24"/>
          <w:szCs w:val="24"/>
        </w:rPr>
        <w:t>respecto a la quincena comprendida</w:t>
      </w:r>
      <w:r w:rsidRPr="00862AAF">
        <w:rPr>
          <w:rFonts w:ascii="Arial" w:hAnsi="Arial" w:cs="Arial"/>
          <w:sz w:val="24"/>
          <w:szCs w:val="24"/>
        </w:rPr>
        <w:t xml:space="preserve"> del </w:t>
      </w:r>
      <w:r w:rsidR="00E76249" w:rsidRPr="00862AAF">
        <w:rPr>
          <w:rFonts w:ascii="Arial" w:hAnsi="Arial" w:cs="Arial"/>
          <w:sz w:val="24"/>
          <w:szCs w:val="24"/>
        </w:rPr>
        <w:t>dieciséis al treinta y uno de enero de dos mil diecinueve</w:t>
      </w:r>
      <w:r w:rsidR="00D414E3" w:rsidRPr="00862AAF">
        <w:rPr>
          <w:rFonts w:ascii="Arial" w:hAnsi="Arial" w:cs="Arial"/>
          <w:sz w:val="24"/>
          <w:szCs w:val="24"/>
        </w:rPr>
        <w:t xml:space="preserve"> (16-01-2019 al 31-01-2019</w:t>
      </w:r>
      <w:r w:rsidR="00BD3ECA" w:rsidRPr="00862AAF">
        <w:rPr>
          <w:rFonts w:ascii="Arial" w:hAnsi="Arial" w:cs="Arial"/>
          <w:sz w:val="24"/>
          <w:szCs w:val="24"/>
        </w:rPr>
        <w:t>)</w:t>
      </w:r>
      <w:r w:rsidRPr="00862AAF">
        <w:rPr>
          <w:rFonts w:ascii="Arial" w:hAnsi="Arial" w:cs="Arial"/>
          <w:sz w:val="24"/>
          <w:szCs w:val="24"/>
        </w:rPr>
        <w:t>; así como la renuncia definitiva q</w:t>
      </w:r>
      <w:r w:rsidR="00FB7AD7" w:rsidRPr="00862AAF">
        <w:rPr>
          <w:rFonts w:ascii="Arial" w:hAnsi="Arial" w:cs="Arial"/>
          <w:sz w:val="24"/>
          <w:szCs w:val="24"/>
        </w:rPr>
        <w:t>ue obra en la constancia de fecha veintitrés de febrero de dos mil diecinueve</w:t>
      </w:r>
      <w:r w:rsidR="0073569C" w:rsidRPr="00862AAF">
        <w:rPr>
          <w:rFonts w:ascii="Arial" w:hAnsi="Arial" w:cs="Arial"/>
          <w:sz w:val="24"/>
          <w:szCs w:val="24"/>
        </w:rPr>
        <w:t>, expedida por la Jefa de la Unidad de Servicios al Personal de la Dirección de Recursos Humanos, dependiente de la Secretaría de Administración</w:t>
      </w:r>
      <w:r w:rsidR="008E6A5B" w:rsidRPr="00862AAF">
        <w:rPr>
          <w:rFonts w:ascii="Arial" w:hAnsi="Arial" w:cs="Arial"/>
          <w:sz w:val="24"/>
          <w:szCs w:val="24"/>
        </w:rPr>
        <w:t xml:space="preserve">. Documentos públicos que adquieren valor probatorio pleno de conformidad con el </w:t>
      </w:r>
      <w:r w:rsidR="00BE2E77" w:rsidRPr="00862AAF">
        <w:rPr>
          <w:rFonts w:ascii="Arial" w:hAnsi="Arial" w:cs="Arial"/>
          <w:sz w:val="24"/>
          <w:szCs w:val="24"/>
        </w:rPr>
        <w:t xml:space="preserve">artículo 203, fracción I, de la Ley de Procedimiento y Justicia Administrativa para el Estado de Oaxaca. </w:t>
      </w:r>
    </w:p>
    <w:p w:rsidR="00BE2E77" w:rsidRPr="00862AAF" w:rsidRDefault="00BE2E77" w:rsidP="00E76472">
      <w:pPr>
        <w:spacing w:line="360" w:lineRule="auto"/>
        <w:ind w:right="51" w:firstLine="567"/>
        <w:jc w:val="both"/>
        <w:rPr>
          <w:rFonts w:ascii="Arial" w:hAnsi="Arial" w:cs="Arial"/>
          <w:sz w:val="24"/>
          <w:szCs w:val="24"/>
        </w:rPr>
      </w:pPr>
    </w:p>
    <w:p w:rsidR="00E76472" w:rsidRPr="00862AAF" w:rsidRDefault="00BE2E77" w:rsidP="00E76472">
      <w:pPr>
        <w:spacing w:line="360" w:lineRule="auto"/>
        <w:ind w:right="51" w:firstLine="567"/>
        <w:jc w:val="both"/>
        <w:rPr>
          <w:rFonts w:ascii="Arial" w:hAnsi="Arial" w:cs="Arial"/>
          <w:sz w:val="24"/>
          <w:szCs w:val="24"/>
        </w:rPr>
      </w:pPr>
      <w:r w:rsidRPr="00862AAF">
        <w:rPr>
          <w:rFonts w:ascii="Arial" w:hAnsi="Arial" w:cs="Arial"/>
          <w:sz w:val="24"/>
          <w:szCs w:val="24"/>
        </w:rPr>
        <w:t xml:space="preserve">Por todo ello, </w:t>
      </w:r>
      <w:r w:rsidR="00E76472" w:rsidRPr="00862AAF">
        <w:rPr>
          <w:rFonts w:ascii="Arial" w:hAnsi="Arial" w:cs="Arial"/>
          <w:sz w:val="24"/>
          <w:szCs w:val="24"/>
        </w:rPr>
        <w:t xml:space="preserve">resulta </w:t>
      </w:r>
      <w:r w:rsidR="00E76472" w:rsidRPr="00862AAF">
        <w:rPr>
          <w:rFonts w:ascii="Arial" w:hAnsi="Arial" w:cs="Arial"/>
          <w:b/>
          <w:bCs/>
          <w:sz w:val="24"/>
          <w:szCs w:val="24"/>
        </w:rPr>
        <w:t>FUNDADO</w:t>
      </w:r>
      <w:r w:rsidR="00E76472" w:rsidRPr="00862AAF">
        <w:rPr>
          <w:rFonts w:ascii="Arial" w:hAnsi="Arial" w:cs="Arial"/>
          <w:sz w:val="24"/>
          <w:szCs w:val="24"/>
        </w:rPr>
        <w:t xml:space="preserve"> lo argumentado por la parte actora y se concluye que el acto impugnado fue emitido de manera ilegal, al carecer del requisito de validez previsto en la fracción V, del artículo 17 de la Ley de Procedimiento y Justicia Administrativa para el Estado de Oaxaca.</w:t>
      </w:r>
    </w:p>
    <w:p w:rsidR="00E76472" w:rsidRPr="00862AAF" w:rsidRDefault="00E76472" w:rsidP="00E76472">
      <w:pPr>
        <w:spacing w:line="360" w:lineRule="auto"/>
        <w:jc w:val="both"/>
        <w:rPr>
          <w:rFonts w:ascii="Arial" w:hAnsi="Arial" w:cs="Arial"/>
          <w:b/>
          <w:sz w:val="24"/>
          <w:szCs w:val="24"/>
        </w:rPr>
      </w:pPr>
    </w:p>
    <w:p w:rsidR="00E76472" w:rsidRPr="00862AAF" w:rsidRDefault="00E76472" w:rsidP="00E76472">
      <w:pPr>
        <w:spacing w:line="360" w:lineRule="auto"/>
        <w:ind w:right="51" w:firstLine="567"/>
        <w:jc w:val="both"/>
        <w:rPr>
          <w:rFonts w:ascii="Arial" w:hAnsi="Arial" w:cs="Arial"/>
          <w:sz w:val="24"/>
          <w:szCs w:val="24"/>
        </w:rPr>
      </w:pPr>
      <w:r w:rsidRPr="00862AAF">
        <w:rPr>
          <w:rFonts w:ascii="Arial" w:hAnsi="Arial" w:cs="Arial"/>
          <w:sz w:val="24"/>
          <w:szCs w:val="24"/>
        </w:rPr>
        <w:t xml:space="preserve">En consecuencia, con fundamento  en los artículos </w:t>
      </w:r>
      <w:r w:rsidRPr="00862AAF">
        <w:rPr>
          <w:rFonts w:ascii="Arial" w:eastAsia="Calibri" w:hAnsi="Arial" w:cs="Arial"/>
          <w:sz w:val="24"/>
          <w:szCs w:val="24"/>
          <w:lang w:val="es-MX" w:eastAsia="en-US"/>
        </w:rPr>
        <w:t>208, fracciones IV y VI, y 209, de la Ley de Procedimiento y Justicia Administrativa para el Estado de Oaxaca,</w:t>
      </w:r>
      <w:r w:rsidRPr="00862AAF">
        <w:rPr>
          <w:rFonts w:ascii="Arial" w:hAnsi="Arial" w:cs="Arial"/>
          <w:sz w:val="24"/>
          <w:szCs w:val="24"/>
        </w:rPr>
        <w:t xml:space="preserve"> procede declarar </w:t>
      </w:r>
      <w:r w:rsidRPr="00862AAF">
        <w:rPr>
          <w:rFonts w:ascii="Arial" w:hAnsi="Arial" w:cs="Arial"/>
          <w:b/>
          <w:bCs/>
          <w:sz w:val="24"/>
          <w:szCs w:val="24"/>
        </w:rPr>
        <w:t>LA NULIDAD</w:t>
      </w:r>
      <w:r w:rsidRPr="00862AAF">
        <w:rPr>
          <w:rFonts w:ascii="Arial" w:hAnsi="Arial" w:cs="Arial"/>
          <w:sz w:val="24"/>
          <w:szCs w:val="24"/>
        </w:rPr>
        <w:t xml:space="preserve"> del oficio número </w:t>
      </w:r>
      <w:r w:rsidR="0047434A">
        <w:rPr>
          <w:rFonts w:cs="Arial"/>
          <w:b/>
          <w:sz w:val="24"/>
          <w:szCs w:val="24"/>
        </w:rPr>
        <w:t>**********</w:t>
      </w:r>
      <w:r w:rsidRPr="00862AAF">
        <w:rPr>
          <w:rFonts w:ascii="Arial" w:hAnsi="Arial" w:cs="Arial"/>
          <w:sz w:val="24"/>
          <w:szCs w:val="24"/>
        </w:rPr>
        <w:t xml:space="preserve">, de fecha </w:t>
      </w:r>
      <w:r w:rsidR="00C23AB4" w:rsidRPr="00862AAF">
        <w:rPr>
          <w:rFonts w:ascii="Arial" w:hAnsi="Arial" w:cs="Arial"/>
          <w:sz w:val="24"/>
          <w:szCs w:val="24"/>
        </w:rPr>
        <w:t>once de marzo de dos mil diecinueve (11-03-2019),</w:t>
      </w:r>
      <w:r w:rsidRPr="00862AAF">
        <w:rPr>
          <w:rFonts w:ascii="Arial" w:hAnsi="Arial" w:cs="Arial"/>
          <w:sz w:val="24"/>
          <w:szCs w:val="24"/>
        </w:rPr>
        <w:t xml:space="preserve"> signado por el </w:t>
      </w:r>
      <w:r w:rsidR="0047434A">
        <w:rPr>
          <w:rFonts w:cs="Arial"/>
          <w:b/>
          <w:sz w:val="24"/>
          <w:szCs w:val="24"/>
        </w:rPr>
        <w:t>**********</w:t>
      </w:r>
      <w:r w:rsidRPr="00862AAF">
        <w:rPr>
          <w:rFonts w:ascii="Arial" w:hAnsi="Arial" w:cs="Arial"/>
          <w:sz w:val="24"/>
          <w:szCs w:val="24"/>
        </w:rPr>
        <w:t xml:space="preserve">, </w:t>
      </w:r>
      <w:r w:rsidRPr="00862AAF">
        <w:rPr>
          <w:rFonts w:ascii="Arial" w:hAnsi="Arial" w:cs="Arial"/>
          <w:b/>
          <w:bCs/>
          <w:sz w:val="24"/>
          <w:szCs w:val="24"/>
        </w:rPr>
        <w:t>PARA EL EFECTO</w:t>
      </w:r>
      <w:r w:rsidRPr="00862AAF">
        <w:rPr>
          <w:rFonts w:ascii="Arial" w:hAnsi="Arial" w:cs="Arial"/>
          <w:sz w:val="24"/>
          <w:szCs w:val="24"/>
        </w:rPr>
        <w:t xml:space="preserve">, de que lo deje insubsistente  y en  su lugar,  emita otro en el que </w:t>
      </w:r>
      <w:r w:rsidR="00C71FDB" w:rsidRPr="00862AAF">
        <w:rPr>
          <w:rFonts w:ascii="Arial" w:hAnsi="Arial" w:cs="Arial"/>
          <w:sz w:val="24"/>
          <w:szCs w:val="24"/>
        </w:rPr>
        <w:t>efectúe</w:t>
      </w:r>
      <w:r w:rsidRPr="00862AAF">
        <w:rPr>
          <w:rFonts w:ascii="Arial" w:hAnsi="Arial" w:cs="Arial"/>
          <w:sz w:val="24"/>
          <w:szCs w:val="24"/>
        </w:rPr>
        <w:t xml:space="preserve"> a favor de la actora</w:t>
      </w:r>
      <w:r w:rsidR="00A4354E" w:rsidRPr="00862AAF">
        <w:rPr>
          <w:rFonts w:ascii="Arial" w:hAnsi="Arial" w:cs="Arial"/>
          <w:b/>
          <w:bCs/>
          <w:sz w:val="24"/>
          <w:szCs w:val="24"/>
        </w:rPr>
        <w:t xml:space="preserve"> </w:t>
      </w:r>
      <w:r w:rsidR="0047434A">
        <w:rPr>
          <w:rFonts w:cs="Arial"/>
          <w:b/>
          <w:sz w:val="24"/>
          <w:szCs w:val="24"/>
        </w:rPr>
        <w:t>**********</w:t>
      </w:r>
      <w:r w:rsidR="0047434A">
        <w:rPr>
          <w:rFonts w:cs="Arial"/>
          <w:b/>
          <w:sz w:val="24"/>
          <w:szCs w:val="24"/>
        </w:rPr>
        <w:t xml:space="preserve"> </w:t>
      </w:r>
      <w:r w:rsidRPr="00862AAF">
        <w:rPr>
          <w:rFonts w:ascii="Arial" w:hAnsi="Arial" w:cs="Arial"/>
          <w:sz w:val="24"/>
          <w:szCs w:val="24"/>
        </w:rPr>
        <w:t xml:space="preserve">la devolución de las cantidades que le fueron descontadas </w:t>
      </w:r>
      <w:r w:rsidRPr="00862AAF">
        <w:rPr>
          <w:rFonts w:ascii="Arial" w:hAnsi="Arial" w:cs="Arial"/>
          <w:b/>
          <w:bCs/>
          <w:sz w:val="24"/>
          <w:szCs w:val="24"/>
        </w:rPr>
        <w:t>durante el periodo que trabajó</w:t>
      </w:r>
      <w:r w:rsidR="00AD4BE0" w:rsidRPr="00862AAF">
        <w:rPr>
          <w:rFonts w:ascii="Arial" w:hAnsi="Arial" w:cs="Arial"/>
          <w:b/>
          <w:bCs/>
          <w:sz w:val="24"/>
          <w:szCs w:val="24"/>
        </w:rPr>
        <w:t xml:space="preserve"> como empleada de confianza</w:t>
      </w:r>
      <w:r w:rsidRPr="00862AAF">
        <w:rPr>
          <w:rFonts w:ascii="Arial" w:hAnsi="Arial" w:cs="Arial"/>
          <w:sz w:val="24"/>
          <w:szCs w:val="24"/>
        </w:rPr>
        <w:t xml:space="preserve"> para Gobierno del Estado de Oaxaca</w:t>
      </w:r>
      <w:r w:rsidR="00354414" w:rsidRPr="00862AAF">
        <w:rPr>
          <w:rFonts w:ascii="Arial" w:hAnsi="Arial" w:cs="Arial"/>
          <w:sz w:val="24"/>
          <w:szCs w:val="24"/>
        </w:rPr>
        <w:t>, del periodo comprendido del uno de mayo de dos mil quince (01-05-2015) al treinta y uno de enero de dos mil diecinueve (31-01-2019).</w:t>
      </w:r>
    </w:p>
    <w:p w:rsidR="00E76472" w:rsidRPr="00862AAF" w:rsidRDefault="00E76472" w:rsidP="00E76472">
      <w:pPr>
        <w:spacing w:line="360" w:lineRule="auto"/>
        <w:ind w:firstLine="708"/>
        <w:jc w:val="both"/>
        <w:rPr>
          <w:rFonts w:ascii="Arial" w:hAnsi="Arial" w:cs="Arial"/>
          <w:sz w:val="24"/>
          <w:szCs w:val="24"/>
        </w:rPr>
      </w:pPr>
    </w:p>
    <w:p w:rsidR="00E76472" w:rsidRPr="00862AAF" w:rsidRDefault="00E76472" w:rsidP="00E76472">
      <w:pPr>
        <w:spacing w:line="360" w:lineRule="auto"/>
        <w:ind w:firstLine="708"/>
        <w:jc w:val="both"/>
        <w:rPr>
          <w:rFonts w:ascii="Arial" w:hAnsi="Arial" w:cs="Arial"/>
          <w:sz w:val="24"/>
          <w:szCs w:val="24"/>
        </w:rPr>
      </w:pPr>
      <w:r w:rsidRPr="00862AAF">
        <w:rPr>
          <w:rFonts w:ascii="Arial" w:hAnsi="Arial" w:cs="Arial"/>
          <w:sz w:val="24"/>
          <w:szCs w:val="24"/>
        </w:rPr>
        <w:t>Por último, toda vez que el acto impugnado deriva de una resolución a la petición realizada por la parte actora en sede administrativa, resulta aplicable, la Jurisprudencia 2a</w:t>
      </w:r>
      <w:proofErr w:type="gramStart"/>
      <w:r w:rsidRPr="00862AAF">
        <w:rPr>
          <w:rFonts w:ascii="Arial" w:hAnsi="Arial" w:cs="Arial"/>
          <w:sz w:val="24"/>
          <w:szCs w:val="24"/>
        </w:rPr>
        <w:t>./</w:t>
      </w:r>
      <w:proofErr w:type="gramEnd"/>
      <w:r w:rsidRPr="00862AAF">
        <w:rPr>
          <w:rFonts w:ascii="Arial" w:hAnsi="Arial" w:cs="Arial"/>
          <w:sz w:val="24"/>
          <w:szCs w:val="24"/>
        </w:rPr>
        <w:t>J. 67/98, con número de registro 195 590, época novena, Semanario Judicial de la Federación y su Gaceta, del mes de septiembre de 1998, página 358, con el rubro y texto:</w:t>
      </w:r>
    </w:p>
    <w:p w:rsidR="00E76472" w:rsidRPr="00862AAF" w:rsidRDefault="00E76472" w:rsidP="00E76472">
      <w:pPr>
        <w:tabs>
          <w:tab w:val="left" w:pos="7655"/>
        </w:tabs>
        <w:autoSpaceDE w:val="0"/>
        <w:autoSpaceDN w:val="0"/>
        <w:adjustRightInd w:val="0"/>
        <w:spacing w:line="360" w:lineRule="auto"/>
        <w:ind w:right="1185"/>
        <w:jc w:val="both"/>
        <w:rPr>
          <w:rFonts w:ascii="Arial" w:eastAsia="Calibri" w:hAnsi="Arial" w:cs="Arial"/>
          <w:b/>
          <w:sz w:val="24"/>
          <w:szCs w:val="24"/>
          <w:lang w:val="es-MX" w:eastAsia="en-US"/>
        </w:rPr>
      </w:pPr>
    </w:p>
    <w:p w:rsidR="00E76472" w:rsidRPr="00862AAF" w:rsidRDefault="00E76472" w:rsidP="00E76472">
      <w:pPr>
        <w:tabs>
          <w:tab w:val="left" w:pos="7655"/>
        </w:tabs>
        <w:autoSpaceDE w:val="0"/>
        <w:autoSpaceDN w:val="0"/>
        <w:adjustRightInd w:val="0"/>
        <w:spacing w:line="360" w:lineRule="auto"/>
        <w:ind w:left="1418" w:right="1185"/>
        <w:jc w:val="both"/>
        <w:rPr>
          <w:rFonts w:ascii="Arial" w:eastAsia="Calibri" w:hAnsi="Arial" w:cs="Arial"/>
          <w:sz w:val="24"/>
          <w:szCs w:val="24"/>
          <w:lang w:val="es-MX" w:eastAsia="en-US"/>
        </w:rPr>
      </w:pPr>
      <w:r w:rsidRPr="00862AAF">
        <w:rPr>
          <w:rFonts w:ascii="Arial" w:eastAsia="Calibri" w:hAnsi="Arial" w:cs="Arial"/>
          <w:b/>
          <w:sz w:val="24"/>
          <w:szCs w:val="24"/>
          <w:lang w:val="es-MX" w:eastAsia="en-US"/>
        </w:rPr>
        <w:t xml:space="preserve">“FUNDAMENTACIÓN Y MOTIVACIÓN. EL EFECTO DE LA SENTENCIA QUE AMPARA POR OMISIÓN DE </w:t>
      </w:r>
      <w:r w:rsidRPr="00862AAF">
        <w:rPr>
          <w:rFonts w:ascii="Arial" w:eastAsia="Calibri" w:hAnsi="Arial" w:cs="Arial"/>
          <w:b/>
          <w:sz w:val="24"/>
          <w:szCs w:val="24"/>
          <w:lang w:val="es-MX" w:eastAsia="en-US"/>
        </w:rPr>
        <w:lastRenderedPageBreak/>
        <w:t>ESAS FORMALIDADES, ES LA EMISIÓN DE UNA RESOLUCIÓN NUEVA QUE PURGUE TALES VICIOS, SI SE REFIERE A LA RECAÍDA A UNA SOLICITUD, INSTANCIA, RECURSO O JUICIO</w:t>
      </w:r>
      <w:r w:rsidRPr="00862AAF">
        <w:rPr>
          <w:rFonts w:ascii="Arial" w:eastAsia="Calibri" w:hAnsi="Arial" w:cs="Arial"/>
          <w:sz w:val="24"/>
          <w:szCs w:val="24"/>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 </w:t>
      </w:r>
    </w:p>
    <w:p w:rsidR="00E76472" w:rsidRPr="00862AAF" w:rsidRDefault="00E76472" w:rsidP="00E76472">
      <w:pPr>
        <w:spacing w:line="360" w:lineRule="auto"/>
        <w:ind w:firstLine="708"/>
        <w:jc w:val="both"/>
        <w:rPr>
          <w:rFonts w:ascii="Arial" w:eastAsia="Calibri" w:hAnsi="Arial" w:cs="Arial"/>
          <w:b/>
          <w:sz w:val="24"/>
          <w:szCs w:val="24"/>
          <w:lang w:val="es-MX" w:eastAsia="en-US"/>
        </w:rPr>
      </w:pPr>
    </w:p>
    <w:p w:rsidR="00E76472" w:rsidRPr="00862AAF" w:rsidRDefault="00E76472" w:rsidP="00E76472">
      <w:pPr>
        <w:spacing w:line="360" w:lineRule="auto"/>
        <w:ind w:firstLine="708"/>
        <w:jc w:val="both"/>
        <w:rPr>
          <w:rFonts w:ascii="Arial" w:eastAsia="Calibri" w:hAnsi="Arial" w:cs="Arial"/>
          <w:sz w:val="24"/>
          <w:szCs w:val="24"/>
          <w:lang w:val="es-MX" w:eastAsia="en-US"/>
        </w:rPr>
      </w:pPr>
      <w:r w:rsidRPr="00862AAF">
        <w:rPr>
          <w:rFonts w:ascii="Arial" w:eastAsia="Calibri" w:hAnsi="Arial" w:cs="Arial"/>
          <w:b/>
          <w:sz w:val="24"/>
          <w:szCs w:val="24"/>
          <w:lang w:val="es-MX" w:eastAsia="en-US"/>
        </w:rPr>
        <w:t>SEXTO</w:t>
      </w:r>
      <w:r w:rsidRPr="00862AAF">
        <w:rPr>
          <w:rFonts w:ascii="Arial" w:eastAsia="Calibri" w:hAnsi="Arial" w:cs="Arial"/>
          <w:sz w:val="24"/>
          <w:szCs w:val="24"/>
          <w:lang w:val="es-MX" w:eastAsia="en-US"/>
        </w:rPr>
        <w:t xml:space="preserve">.- Como la parte actora en el presente juicio, se opuso a la publicación de sus datos personales, aun cuando no haya ejercido ese derecho y al encontrarse obligado este </w:t>
      </w:r>
      <w:r w:rsidR="009B6AE3" w:rsidRPr="00862AAF">
        <w:rPr>
          <w:rFonts w:ascii="Arial" w:eastAsia="Calibri" w:hAnsi="Arial" w:cs="Arial"/>
          <w:sz w:val="24"/>
          <w:szCs w:val="24"/>
          <w:lang w:val="es-MX" w:eastAsia="en-US"/>
        </w:rPr>
        <w:t>J</w:t>
      </w:r>
      <w:r w:rsidRPr="00862AAF">
        <w:rPr>
          <w:rFonts w:ascii="Arial" w:eastAsia="Calibri" w:hAnsi="Arial" w:cs="Arial"/>
          <w:sz w:val="24"/>
          <w:szCs w:val="24"/>
          <w:lang w:val="es-MX" w:eastAsia="en-US"/>
        </w:rPr>
        <w:t xml:space="preserve">uzgador a proteger dicha información 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 - - - - - - - </w:t>
      </w:r>
    </w:p>
    <w:p w:rsidR="00E76472" w:rsidRPr="00862AAF" w:rsidRDefault="00E76472" w:rsidP="00E76472">
      <w:pPr>
        <w:spacing w:line="360" w:lineRule="auto"/>
        <w:ind w:firstLine="708"/>
        <w:jc w:val="both"/>
        <w:rPr>
          <w:rFonts w:ascii="Arial" w:eastAsia="Calibri" w:hAnsi="Arial" w:cs="Arial"/>
          <w:sz w:val="24"/>
          <w:szCs w:val="24"/>
          <w:lang w:val="es-MX" w:eastAsia="en-US"/>
        </w:rPr>
      </w:pPr>
    </w:p>
    <w:p w:rsidR="00E76472" w:rsidRPr="00862AAF" w:rsidRDefault="00E76472" w:rsidP="00E76472">
      <w:pPr>
        <w:spacing w:line="360" w:lineRule="auto"/>
        <w:ind w:firstLine="708"/>
        <w:jc w:val="both"/>
        <w:rPr>
          <w:rFonts w:ascii="Arial" w:eastAsia="Calibri" w:hAnsi="Arial" w:cs="Arial"/>
          <w:sz w:val="24"/>
          <w:szCs w:val="24"/>
          <w:lang w:val="es-MX" w:eastAsia="en-US"/>
        </w:rPr>
      </w:pPr>
      <w:r w:rsidRPr="00862AAF">
        <w:rPr>
          <w:rFonts w:ascii="Arial" w:eastAsia="Calibri" w:hAnsi="Arial" w:cs="Arial"/>
          <w:sz w:val="24"/>
          <w:szCs w:val="24"/>
          <w:lang w:val="es-MX" w:eastAsia="en-US"/>
        </w:rPr>
        <w:t xml:space="preserve">Por lo expuesto y con fundamento en los artículos 207, 208, fracciones IV y VI, y 209, de la Ley de Procedimiento y Justicia Administrativa para el Estado de Oaxaca, se; </w:t>
      </w:r>
    </w:p>
    <w:p w:rsidR="00E76472" w:rsidRPr="00862AAF" w:rsidRDefault="00E76472" w:rsidP="00E76472">
      <w:pPr>
        <w:spacing w:line="360" w:lineRule="auto"/>
        <w:ind w:firstLine="708"/>
        <w:jc w:val="center"/>
        <w:rPr>
          <w:rFonts w:ascii="Arial" w:eastAsia="Calibri" w:hAnsi="Arial" w:cs="Arial"/>
          <w:sz w:val="24"/>
          <w:szCs w:val="24"/>
          <w:lang w:val="es-MX" w:eastAsia="en-US"/>
        </w:rPr>
      </w:pPr>
    </w:p>
    <w:p w:rsidR="00E76472" w:rsidRPr="00862AAF" w:rsidRDefault="00E76472" w:rsidP="00E76472">
      <w:pPr>
        <w:spacing w:line="360" w:lineRule="auto"/>
        <w:jc w:val="center"/>
        <w:rPr>
          <w:rFonts w:ascii="Arial" w:hAnsi="Arial" w:cs="Arial"/>
          <w:b/>
          <w:sz w:val="24"/>
          <w:szCs w:val="24"/>
        </w:rPr>
      </w:pPr>
      <w:r w:rsidRPr="00862AAF">
        <w:rPr>
          <w:rFonts w:ascii="Arial" w:hAnsi="Arial" w:cs="Arial"/>
          <w:b/>
          <w:sz w:val="24"/>
          <w:szCs w:val="24"/>
        </w:rPr>
        <w:t>R E S U E L V E</w:t>
      </w:r>
    </w:p>
    <w:p w:rsidR="00E76472" w:rsidRPr="00862AAF" w:rsidRDefault="00E76472" w:rsidP="00E76472">
      <w:pPr>
        <w:spacing w:line="360" w:lineRule="auto"/>
        <w:jc w:val="center"/>
        <w:rPr>
          <w:rFonts w:ascii="Arial" w:hAnsi="Arial" w:cs="Arial"/>
          <w:b/>
          <w:sz w:val="24"/>
          <w:szCs w:val="24"/>
        </w:rPr>
      </w:pPr>
    </w:p>
    <w:p w:rsidR="00E76472" w:rsidRPr="00862AAF" w:rsidRDefault="00E76472" w:rsidP="00E76472">
      <w:pPr>
        <w:spacing w:line="360" w:lineRule="auto"/>
        <w:ind w:firstLine="708"/>
        <w:jc w:val="both"/>
        <w:rPr>
          <w:rFonts w:ascii="Arial" w:eastAsia="Calibri" w:hAnsi="Arial" w:cs="Arial"/>
          <w:sz w:val="24"/>
          <w:szCs w:val="24"/>
          <w:lang w:val="es-MX" w:eastAsia="en-US"/>
        </w:rPr>
      </w:pPr>
      <w:r w:rsidRPr="00862AAF">
        <w:rPr>
          <w:rFonts w:ascii="Arial" w:hAnsi="Arial" w:cs="Arial"/>
          <w:b/>
          <w:sz w:val="24"/>
          <w:szCs w:val="24"/>
        </w:rPr>
        <w:t>PRIMERO.-</w:t>
      </w:r>
      <w:r w:rsidRPr="00862AAF">
        <w:rPr>
          <w:rFonts w:ascii="Arial" w:hAnsi="Arial" w:cs="Arial"/>
          <w:sz w:val="24"/>
          <w:szCs w:val="24"/>
        </w:rPr>
        <w:t xml:space="preserve"> </w:t>
      </w:r>
      <w:r w:rsidRPr="00862AAF">
        <w:rPr>
          <w:rFonts w:ascii="Arial" w:eastAsia="Calibri" w:hAnsi="Arial" w:cs="Arial"/>
          <w:sz w:val="24"/>
          <w:szCs w:val="24"/>
          <w:lang w:val="es-MX" w:eastAsia="en-US"/>
        </w:rPr>
        <w:t xml:space="preserve">Esta Quinta Sala Unitaria del Tribunal de Justicia Administrativa del Estado de Oaxaca, es competente para conocer y resolver el presente juicio. -   </w:t>
      </w:r>
    </w:p>
    <w:p w:rsidR="00507355" w:rsidRPr="00862AAF" w:rsidRDefault="00507355" w:rsidP="00E76472">
      <w:pPr>
        <w:pStyle w:val="Textoindependiente"/>
        <w:spacing w:line="360" w:lineRule="auto"/>
        <w:ind w:firstLine="708"/>
        <w:jc w:val="both"/>
        <w:rPr>
          <w:rFonts w:ascii="Arial" w:hAnsi="Arial" w:cs="Arial"/>
          <w:b/>
          <w:sz w:val="24"/>
          <w:szCs w:val="24"/>
        </w:rPr>
      </w:pPr>
    </w:p>
    <w:p w:rsidR="00E76472" w:rsidRPr="00862AAF" w:rsidRDefault="00E76472" w:rsidP="00E76472">
      <w:pPr>
        <w:pStyle w:val="Textoindependiente"/>
        <w:spacing w:line="360" w:lineRule="auto"/>
        <w:ind w:firstLine="708"/>
        <w:jc w:val="both"/>
        <w:rPr>
          <w:rFonts w:ascii="Arial" w:eastAsia="Arial Unicode MS" w:hAnsi="Arial" w:cs="Arial"/>
          <w:kern w:val="1"/>
          <w:sz w:val="24"/>
          <w:szCs w:val="24"/>
          <w:lang w:val="es-MX" w:eastAsia="ar-SA"/>
        </w:rPr>
      </w:pPr>
      <w:r w:rsidRPr="00862AAF">
        <w:rPr>
          <w:rFonts w:ascii="Arial" w:hAnsi="Arial" w:cs="Arial"/>
          <w:b/>
          <w:sz w:val="24"/>
          <w:szCs w:val="24"/>
        </w:rPr>
        <w:t>SEGUNDO.-</w:t>
      </w:r>
      <w:r w:rsidRPr="00862AAF">
        <w:rPr>
          <w:rFonts w:ascii="Arial" w:hAnsi="Arial" w:cs="Arial"/>
          <w:sz w:val="24"/>
          <w:szCs w:val="24"/>
        </w:rPr>
        <w:t xml:space="preserve"> </w:t>
      </w:r>
      <w:r w:rsidRPr="00862AAF">
        <w:rPr>
          <w:rFonts w:ascii="Arial" w:eastAsia="Arial Unicode MS" w:hAnsi="Arial" w:cs="Arial"/>
          <w:kern w:val="1"/>
          <w:sz w:val="24"/>
          <w:szCs w:val="24"/>
          <w:lang w:eastAsia="ar-SA"/>
        </w:rPr>
        <w:t>La personalidad de las partes quedó acreditada en autos.- -</w:t>
      </w:r>
      <w:r w:rsidRPr="00862AAF">
        <w:rPr>
          <w:rFonts w:ascii="Arial" w:eastAsia="Arial Unicode MS" w:hAnsi="Arial" w:cs="Arial"/>
          <w:kern w:val="1"/>
          <w:sz w:val="24"/>
          <w:szCs w:val="24"/>
          <w:lang w:val="es-MX" w:eastAsia="ar-SA"/>
        </w:rPr>
        <w:t xml:space="preserve"> - - </w:t>
      </w:r>
    </w:p>
    <w:p w:rsidR="00862AAF" w:rsidRDefault="00E76472" w:rsidP="00E76472">
      <w:pPr>
        <w:spacing w:line="360" w:lineRule="auto"/>
        <w:ind w:right="51" w:firstLine="567"/>
        <w:jc w:val="both"/>
        <w:rPr>
          <w:rFonts w:ascii="Arial" w:hAnsi="Arial" w:cs="Arial"/>
          <w:sz w:val="24"/>
          <w:szCs w:val="24"/>
          <w:lang w:val="es-MX"/>
        </w:rPr>
      </w:pPr>
      <w:r w:rsidRPr="00862AAF">
        <w:rPr>
          <w:rFonts w:ascii="Arial" w:hAnsi="Arial" w:cs="Arial"/>
          <w:sz w:val="24"/>
          <w:szCs w:val="24"/>
          <w:lang w:val="es-MX"/>
        </w:rPr>
        <w:t xml:space="preserve"> </w:t>
      </w:r>
    </w:p>
    <w:p w:rsidR="00E76472" w:rsidRPr="00862AAF" w:rsidRDefault="00E76472" w:rsidP="00E76472">
      <w:pPr>
        <w:spacing w:line="360" w:lineRule="auto"/>
        <w:ind w:right="51" w:firstLine="567"/>
        <w:jc w:val="both"/>
        <w:rPr>
          <w:rFonts w:ascii="Arial" w:hAnsi="Arial" w:cs="Arial"/>
          <w:sz w:val="24"/>
          <w:szCs w:val="24"/>
          <w:lang w:val="es-MX"/>
        </w:rPr>
      </w:pPr>
      <w:r w:rsidRPr="00862AAF">
        <w:rPr>
          <w:rFonts w:ascii="Arial" w:hAnsi="Arial" w:cs="Arial"/>
          <w:b/>
          <w:sz w:val="24"/>
          <w:szCs w:val="24"/>
        </w:rPr>
        <w:t>TERCERO.-</w:t>
      </w:r>
      <w:r w:rsidRPr="00862AAF">
        <w:rPr>
          <w:rFonts w:ascii="Arial" w:hAnsi="Arial" w:cs="Arial"/>
          <w:b/>
          <w:sz w:val="24"/>
          <w:szCs w:val="24"/>
          <w:lang w:val="es-MX"/>
        </w:rPr>
        <w:t xml:space="preserve"> </w:t>
      </w:r>
      <w:r w:rsidRPr="00862AAF">
        <w:rPr>
          <w:rFonts w:ascii="Arial" w:eastAsia="Calibri" w:hAnsi="Arial" w:cs="Arial"/>
          <w:sz w:val="24"/>
          <w:szCs w:val="24"/>
          <w:lang w:val="es-MX" w:eastAsia="en-US"/>
        </w:rPr>
        <w:t xml:space="preserve">No se actualizó ninguna causal de improcedencia del juicio, en consecuencia, NO SE SOBRESEE, en términos del considerando </w:t>
      </w:r>
      <w:r w:rsidRPr="00862AAF">
        <w:rPr>
          <w:rFonts w:ascii="Arial" w:eastAsia="Calibri" w:hAnsi="Arial" w:cs="Arial"/>
          <w:b/>
          <w:bCs/>
          <w:sz w:val="24"/>
          <w:szCs w:val="24"/>
          <w:lang w:val="es-MX" w:eastAsia="en-US"/>
        </w:rPr>
        <w:t>TERCERO</w:t>
      </w:r>
      <w:r w:rsidRPr="00862AAF">
        <w:rPr>
          <w:rFonts w:ascii="Arial" w:eastAsia="Calibri" w:hAnsi="Arial" w:cs="Arial"/>
          <w:sz w:val="24"/>
          <w:szCs w:val="24"/>
          <w:lang w:val="es-MX" w:eastAsia="en-US"/>
        </w:rPr>
        <w:t xml:space="preserve">. - - - </w:t>
      </w:r>
    </w:p>
    <w:p w:rsidR="00E76472" w:rsidRPr="00862AAF" w:rsidRDefault="00E76472" w:rsidP="00E76472">
      <w:pPr>
        <w:spacing w:line="360" w:lineRule="auto"/>
        <w:ind w:right="51"/>
        <w:jc w:val="both"/>
        <w:rPr>
          <w:rFonts w:ascii="Arial" w:hAnsi="Arial" w:cs="Arial"/>
          <w:sz w:val="24"/>
          <w:szCs w:val="24"/>
          <w:lang w:val="es-MX"/>
        </w:rPr>
      </w:pPr>
    </w:p>
    <w:p w:rsidR="00E76472" w:rsidRPr="00862AAF" w:rsidRDefault="00E76472" w:rsidP="0078202F">
      <w:pPr>
        <w:spacing w:line="360" w:lineRule="auto"/>
        <w:ind w:right="51" w:firstLine="567"/>
        <w:jc w:val="both"/>
        <w:rPr>
          <w:rFonts w:ascii="Arial" w:hAnsi="Arial" w:cs="Arial"/>
          <w:sz w:val="24"/>
          <w:szCs w:val="24"/>
        </w:rPr>
      </w:pPr>
      <w:r w:rsidRPr="00862AAF">
        <w:rPr>
          <w:rFonts w:ascii="Arial" w:hAnsi="Arial" w:cs="Arial"/>
          <w:b/>
          <w:sz w:val="24"/>
          <w:szCs w:val="24"/>
          <w:lang w:val="es-MX"/>
        </w:rPr>
        <w:lastRenderedPageBreak/>
        <w:t>CUARTO.-</w:t>
      </w:r>
      <w:r w:rsidRPr="00862AAF">
        <w:rPr>
          <w:rFonts w:ascii="Arial" w:hAnsi="Arial" w:cs="Arial"/>
          <w:sz w:val="24"/>
          <w:szCs w:val="24"/>
          <w:lang w:val="es-MX"/>
        </w:rPr>
        <w:t xml:space="preserve"> </w:t>
      </w:r>
      <w:r w:rsidRPr="00862AAF">
        <w:rPr>
          <w:rFonts w:ascii="Arial" w:hAnsi="Arial" w:cs="Arial"/>
          <w:sz w:val="24"/>
          <w:szCs w:val="24"/>
        </w:rPr>
        <w:t xml:space="preserve">Se declara </w:t>
      </w:r>
      <w:r w:rsidR="00627A12" w:rsidRPr="00862AAF">
        <w:rPr>
          <w:rFonts w:ascii="Arial" w:hAnsi="Arial" w:cs="Arial"/>
          <w:b/>
          <w:bCs/>
          <w:sz w:val="24"/>
          <w:szCs w:val="24"/>
        </w:rPr>
        <w:t>LA NULIDAD</w:t>
      </w:r>
      <w:r w:rsidR="00627A12" w:rsidRPr="00862AAF">
        <w:rPr>
          <w:rFonts w:ascii="Arial" w:hAnsi="Arial" w:cs="Arial"/>
          <w:sz w:val="24"/>
          <w:szCs w:val="24"/>
        </w:rPr>
        <w:t xml:space="preserve"> del oficio número </w:t>
      </w:r>
      <w:r w:rsidR="0047434A">
        <w:rPr>
          <w:rFonts w:cs="Arial"/>
          <w:b/>
          <w:sz w:val="24"/>
          <w:szCs w:val="24"/>
        </w:rPr>
        <w:t>**********</w:t>
      </w:r>
      <w:r w:rsidR="00627A12" w:rsidRPr="00862AAF">
        <w:rPr>
          <w:rFonts w:ascii="Arial" w:hAnsi="Arial" w:cs="Arial"/>
          <w:sz w:val="24"/>
          <w:szCs w:val="24"/>
        </w:rPr>
        <w:t>, de fecha once de marzo de dos mil diecinueve (11</w:t>
      </w:r>
      <w:r w:rsidR="0047434A">
        <w:rPr>
          <w:rFonts w:ascii="Arial" w:hAnsi="Arial" w:cs="Arial"/>
          <w:sz w:val="24"/>
          <w:szCs w:val="24"/>
        </w:rPr>
        <w:t xml:space="preserve">-03-2019), signado por </w:t>
      </w:r>
      <w:proofErr w:type="spellStart"/>
      <w:r w:rsidR="0047434A">
        <w:rPr>
          <w:rFonts w:ascii="Arial" w:hAnsi="Arial" w:cs="Arial"/>
          <w:sz w:val="24"/>
          <w:szCs w:val="24"/>
        </w:rPr>
        <w:t>el</w:t>
      </w:r>
      <w:proofErr w:type="spellEnd"/>
      <w:r w:rsidR="00627A12" w:rsidRPr="00862AAF">
        <w:rPr>
          <w:rFonts w:ascii="Arial" w:hAnsi="Arial" w:cs="Arial"/>
          <w:sz w:val="24"/>
          <w:szCs w:val="24"/>
        </w:rPr>
        <w:t xml:space="preserve">. </w:t>
      </w:r>
      <w:r w:rsidR="0047434A">
        <w:rPr>
          <w:rFonts w:cs="Arial"/>
          <w:b/>
          <w:sz w:val="24"/>
          <w:szCs w:val="24"/>
        </w:rPr>
        <w:t>**********</w:t>
      </w:r>
      <w:r w:rsidR="00627A12" w:rsidRPr="00862AAF">
        <w:rPr>
          <w:rFonts w:ascii="Arial" w:hAnsi="Arial" w:cs="Arial"/>
          <w:sz w:val="24"/>
          <w:szCs w:val="24"/>
        </w:rPr>
        <w:t xml:space="preserve">, </w:t>
      </w:r>
      <w:r w:rsidR="00627A12" w:rsidRPr="00862AAF">
        <w:rPr>
          <w:rFonts w:ascii="Arial" w:hAnsi="Arial" w:cs="Arial"/>
          <w:b/>
          <w:bCs/>
          <w:sz w:val="24"/>
          <w:szCs w:val="24"/>
        </w:rPr>
        <w:t>PARA EL EFECTO</w:t>
      </w:r>
      <w:r w:rsidR="00627A12" w:rsidRPr="00862AAF">
        <w:rPr>
          <w:rFonts w:ascii="Arial" w:hAnsi="Arial" w:cs="Arial"/>
          <w:sz w:val="24"/>
          <w:szCs w:val="24"/>
        </w:rPr>
        <w:t>, de que lo deje insubsistente  y en  su lugar,  emita otro en el que efectúe a favor de la actora</w:t>
      </w:r>
      <w:r w:rsidR="00627A12" w:rsidRPr="00862AAF">
        <w:rPr>
          <w:rFonts w:ascii="Arial" w:hAnsi="Arial" w:cs="Arial"/>
          <w:b/>
          <w:bCs/>
          <w:sz w:val="24"/>
          <w:szCs w:val="24"/>
        </w:rPr>
        <w:t xml:space="preserve"> </w:t>
      </w:r>
      <w:r w:rsidR="0047434A">
        <w:rPr>
          <w:rFonts w:cs="Arial"/>
          <w:b/>
          <w:sz w:val="24"/>
          <w:szCs w:val="24"/>
        </w:rPr>
        <w:t>**********</w:t>
      </w:r>
      <w:r w:rsidR="00627A12" w:rsidRPr="00862AAF">
        <w:rPr>
          <w:rFonts w:ascii="Arial" w:hAnsi="Arial" w:cs="Arial"/>
          <w:sz w:val="24"/>
          <w:szCs w:val="24"/>
        </w:rPr>
        <w:t xml:space="preserve">, la devolución de las cantidades que le fueron descontadas </w:t>
      </w:r>
      <w:r w:rsidR="00627A12" w:rsidRPr="00862AAF">
        <w:rPr>
          <w:rFonts w:ascii="Arial" w:hAnsi="Arial" w:cs="Arial"/>
          <w:b/>
          <w:bCs/>
          <w:sz w:val="24"/>
          <w:szCs w:val="24"/>
        </w:rPr>
        <w:t>durante el periodo que trabajó como empleada de confianza</w:t>
      </w:r>
      <w:r w:rsidR="00627A12" w:rsidRPr="00862AAF">
        <w:rPr>
          <w:rFonts w:ascii="Arial" w:hAnsi="Arial" w:cs="Arial"/>
          <w:sz w:val="24"/>
          <w:szCs w:val="24"/>
        </w:rPr>
        <w:t xml:space="preserve"> para Gobierno del Estado de Oaxaca</w:t>
      </w:r>
      <w:r w:rsidR="0078202F" w:rsidRPr="00862AAF">
        <w:rPr>
          <w:rFonts w:ascii="Arial" w:hAnsi="Arial" w:cs="Arial"/>
          <w:sz w:val="24"/>
          <w:szCs w:val="24"/>
        </w:rPr>
        <w:t>, del periodo comprendido del uno de mayo de dos mil quince (01-05-2015) al treinta y uno de enero de dos mil diecinueve (31-01-2019)</w:t>
      </w:r>
      <w:r w:rsidR="00627A12" w:rsidRPr="00862AAF">
        <w:rPr>
          <w:rFonts w:ascii="Arial" w:hAnsi="Arial" w:cs="Arial"/>
          <w:sz w:val="24"/>
          <w:szCs w:val="24"/>
        </w:rPr>
        <w:t xml:space="preserve">; en términos del considerando </w:t>
      </w:r>
      <w:r w:rsidR="00627A12" w:rsidRPr="00862AAF">
        <w:rPr>
          <w:rFonts w:ascii="Arial" w:hAnsi="Arial" w:cs="Arial"/>
          <w:b/>
          <w:bCs/>
          <w:sz w:val="24"/>
          <w:szCs w:val="24"/>
        </w:rPr>
        <w:t>CUARTO</w:t>
      </w:r>
      <w:r w:rsidR="00627A12" w:rsidRPr="00862AAF">
        <w:rPr>
          <w:rFonts w:ascii="Arial" w:hAnsi="Arial" w:cs="Arial"/>
          <w:sz w:val="24"/>
          <w:szCs w:val="24"/>
        </w:rPr>
        <w:t xml:space="preserve"> d</w:t>
      </w:r>
      <w:r w:rsidRPr="00862AAF">
        <w:rPr>
          <w:rFonts w:ascii="Arial" w:hAnsi="Arial" w:cs="Arial"/>
          <w:sz w:val="24"/>
          <w:szCs w:val="24"/>
        </w:rPr>
        <w:t xml:space="preserve">e esta sentencia. - - - - - - - - - - - - </w:t>
      </w:r>
      <w:r w:rsidR="0047434A" w:rsidRPr="00862AAF">
        <w:rPr>
          <w:rFonts w:cs="Arial"/>
          <w:sz w:val="24"/>
          <w:szCs w:val="24"/>
        </w:rPr>
        <w:t>- - - - - - - - - - - - - - - - - - - -</w:t>
      </w:r>
      <w:r w:rsidR="0047434A">
        <w:rPr>
          <w:rFonts w:cs="Arial"/>
          <w:sz w:val="24"/>
          <w:szCs w:val="24"/>
        </w:rPr>
        <w:t xml:space="preserve"> </w:t>
      </w:r>
      <w:r w:rsidR="0047434A" w:rsidRPr="00862AAF">
        <w:rPr>
          <w:rFonts w:cs="Arial"/>
          <w:sz w:val="24"/>
          <w:szCs w:val="24"/>
        </w:rPr>
        <w:t>- - - - - - - - - - - - - - - - - - - -</w:t>
      </w:r>
      <w:r w:rsidR="0047434A">
        <w:rPr>
          <w:rFonts w:cs="Arial"/>
          <w:sz w:val="24"/>
          <w:szCs w:val="24"/>
        </w:rPr>
        <w:t xml:space="preserve"> </w:t>
      </w:r>
      <w:r w:rsidR="0047434A" w:rsidRPr="00862AAF">
        <w:rPr>
          <w:rFonts w:cs="Arial"/>
          <w:sz w:val="24"/>
          <w:szCs w:val="24"/>
        </w:rPr>
        <w:t xml:space="preserve">- - </w:t>
      </w:r>
    </w:p>
    <w:p w:rsidR="00E76472" w:rsidRPr="00862AAF" w:rsidRDefault="00E76472" w:rsidP="00E76472">
      <w:pPr>
        <w:spacing w:line="360" w:lineRule="auto"/>
        <w:ind w:right="51" w:firstLine="567"/>
        <w:jc w:val="both"/>
        <w:rPr>
          <w:rFonts w:ascii="Arial" w:hAnsi="Arial" w:cs="Arial"/>
          <w:sz w:val="24"/>
          <w:szCs w:val="24"/>
        </w:rPr>
      </w:pPr>
    </w:p>
    <w:p w:rsidR="00E76472" w:rsidRPr="00862AAF" w:rsidRDefault="00E76472" w:rsidP="00E76472">
      <w:pPr>
        <w:spacing w:line="360" w:lineRule="auto"/>
        <w:ind w:firstLine="708"/>
        <w:jc w:val="both"/>
        <w:rPr>
          <w:rFonts w:ascii="Arial" w:eastAsia="Calibri" w:hAnsi="Arial" w:cs="Arial"/>
          <w:sz w:val="24"/>
          <w:szCs w:val="24"/>
          <w:lang w:val="es-MX" w:eastAsia="en-US"/>
        </w:rPr>
      </w:pPr>
      <w:r w:rsidRPr="00862AAF">
        <w:rPr>
          <w:rFonts w:ascii="Arial" w:hAnsi="Arial" w:cs="Arial"/>
          <w:b/>
          <w:sz w:val="24"/>
          <w:szCs w:val="24"/>
          <w:lang w:val="es-MX"/>
        </w:rPr>
        <w:t>QUIN</w:t>
      </w:r>
      <w:r w:rsidRPr="00862AAF">
        <w:rPr>
          <w:rFonts w:ascii="Arial" w:hAnsi="Arial" w:cs="Arial"/>
          <w:b/>
          <w:sz w:val="24"/>
          <w:szCs w:val="24"/>
        </w:rPr>
        <w:t>TO.-</w:t>
      </w:r>
      <w:r w:rsidRPr="00862AAF">
        <w:rPr>
          <w:rFonts w:ascii="Arial" w:hAnsi="Arial" w:cs="Arial"/>
          <w:b/>
          <w:sz w:val="24"/>
          <w:szCs w:val="24"/>
          <w:lang w:val="es-MX"/>
        </w:rPr>
        <w:t xml:space="preserve"> </w:t>
      </w:r>
      <w:r w:rsidRPr="00862AAF">
        <w:rPr>
          <w:rFonts w:ascii="Arial" w:eastAsia="Calibri" w:hAnsi="Arial" w:cs="Arial"/>
          <w:sz w:val="24"/>
          <w:szCs w:val="24"/>
          <w:lang w:val="es-MX" w:eastAsia="en-US"/>
        </w:rPr>
        <w:t>Conforme a lo dispuesto en los artículos 172, fracción I, 173 fracciones I y II, de la Ley de Procedimiento y Justicia Administrativa para el Estado de Oaxaca, NOTIFÍQUESE personalmente a la parte actora y por oficio a la autoridad demandada y CÚMPLASE.</w:t>
      </w:r>
    </w:p>
    <w:p w:rsidR="00DB0624" w:rsidRPr="00862AAF" w:rsidRDefault="00DB0624" w:rsidP="00DB0624">
      <w:pPr>
        <w:spacing w:line="360" w:lineRule="auto"/>
        <w:ind w:right="49"/>
        <w:jc w:val="both"/>
        <w:rPr>
          <w:rFonts w:ascii="Arial" w:eastAsia="Calibri" w:hAnsi="Arial" w:cs="Arial"/>
          <w:sz w:val="24"/>
          <w:szCs w:val="24"/>
          <w:lang w:val="es-MX" w:eastAsia="en-US"/>
        </w:rPr>
      </w:pPr>
    </w:p>
    <w:p w:rsidR="00E76472" w:rsidRPr="00862AAF" w:rsidRDefault="00E76472" w:rsidP="00DB0624">
      <w:pPr>
        <w:spacing w:line="360" w:lineRule="auto"/>
        <w:ind w:right="49" w:firstLine="708"/>
        <w:jc w:val="both"/>
        <w:rPr>
          <w:rFonts w:ascii="Arial" w:hAnsi="Arial" w:cs="Arial"/>
          <w:sz w:val="24"/>
          <w:szCs w:val="24"/>
        </w:rPr>
      </w:pPr>
      <w:r w:rsidRPr="00862AAF">
        <w:rPr>
          <w:rFonts w:ascii="Arial" w:hAnsi="Arial" w:cs="Arial"/>
          <w:sz w:val="24"/>
          <w:szCs w:val="24"/>
          <w:lang w:val="es-MX"/>
        </w:rPr>
        <w:t xml:space="preserve">Así lo resolvió y firma el Magistrado Licenciado Julián Hernández Carrillo, de la Quinta Sala Unitaria de Primera Instancia del Tribunal de Justicia Administrativa del Estado de Oaxaca, quien actúa con la Licenciada </w:t>
      </w:r>
      <w:proofErr w:type="spellStart"/>
      <w:r w:rsidRPr="00862AAF">
        <w:rPr>
          <w:rFonts w:ascii="Arial" w:hAnsi="Arial" w:cs="Arial"/>
          <w:sz w:val="24"/>
          <w:szCs w:val="24"/>
          <w:lang w:val="es-MX"/>
        </w:rPr>
        <w:t>Marissa</w:t>
      </w:r>
      <w:proofErr w:type="spellEnd"/>
      <w:r w:rsidRPr="00862AAF">
        <w:rPr>
          <w:rFonts w:ascii="Arial" w:hAnsi="Arial" w:cs="Arial"/>
          <w:sz w:val="24"/>
          <w:szCs w:val="24"/>
          <w:lang w:val="es-MX"/>
        </w:rPr>
        <w:t xml:space="preserve"> Ignacio Valencia, Secretaria Judicial de Acuerdos, que autoriza y da fe.- - - - - - - - </w:t>
      </w:r>
    </w:p>
    <w:p w:rsidR="00E76472" w:rsidRPr="00862AAF" w:rsidRDefault="00E76472" w:rsidP="00E76472"/>
    <w:p w:rsidR="00E76472" w:rsidRPr="00862AAF" w:rsidRDefault="00E76472" w:rsidP="00E76472"/>
    <w:sectPr w:rsidR="00E76472" w:rsidRPr="00862AAF" w:rsidSect="00B41482">
      <w:headerReference w:type="default" r:id="rId11"/>
      <w:pgSz w:w="12242" w:h="20163" w:code="5"/>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BF" w:rsidRDefault="00F116BF" w:rsidP="00063F71">
      <w:r>
        <w:separator/>
      </w:r>
    </w:p>
  </w:endnote>
  <w:endnote w:type="continuationSeparator" w:id="0">
    <w:p w:rsidR="00F116BF" w:rsidRDefault="00F116BF" w:rsidP="000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BF" w:rsidRDefault="00F116BF" w:rsidP="00063F71">
      <w:r>
        <w:separator/>
      </w:r>
    </w:p>
  </w:footnote>
  <w:footnote w:type="continuationSeparator" w:id="0">
    <w:p w:rsidR="00F116BF" w:rsidRDefault="00F116BF" w:rsidP="00063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92836"/>
      <w:docPartObj>
        <w:docPartGallery w:val="Page Numbers (Top of Page)"/>
        <w:docPartUnique/>
      </w:docPartObj>
    </w:sdtPr>
    <w:sdtEndPr/>
    <w:sdtContent>
      <w:p w:rsidR="00063F71" w:rsidRDefault="00063F71">
        <w:pPr>
          <w:pStyle w:val="Encabezado"/>
          <w:jc w:val="right"/>
        </w:pPr>
        <w:r>
          <w:fldChar w:fldCharType="begin"/>
        </w:r>
        <w:r>
          <w:instrText>PAGE   \* MERGEFORMAT</w:instrText>
        </w:r>
        <w:r>
          <w:fldChar w:fldCharType="separate"/>
        </w:r>
        <w:r w:rsidR="00CB4A88" w:rsidRPr="00CB4A88">
          <w:rPr>
            <w:noProof/>
            <w:lang w:val="es-ES"/>
          </w:rPr>
          <w:t>11</w:t>
        </w:r>
        <w:r>
          <w:fldChar w:fldCharType="end"/>
        </w:r>
      </w:p>
    </w:sdtContent>
  </w:sdt>
  <w:p w:rsidR="00063F71" w:rsidRDefault="00063F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72"/>
    <w:rsid w:val="00032DB2"/>
    <w:rsid w:val="00063F71"/>
    <w:rsid w:val="000B33AB"/>
    <w:rsid w:val="00140C3D"/>
    <w:rsid w:val="0016793B"/>
    <w:rsid w:val="0019156E"/>
    <w:rsid w:val="001C5DD6"/>
    <w:rsid w:val="00255906"/>
    <w:rsid w:val="00255F29"/>
    <w:rsid w:val="002B4255"/>
    <w:rsid w:val="003058FF"/>
    <w:rsid w:val="0031047E"/>
    <w:rsid w:val="00354414"/>
    <w:rsid w:val="003A6F7D"/>
    <w:rsid w:val="003B499D"/>
    <w:rsid w:val="003B6CFF"/>
    <w:rsid w:val="0047434A"/>
    <w:rsid w:val="004909B4"/>
    <w:rsid w:val="00493B89"/>
    <w:rsid w:val="00507355"/>
    <w:rsid w:val="005C2E28"/>
    <w:rsid w:val="00610F1B"/>
    <w:rsid w:val="00613A43"/>
    <w:rsid w:val="00627A12"/>
    <w:rsid w:val="006B157F"/>
    <w:rsid w:val="006C33F1"/>
    <w:rsid w:val="006D3C59"/>
    <w:rsid w:val="00726780"/>
    <w:rsid w:val="0073569C"/>
    <w:rsid w:val="007478D7"/>
    <w:rsid w:val="00781075"/>
    <w:rsid w:val="0078202F"/>
    <w:rsid w:val="007A0E47"/>
    <w:rsid w:val="007A7604"/>
    <w:rsid w:val="007E04F0"/>
    <w:rsid w:val="00862AAF"/>
    <w:rsid w:val="008E6A5B"/>
    <w:rsid w:val="00930B42"/>
    <w:rsid w:val="009B6AE3"/>
    <w:rsid w:val="009E4C64"/>
    <w:rsid w:val="00A2778E"/>
    <w:rsid w:val="00A4354E"/>
    <w:rsid w:val="00A713E6"/>
    <w:rsid w:val="00AA5A76"/>
    <w:rsid w:val="00AD4305"/>
    <w:rsid w:val="00AD4BE0"/>
    <w:rsid w:val="00AE5CA4"/>
    <w:rsid w:val="00B00650"/>
    <w:rsid w:val="00B12E8B"/>
    <w:rsid w:val="00B41482"/>
    <w:rsid w:val="00BB14C9"/>
    <w:rsid w:val="00BD3ECA"/>
    <w:rsid w:val="00BE2E77"/>
    <w:rsid w:val="00C23AB4"/>
    <w:rsid w:val="00C40D3A"/>
    <w:rsid w:val="00C4739B"/>
    <w:rsid w:val="00C6024B"/>
    <w:rsid w:val="00C71FDB"/>
    <w:rsid w:val="00C76C64"/>
    <w:rsid w:val="00CB4A88"/>
    <w:rsid w:val="00CC3778"/>
    <w:rsid w:val="00CD3385"/>
    <w:rsid w:val="00D414E3"/>
    <w:rsid w:val="00DB0624"/>
    <w:rsid w:val="00DF1E87"/>
    <w:rsid w:val="00DF5861"/>
    <w:rsid w:val="00E76249"/>
    <w:rsid w:val="00E76472"/>
    <w:rsid w:val="00F116BF"/>
    <w:rsid w:val="00F96040"/>
    <w:rsid w:val="00FB7AD7"/>
    <w:rsid w:val="00FC3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7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E76472"/>
    <w:pPr>
      <w:autoSpaceDE w:val="0"/>
      <w:autoSpaceDN w:val="0"/>
    </w:pPr>
    <w:rPr>
      <w:lang w:eastAsia="es-ES"/>
    </w:rPr>
  </w:style>
  <w:style w:type="character" w:customStyle="1" w:styleId="TextonotapieCar">
    <w:name w:val="Texto nota pie Car"/>
    <w:basedOn w:val="Fuentedeprrafopredeter"/>
    <w:link w:val="Textonotapie"/>
    <w:uiPriority w:val="99"/>
    <w:rsid w:val="00E7647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E7647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E76472"/>
    <w:rPr>
      <w:rFonts w:ascii="Arial" w:eastAsia="Times New Roman" w:hAnsi="Arial" w:cs="Times New Roman"/>
      <w:sz w:val="30"/>
      <w:szCs w:val="20"/>
      <w:lang w:val="es-ES_tradnl" w:eastAsia="es-ES"/>
    </w:rPr>
  </w:style>
  <w:style w:type="paragraph" w:styleId="Textoindependiente">
    <w:name w:val="Body Text"/>
    <w:basedOn w:val="Normal"/>
    <w:link w:val="TextoindependienteCar"/>
    <w:uiPriority w:val="99"/>
    <w:unhideWhenUsed/>
    <w:rsid w:val="00E76472"/>
    <w:pPr>
      <w:spacing w:after="120"/>
    </w:pPr>
    <w:rPr>
      <w:lang w:val="x-none"/>
    </w:rPr>
  </w:style>
  <w:style w:type="character" w:customStyle="1" w:styleId="TextoindependienteCar">
    <w:name w:val="Texto independiente Car"/>
    <w:basedOn w:val="Fuentedeprrafopredeter"/>
    <w:link w:val="Textoindependiente"/>
    <w:uiPriority w:val="99"/>
    <w:rsid w:val="00E76472"/>
    <w:rPr>
      <w:rFonts w:ascii="Times New Roman" w:eastAsia="Times New Roman" w:hAnsi="Times New Roman" w:cs="Times New Roman"/>
      <w:sz w:val="20"/>
      <w:szCs w:val="20"/>
      <w:lang w:val="x-none" w:eastAsia="es-MX"/>
    </w:rPr>
  </w:style>
  <w:style w:type="character" w:styleId="Hipervnculo">
    <w:name w:val="Hyperlink"/>
    <w:uiPriority w:val="99"/>
    <w:unhideWhenUsed/>
    <w:rsid w:val="00E76472"/>
    <w:rPr>
      <w:color w:val="0000FF"/>
      <w:u w:val="single"/>
    </w:rPr>
  </w:style>
  <w:style w:type="character" w:customStyle="1" w:styleId="lbl-encabezado-negro">
    <w:name w:val="lbl-encabezado-negro"/>
    <w:basedOn w:val="Fuentedeprrafopredeter"/>
    <w:rsid w:val="00E76472"/>
  </w:style>
  <w:style w:type="paragraph" w:styleId="Encabezado">
    <w:name w:val="header"/>
    <w:basedOn w:val="Normal"/>
    <w:link w:val="EncabezadoCar"/>
    <w:uiPriority w:val="99"/>
    <w:rsid w:val="00E76472"/>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uiPriority w:val="99"/>
    <w:rsid w:val="00E76472"/>
    <w:rPr>
      <w:rFonts w:ascii="Courier New" w:eastAsia="Times New Roman" w:hAnsi="Courier New" w:cs="Times New Roman"/>
      <w:snapToGrid w:val="0"/>
      <w:sz w:val="24"/>
      <w:szCs w:val="20"/>
      <w:lang w:val="x-none" w:eastAsia="es-MX"/>
    </w:rPr>
  </w:style>
  <w:style w:type="paragraph" w:styleId="Piedepgina">
    <w:name w:val="footer"/>
    <w:basedOn w:val="Normal"/>
    <w:link w:val="PiedepginaCar"/>
    <w:uiPriority w:val="99"/>
    <w:unhideWhenUsed/>
    <w:rsid w:val="00063F71"/>
    <w:pPr>
      <w:tabs>
        <w:tab w:val="center" w:pos="4419"/>
        <w:tab w:val="right" w:pos="8838"/>
      </w:tabs>
    </w:pPr>
  </w:style>
  <w:style w:type="character" w:customStyle="1" w:styleId="PiedepginaCar">
    <w:name w:val="Pie de página Car"/>
    <w:basedOn w:val="Fuentedeprrafopredeter"/>
    <w:link w:val="Piedepgina"/>
    <w:uiPriority w:val="99"/>
    <w:rsid w:val="00063F71"/>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C76C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64"/>
    <w:rPr>
      <w:rFonts w:ascii="Segoe UI" w:eastAsia="Times New Roman" w:hAnsi="Segoe UI" w:cs="Segoe UI"/>
      <w:sz w:val="18"/>
      <w:szCs w:val="18"/>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7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E76472"/>
    <w:pPr>
      <w:autoSpaceDE w:val="0"/>
      <w:autoSpaceDN w:val="0"/>
    </w:pPr>
    <w:rPr>
      <w:lang w:eastAsia="es-ES"/>
    </w:rPr>
  </w:style>
  <w:style w:type="character" w:customStyle="1" w:styleId="TextonotapieCar">
    <w:name w:val="Texto nota pie Car"/>
    <w:basedOn w:val="Fuentedeprrafopredeter"/>
    <w:link w:val="Textonotapie"/>
    <w:uiPriority w:val="99"/>
    <w:rsid w:val="00E7647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E7647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E76472"/>
    <w:rPr>
      <w:rFonts w:ascii="Arial" w:eastAsia="Times New Roman" w:hAnsi="Arial" w:cs="Times New Roman"/>
      <w:sz w:val="30"/>
      <w:szCs w:val="20"/>
      <w:lang w:val="es-ES_tradnl" w:eastAsia="es-ES"/>
    </w:rPr>
  </w:style>
  <w:style w:type="paragraph" w:styleId="Textoindependiente">
    <w:name w:val="Body Text"/>
    <w:basedOn w:val="Normal"/>
    <w:link w:val="TextoindependienteCar"/>
    <w:uiPriority w:val="99"/>
    <w:unhideWhenUsed/>
    <w:rsid w:val="00E76472"/>
    <w:pPr>
      <w:spacing w:after="120"/>
    </w:pPr>
    <w:rPr>
      <w:lang w:val="x-none"/>
    </w:rPr>
  </w:style>
  <w:style w:type="character" w:customStyle="1" w:styleId="TextoindependienteCar">
    <w:name w:val="Texto independiente Car"/>
    <w:basedOn w:val="Fuentedeprrafopredeter"/>
    <w:link w:val="Textoindependiente"/>
    <w:uiPriority w:val="99"/>
    <w:rsid w:val="00E76472"/>
    <w:rPr>
      <w:rFonts w:ascii="Times New Roman" w:eastAsia="Times New Roman" w:hAnsi="Times New Roman" w:cs="Times New Roman"/>
      <w:sz w:val="20"/>
      <w:szCs w:val="20"/>
      <w:lang w:val="x-none" w:eastAsia="es-MX"/>
    </w:rPr>
  </w:style>
  <w:style w:type="character" w:styleId="Hipervnculo">
    <w:name w:val="Hyperlink"/>
    <w:uiPriority w:val="99"/>
    <w:unhideWhenUsed/>
    <w:rsid w:val="00E76472"/>
    <w:rPr>
      <w:color w:val="0000FF"/>
      <w:u w:val="single"/>
    </w:rPr>
  </w:style>
  <w:style w:type="character" w:customStyle="1" w:styleId="lbl-encabezado-negro">
    <w:name w:val="lbl-encabezado-negro"/>
    <w:basedOn w:val="Fuentedeprrafopredeter"/>
    <w:rsid w:val="00E76472"/>
  </w:style>
  <w:style w:type="paragraph" w:styleId="Encabezado">
    <w:name w:val="header"/>
    <w:basedOn w:val="Normal"/>
    <w:link w:val="EncabezadoCar"/>
    <w:uiPriority w:val="99"/>
    <w:rsid w:val="00E76472"/>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uiPriority w:val="99"/>
    <w:rsid w:val="00E76472"/>
    <w:rPr>
      <w:rFonts w:ascii="Courier New" w:eastAsia="Times New Roman" w:hAnsi="Courier New" w:cs="Times New Roman"/>
      <w:snapToGrid w:val="0"/>
      <w:sz w:val="24"/>
      <w:szCs w:val="20"/>
      <w:lang w:val="x-none" w:eastAsia="es-MX"/>
    </w:rPr>
  </w:style>
  <w:style w:type="paragraph" w:styleId="Piedepgina">
    <w:name w:val="footer"/>
    <w:basedOn w:val="Normal"/>
    <w:link w:val="PiedepginaCar"/>
    <w:uiPriority w:val="99"/>
    <w:unhideWhenUsed/>
    <w:rsid w:val="00063F71"/>
    <w:pPr>
      <w:tabs>
        <w:tab w:val="center" w:pos="4419"/>
        <w:tab w:val="right" w:pos="8838"/>
      </w:tabs>
    </w:pPr>
  </w:style>
  <w:style w:type="character" w:customStyle="1" w:styleId="PiedepginaCar">
    <w:name w:val="Pie de página Car"/>
    <w:basedOn w:val="Fuentedeprrafopredeter"/>
    <w:link w:val="Piedepgina"/>
    <w:uiPriority w:val="99"/>
    <w:rsid w:val="00063F71"/>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C76C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64"/>
    <w:rPr>
      <w:rFonts w:ascii="Segoe UI" w:eastAsia="Times New Roman"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AbrirModal(4)" TargetMode="External"/><Relationship Id="rId4" Type="http://schemas.openxmlformats.org/officeDocument/2006/relationships/webSettings" Target="webSettings.xml"/><Relationship Id="rId9" Type="http://schemas.openxmlformats.org/officeDocument/2006/relationships/hyperlink" Target="javascript:AbrirModal(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3976</Words>
  <Characters>21873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AVHEZ</dc:creator>
  <cp:lastModifiedBy>Jose</cp:lastModifiedBy>
  <cp:revision>71</cp:revision>
  <cp:lastPrinted>2019-10-08T04:59:00Z</cp:lastPrinted>
  <dcterms:created xsi:type="dcterms:W3CDTF">2019-06-29T19:04:00Z</dcterms:created>
  <dcterms:modified xsi:type="dcterms:W3CDTF">2019-10-08T04:59:00Z</dcterms:modified>
</cp:coreProperties>
</file>