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bookmarkStart w:id="0" w:name="_GoBack"/>
            <w:bookmarkEnd w:id="0"/>
            <w:r w:rsidRPr="00E874FB">
              <w:rPr>
                <w:rFonts w:ascii="Arial" w:hAnsi="Arial" w:cs="Arial"/>
                <w:b/>
                <w:sz w:val="26"/>
                <w:szCs w:val="26"/>
              </w:rPr>
              <w:t xml:space="preserve">      </w:t>
            </w:r>
          </w:p>
        </w:tc>
        <w:tc>
          <w:tcPr>
            <w:tcW w:w="7426" w:type="dxa"/>
          </w:tcPr>
          <w:p w:rsidR="00314953" w:rsidRPr="00E874FB" w:rsidRDefault="00314953" w:rsidP="00314953">
            <w:pPr>
              <w:tabs>
                <w:tab w:val="left" w:pos="3103"/>
              </w:tabs>
              <w:spacing w:after="0" w:line="240" w:lineRule="auto"/>
              <w:ind w:left="2394"/>
              <w:jc w:val="both"/>
              <w:rPr>
                <w:rFonts w:ascii="Arial" w:hAnsi="Arial" w:cs="Arial"/>
                <w:b/>
                <w:i/>
                <w:iCs/>
                <w:caps/>
                <w:sz w:val="26"/>
                <w:szCs w:val="26"/>
              </w:rPr>
            </w:pPr>
            <w:r w:rsidRPr="00E874FB">
              <w:rPr>
                <w:rFonts w:ascii="Arial" w:hAnsi="Arial" w:cs="Arial"/>
                <w:b/>
                <w:i/>
                <w:iCs/>
                <w:caps/>
                <w:sz w:val="26"/>
                <w:szCs w:val="26"/>
              </w:rPr>
              <w:t xml:space="preserve">                       </w:t>
            </w:r>
          </w:p>
          <w:p w:rsidR="00314953" w:rsidRPr="00E874FB" w:rsidRDefault="00314953" w:rsidP="00314953">
            <w:pPr>
              <w:tabs>
                <w:tab w:val="left" w:pos="3103"/>
              </w:tabs>
              <w:spacing w:after="0" w:line="240" w:lineRule="auto"/>
              <w:ind w:left="1686" w:right="781"/>
              <w:jc w:val="both"/>
              <w:rPr>
                <w:rFonts w:ascii="Arial" w:hAnsi="Arial" w:cs="Arial"/>
                <w:b/>
                <w:iCs/>
                <w:caps/>
                <w:sz w:val="26"/>
                <w:szCs w:val="26"/>
              </w:rPr>
            </w:pPr>
            <w:r w:rsidRPr="00E874FB">
              <w:rPr>
                <w:rFonts w:ascii="Arial" w:hAnsi="Arial" w:cs="Arial"/>
                <w:b/>
                <w:iCs/>
                <w:caps/>
                <w:sz w:val="26"/>
                <w:szCs w:val="26"/>
              </w:rPr>
              <w:t>SALA SUPERIOR DEL TRIBUNAL DE JUSTICIA ADMINISTRATIVA DEL ESTADO DE OAXACA.</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 xml:space="preserve">               </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RECURSO DE REVISIÓN:   0</w:t>
            </w:r>
            <w:r w:rsidR="00FE004E">
              <w:rPr>
                <w:rFonts w:ascii="Arial" w:hAnsi="Arial" w:cs="Arial"/>
                <w:b/>
                <w:iCs/>
                <w:caps/>
                <w:sz w:val="26"/>
                <w:szCs w:val="26"/>
                <w:lang w:val="es-PE"/>
              </w:rPr>
              <w:t>21</w:t>
            </w:r>
            <w:r w:rsidR="00A96CF9">
              <w:rPr>
                <w:rFonts w:ascii="Arial" w:hAnsi="Arial" w:cs="Arial"/>
                <w:b/>
                <w:iCs/>
                <w:caps/>
                <w:sz w:val="26"/>
                <w:szCs w:val="26"/>
                <w:lang w:val="es-PE"/>
              </w:rPr>
              <w:t>8/2018</w:t>
            </w:r>
            <w:r w:rsidRPr="00E874FB">
              <w:rPr>
                <w:rFonts w:ascii="Arial" w:hAnsi="Arial" w:cs="Arial"/>
                <w:b/>
                <w:iCs/>
                <w:caps/>
                <w:sz w:val="26"/>
                <w:szCs w:val="26"/>
                <w:lang w:val="es-PE"/>
              </w:rPr>
              <w:t xml:space="preserve"> </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 xml:space="preserve">EXPEDIENTE: </w:t>
            </w:r>
            <w:r w:rsidR="00A96CF9">
              <w:rPr>
                <w:rFonts w:ascii="Arial" w:hAnsi="Arial" w:cs="Arial"/>
                <w:b/>
                <w:iCs/>
                <w:caps/>
                <w:sz w:val="26"/>
                <w:szCs w:val="26"/>
                <w:lang w:val="es-PE"/>
              </w:rPr>
              <w:t>0264</w:t>
            </w:r>
            <w:r w:rsidR="00B163F8">
              <w:rPr>
                <w:rFonts w:ascii="Arial" w:hAnsi="Arial" w:cs="Arial"/>
                <w:b/>
                <w:iCs/>
                <w:caps/>
                <w:sz w:val="26"/>
                <w:szCs w:val="26"/>
                <w:lang w:val="es-PE"/>
              </w:rPr>
              <w:t>/2016</w:t>
            </w:r>
            <w:r w:rsidR="009E3865">
              <w:rPr>
                <w:rFonts w:ascii="Arial" w:hAnsi="Arial" w:cs="Arial"/>
                <w:b/>
                <w:iCs/>
                <w:caps/>
                <w:sz w:val="26"/>
                <w:szCs w:val="26"/>
                <w:lang w:val="es-PE"/>
              </w:rPr>
              <w:t xml:space="preserve"> </w:t>
            </w:r>
            <w:r w:rsidRPr="00E874FB">
              <w:rPr>
                <w:rFonts w:ascii="Arial" w:hAnsi="Arial" w:cs="Arial"/>
                <w:b/>
                <w:iCs/>
                <w:caps/>
                <w:sz w:val="26"/>
                <w:szCs w:val="26"/>
                <w:lang w:val="es-PE"/>
              </w:rPr>
              <w:t xml:space="preserve">DE LA </w:t>
            </w:r>
            <w:r>
              <w:rPr>
                <w:rFonts w:ascii="Arial" w:hAnsi="Arial" w:cs="Arial"/>
                <w:b/>
                <w:iCs/>
                <w:caps/>
                <w:sz w:val="26"/>
                <w:szCs w:val="26"/>
                <w:lang w:val="es-PE"/>
              </w:rPr>
              <w:t>QUINTA</w:t>
            </w:r>
            <w:r w:rsidRPr="00E874FB">
              <w:rPr>
                <w:rFonts w:ascii="Arial" w:hAnsi="Arial" w:cs="Arial"/>
                <w:b/>
                <w:iCs/>
                <w:caps/>
                <w:sz w:val="26"/>
                <w:szCs w:val="26"/>
                <w:lang w:val="es-PE"/>
              </w:rPr>
              <w:t xml:space="preserve"> SALA UNITARIA DE PRIMERA INSTANCIA</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 xml:space="preserve">       </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 xml:space="preserve">ponente: </w:t>
            </w:r>
            <w:r w:rsidR="002A43A4" w:rsidRPr="00E874FB">
              <w:rPr>
                <w:rFonts w:ascii="Arial" w:hAnsi="Arial" w:cs="Arial"/>
                <w:b/>
                <w:iCs/>
                <w:caps/>
                <w:sz w:val="26"/>
                <w:szCs w:val="26"/>
                <w:lang w:val="es-PE"/>
              </w:rPr>
              <w:t xml:space="preserve">magistrado </w:t>
            </w:r>
            <w:r w:rsidRPr="00E874FB">
              <w:rPr>
                <w:rFonts w:ascii="Arial" w:hAnsi="Arial" w:cs="Arial"/>
                <w:b/>
                <w:iCs/>
                <w:caps/>
                <w:sz w:val="26"/>
                <w:szCs w:val="26"/>
                <w:lang w:val="es-PE"/>
              </w:rPr>
              <w:t>HUGO VILLEGAS AQUINO</w:t>
            </w:r>
          </w:p>
        </w:tc>
      </w:tr>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p>
        </w:tc>
        <w:tc>
          <w:tcPr>
            <w:tcW w:w="7426" w:type="dxa"/>
          </w:tcPr>
          <w:p w:rsidR="00314953" w:rsidRPr="00E874FB" w:rsidRDefault="00314953" w:rsidP="00314953">
            <w:pPr>
              <w:tabs>
                <w:tab w:val="left" w:pos="3103"/>
              </w:tabs>
              <w:spacing w:after="0" w:line="240" w:lineRule="auto"/>
              <w:ind w:left="2678" w:hanging="2961"/>
              <w:jc w:val="both"/>
              <w:rPr>
                <w:rFonts w:ascii="Arial" w:hAnsi="Arial" w:cs="Arial"/>
                <w:b/>
                <w:iCs/>
                <w:caps/>
                <w:sz w:val="26"/>
                <w:szCs w:val="26"/>
              </w:rPr>
            </w:pPr>
            <w:r w:rsidRPr="00E874FB">
              <w:rPr>
                <w:rFonts w:ascii="Arial" w:hAnsi="Arial" w:cs="Arial"/>
                <w:b/>
                <w:i/>
                <w:iCs/>
                <w:caps/>
                <w:sz w:val="26"/>
                <w:szCs w:val="26"/>
              </w:rPr>
              <w:t xml:space="preserve">                                          </w:t>
            </w:r>
          </w:p>
        </w:tc>
      </w:tr>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p>
        </w:tc>
        <w:tc>
          <w:tcPr>
            <w:tcW w:w="7426" w:type="dxa"/>
          </w:tcPr>
          <w:p w:rsidR="00314953" w:rsidRPr="00E874FB" w:rsidRDefault="00314953" w:rsidP="00314953">
            <w:pPr>
              <w:tabs>
                <w:tab w:val="left" w:pos="3103"/>
              </w:tabs>
              <w:spacing w:after="0" w:line="240" w:lineRule="auto"/>
              <w:ind w:left="2961" w:hanging="2961"/>
              <w:jc w:val="both"/>
              <w:rPr>
                <w:rFonts w:ascii="Arial" w:hAnsi="Arial" w:cs="Arial"/>
                <w:b/>
                <w:i/>
                <w:iCs/>
                <w:caps/>
                <w:sz w:val="26"/>
                <w:szCs w:val="26"/>
              </w:rPr>
            </w:pPr>
          </w:p>
        </w:tc>
      </w:tr>
    </w:tbl>
    <w:p w:rsidR="00314953" w:rsidRPr="00E874FB" w:rsidRDefault="00314953" w:rsidP="00314953">
      <w:pPr>
        <w:spacing w:after="0" w:line="360" w:lineRule="auto"/>
        <w:jc w:val="both"/>
        <w:rPr>
          <w:rFonts w:ascii="Arial" w:hAnsi="Arial" w:cs="Arial"/>
          <w:b/>
          <w:sz w:val="26"/>
          <w:szCs w:val="26"/>
          <w:lang w:val="es-MX"/>
        </w:rPr>
      </w:pPr>
      <w:r w:rsidRPr="00E874FB">
        <w:rPr>
          <w:rFonts w:ascii="Arial" w:hAnsi="Arial" w:cs="Arial"/>
          <w:b/>
          <w:sz w:val="26"/>
          <w:szCs w:val="26"/>
          <w:lang w:val="es-MX"/>
        </w:rPr>
        <w:t xml:space="preserve">OAXACA DE JUÁREZ, OAXACA, </w:t>
      </w:r>
      <w:r w:rsidR="002A43A4">
        <w:rPr>
          <w:rFonts w:ascii="Arial" w:hAnsi="Arial" w:cs="Arial"/>
          <w:b/>
          <w:sz w:val="26"/>
          <w:szCs w:val="26"/>
          <w:lang w:val="es-MX"/>
        </w:rPr>
        <w:t>VEINTICINCO</w:t>
      </w:r>
      <w:r w:rsidRPr="00E874FB">
        <w:rPr>
          <w:rFonts w:ascii="Arial" w:hAnsi="Arial" w:cs="Arial"/>
          <w:b/>
          <w:sz w:val="26"/>
          <w:szCs w:val="26"/>
          <w:lang w:val="es-MX"/>
        </w:rPr>
        <w:t xml:space="preserve"> DE </w:t>
      </w:r>
      <w:r w:rsidR="00A96CF9">
        <w:rPr>
          <w:rFonts w:ascii="Arial" w:hAnsi="Arial" w:cs="Arial"/>
          <w:b/>
          <w:sz w:val="26"/>
          <w:szCs w:val="26"/>
          <w:lang w:val="es-MX"/>
        </w:rPr>
        <w:t>OCTUBRE</w:t>
      </w:r>
      <w:r w:rsidR="00B163F8">
        <w:rPr>
          <w:rFonts w:ascii="Arial" w:hAnsi="Arial" w:cs="Arial"/>
          <w:b/>
          <w:sz w:val="26"/>
          <w:szCs w:val="26"/>
          <w:lang w:val="es-MX"/>
        </w:rPr>
        <w:t xml:space="preserve"> </w:t>
      </w:r>
      <w:r w:rsidRPr="00E874FB">
        <w:rPr>
          <w:rFonts w:ascii="Arial" w:hAnsi="Arial" w:cs="Arial"/>
          <w:b/>
          <w:sz w:val="26"/>
          <w:szCs w:val="26"/>
          <w:lang w:val="es-MX"/>
        </w:rPr>
        <w:t xml:space="preserve">DE DOS MIL DIECIOCHO. </w:t>
      </w:r>
      <w:r w:rsidR="009E3865">
        <w:rPr>
          <w:rFonts w:ascii="Arial" w:hAnsi="Arial" w:cs="Arial"/>
          <w:b/>
          <w:sz w:val="26"/>
          <w:szCs w:val="26"/>
          <w:lang w:val="es-MX"/>
        </w:rPr>
        <w:t xml:space="preserve"> </w:t>
      </w:r>
    </w:p>
    <w:p w:rsidR="00314953" w:rsidRDefault="00314953" w:rsidP="00B42BA6">
      <w:pPr>
        <w:spacing w:after="0" w:line="360" w:lineRule="auto"/>
        <w:ind w:firstLine="708"/>
        <w:jc w:val="both"/>
        <w:rPr>
          <w:rFonts w:ascii="Arial" w:hAnsi="Arial" w:cs="Arial"/>
          <w:sz w:val="26"/>
          <w:szCs w:val="26"/>
          <w:lang w:val="es-MX"/>
        </w:rPr>
      </w:pPr>
      <w:r w:rsidRPr="00E874FB">
        <w:rPr>
          <w:rFonts w:ascii="Arial" w:hAnsi="Arial" w:cs="Arial"/>
          <w:sz w:val="26"/>
          <w:szCs w:val="26"/>
          <w:lang w:val="es-MX"/>
        </w:rPr>
        <w:t xml:space="preserve">Por recibido el Cuaderno de Revisión </w:t>
      </w:r>
      <w:r w:rsidR="00A96CF9">
        <w:rPr>
          <w:rFonts w:ascii="Arial" w:hAnsi="Arial" w:cs="Arial"/>
          <w:b/>
          <w:sz w:val="26"/>
          <w:szCs w:val="26"/>
          <w:lang w:val="es-MX"/>
        </w:rPr>
        <w:t>0218/2018</w:t>
      </w:r>
      <w:r w:rsidRPr="00E874FB">
        <w:rPr>
          <w:rFonts w:ascii="Arial" w:hAnsi="Arial" w:cs="Arial"/>
          <w:sz w:val="26"/>
          <w:szCs w:val="26"/>
          <w:lang w:val="es-MX"/>
        </w:rPr>
        <w:t>, que remite la Secretaría General de Acuerdos, con motivo del recurso de revisión interpuesto por</w:t>
      </w:r>
      <w:r w:rsidR="00A96CF9">
        <w:rPr>
          <w:rFonts w:ascii="Arial" w:hAnsi="Arial" w:cs="Arial"/>
          <w:sz w:val="26"/>
          <w:szCs w:val="26"/>
          <w:lang w:val="es-MX"/>
        </w:rPr>
        <w:t xml:space="preserve"> el </w:t>
      </w:r>
      <w:r w:rsidR="00A96CF9" w:rsidRPr="00523BE4">
        <w:rPr>
          <w:rFonts w:ascii="Arial" w:hAnsi="Arial" w:cs="Arial"/>
          <w:b/>
          <w:sz w:val="26"/>
          <w:szCs w:val="26"/>
          <w:lang w:val="es-MX"/>
        </w:rPr>
        <w:t>DIRECTOR JURÍDICO DE LA SECRETEARÍA DE VIALIDAD Y TRANSPORTE DEL ESTADO DE OAXACA</w:t>
      </w:r>
      <w:r w:rsidR="00A96CF9">
        <w:rPr>
          <w:rFonts w:ascii="Arial" w:hAnsi="Arial" w:cs="Arial"/>
          <w:sz w:val="26"/>
          <w:szCs w:val="26"/>
          <w:lang w:val="es-MX"/>
        </w:rPr>
        <w:t xml:space="preserve">, y con el carácter de autoridad demandada en contra del proveído de </w:t>
      </w:r>
      <w:r w:rsidR="00523BE4">
        <w:rPr>
          <w:rFonts w:ascii="Arial" w:hAnsi="Arial" w:cs="Arial"/>
          <w:sz w:val="26"/>
          <w:szCs w:val="26"/>
          <w:lang w:val="es-MX"/>
        </w:rPr>
        <w:t>diecisiete de mayo de</w:t>
      </w:r>
      <w:r w:rsidR="00A96CF9">
        <w:rPr>
          <w:rFonts w:ascii="Arial" w:hAnsi="Arial" w:cs="Arial"/>
          <w:sz w:val="26"/>
          <w:szCs w:val="26"/>
          <w:lang w:val="es-MX"/>
        </w:rPr>
        <w:t xml:space="preserve"> dos mil dieciocho</w:t>
      </w:r>
      <w:r w:rsidR="00523BE4">
        <w:rPr>
          <w:rFonts w:ascii="Arial" w:hAnsi="Arial" w:cs="Arial"/>
          <w:sz w:val="26"/>
          <w:szCs w:val="26"/>
          <w:lang w:val="es-MX"/>
        </w:rPr>
        <w:t>,</w:t>
      </w:r>
      <w:r w:rsidR="00A96CF9">
        <w:rPr>
          <w:rFonts w:ascii="Arial" w:hAnsi="Arial" w:cs="Arial"/>
          <w:sz w:val="26"/>
          <w:szCs w:val="26"/>
          <w:lang w:val="es-MX"/>
        </w:rPr>
        <w:t xml:space="preserve"> dictado por la Quinta </w:t>
      </w:r>
      <w:r w:rsidRPr="00E874FB">
        <w:rPr>
          <w:rFonts w:ascii="Arial" w:hAnsi="Arial" w:cs="Arial"/>
          <w:sz w:val="26"/>
          <w:szCs w:val="26"/>
          <w:lang w:val="es-MX"/>
        </w:rPr>
        <w:t>Sala Unitaria de Primera Instancia</w:t>
      </w:r>
      <w:r w:rsidR="002F412D">
        <w:rPr>
          <w:rFonts w:ascii="Arial" w:hAnsi="Arial" w:cs="Arial"/>
          <w:sz w:val="26"/>
          <w:szCs w:val="26"/>
          <w:lang w:val="es-MX"/>
        </w:rPr>
        <w:t xml:space="preserve"> de</w:t>
      </w:r>
      <w:r w:rsidR="00A96CF9">
        <w:rPr>
          <w:rFonts w:ascii="Arial" w:hAnsi="Arial" w:cs="Arial"/>
          <w:sz w:val="26"/>
          <w:szCs w:val="26"/>
          <w:lang w:val="es-MX"/>
        </w:rPr>
        <w:t xml:space="preserve"> este T</w:t>
      </w:r>
      <w:r w:rsidR="002F412D">
        <w:rPr>
          <w:rFonts w:ascii="Arial" w:hAnsi="Arial" w:cs="Arial"/>
          <w:sz w:val="26"/>
          <w:szCs w:val="26"/>
          <w:lang w:val="es-MX"/>
        </w:rPr>
        <w:t xml:space="preserve">ribunal </w:t>
      </w:r>
      <w:r w:rsidRPr="00E874FB">
        <w:rPr>
          <w:rFonts w:ascii="Arial" w:hAnsi="Arial" w:cs="Arial"/>
          <w:sz w:val="26"/>
          <w:szCs w:val="26"/>
          <w:lang w:val="es-MX"/>
        </w:rPr>
        <w:t>en el juicio</w:t>
      </w:r>
      <w:r w:rsidRPr="009020E8">
        <w:rPr>
          <w:rFonts w:ascii="Arial" w:hAnsi="Arial" w:cs="Arial"/>
          <w:b/>
          <w:sz w:val="26"/>
          <w:szCs w:val="26"/>
          <w:lang w:val="es-MX"/>
        </w:rPr>
        <w:t xml:space="preserve"> </w:t>
      </w:r>
      <w:r w:rsidR="009020E8" w:rsidRPr="009020E8">
        <w:rPr>
          <w:rFonts w:ascii="Arial" w:hAnsi="Arial" w:cs="Arial"/>
          <w:b/>
          <w:sz w:val="26"/>
          <w:szCs w:val="26"/>
          <w:lang w:val="es-MX"/>
        </w:rPr>
        <w:t>0</w:t>
      </w:r>
      <w:r w:rsidR="002F412D">
        <w:rPr>
          <w:rFonts w:ascii="Arial" w:hAnsi="Arial" w:cs="Arial"/>
          <w:b/>
          <w:sz w:val="26"/>
          <w:szCs w:val="26"/>
          <w:lang w:val="es-MX"/>
        </w:rPr>
        <w:t>2</w:t>
      </w:r>
      <w:r w:rsidR="00A96CF9">
        <w:rPr>
          <w:rFonts w:ascii="Arial" w:hAnsi="Arial" w:cs="Arial"/>
          <w:b/>
          <w:sz w:val="26"/>
          <w:szCs w:val="26"/>
          <w:lang w:val="es-MX"/>
        </w:rPr>
        <w:t>64</w:t>
      </w:r>
      <w:r w:rsidR="002F412D">
        <w:rPr>
          <w:rFonts w:ascii="Arial" w:hAnsi="Arial" w:cs="Arial"/>
          <w:b/>
          <w:sz w:val="26"/>
          <w:szCs w:val="26"/>
          <w:lang w:val="es-MX"/>
        </w:rPr>
        <w:t xml:space="preserve">/2016 </w:t>
      </w:r>
      <w:r w:rsidR="002F412D" w:rsidRPr="002F412D">
        <w:rPr>
          <w:rFonts w:ascii="Arial" w:hAnsi="Arial" w:cs="Arial"/>
          <w:sz w:val="26"/>
          <w:szCs w:val="26"/>
          <w:lang w:val="es-MX"/>
        </w:rPr>
        <w:t>d</w:t>
      </w:r>
      <w:r w:rsidRPr="00E874FB">
        <w:rPr>
          <w:rFonts w:ascii="Arial" w:hAnsi="Arial" w:cs="Arial"/>
          <w:sz w:val="26"/>
          <w:szCs w:val="26"/>
          <w:lang w:val="es-MX"/>
        </w:rPr>
        <w:t xml:space="preserve">e su índice, relativo al </w:t>
      </w:r>
      <w:r w:rsidR="00523BE4">
        <w:rPr>
          <w:rFonts w:ascii="Arial" w:hAnsi="Arial" w:cs="Arial"/>
          <w:sz w:val="26"/>
          <w:szCs w:val="26"/>
          <w:lang w:val="es-MX"/>
        </w:rPr>
        <w:t xml:space="preserve">juicio de nulidad promovido por </w:t>
      </w:r>
      <w:r w:rsidR="008D6FA6">
        <w:rPr>
          <w:rFonts w:ascii="Arial" w:hAnsi="Arial" w:cs="Arial"/>
          <w:b/>
          <w:sz w:val="26"/>
          <w:szCs w:val="26"/>
          <w:lang w:val="es-MX"/>
        </w:rPr>
        <w:t>**********</w:t>
      </w:r>
      <w:r w:rsidR="00A96CF9">
        <w:rPr>
          <w:rFonts w:ascii="Arial" w:hAnsi="Arial" w:cs="Arial"/>
          <w:sz w:val="26"/>
          <w:szCs w:val="26"/>
          <w:lang w:val="es-MX"/>
        </w:rPr>
        <w:t xml:space="preserve">  en contra</w:t>
      </w:r>
      <w:r w:rsidR="002F412D">
        <w:rPr>
          <w:rFonts w:ascii="Arial" w:hAnsi="Arial" w:cs="Arial"/>
          <w:sz w:val="26"/>
          <w:szCs w:val="26"/>
          <w:lang w:val="es-MX"/>
        </w:rPr>
        <w:t xml:space="preserve"> del </w:t>
      </w:r>
      <w:r w:rsidR="00A96CF9">
        <w:rPr>
          <w:rFonts w:ascii="Arial" w:hAnsi="Arial" w:cs="Arial"/>
          <w:b/>
          <w:sz w:val="26"/>
          <w:szCs w:val="26"/>
          <w:lang w:val="es-MX"/>
        </w:rPr>
        <w:t>RECURRENTE</w:t>
      </w:r>
      <w:r w:rsidRPr="00D6635D">
        <w:rPr>
          <w:rFonts w:ascii="Arial" w:hAnsi="Arial" w:cs="Arial"/>
          <w:b/>
          <w:sz w:val="26"/>
          <w:szCs w:val="26"/>
          <w:lang w:val="es-MX"/>
        </w:rPr>
        <w:t xml:space="preserve">; </w:t>
      </w:r>
      <w:r w:rsidRPr="00D6635D">
        <w:rPr>
          <w:rFonts w:ascii="Arial" w:hAnsi="Arial" w:cs="Arial"/>
          <w:sz w:val="26"/>
          <w:szCs w:val="26"/>
          <w:lang w:val="es-MX"/>
        </w:rPr>
        <w:t xml:space="preserve">por lo que con fundamento en los artículos </w:t>
      </w:r>
      <w:r w:rsidR="00D45F25" w:rsidRPr="00D6635D">
        <w:rPr>
          <w:rFonts w:ascii="Arial" w:hAnsi="Arial" w:cs="Arial"/>
          <w:sz w:val="26"/>
          <w:szCs w:val="26"/>
          <w:lang w:val="es-MX"/>
        </w:rPr>
        <w:t>2</w:t>
      </w:r>
      <w:r w:rsidR="002F412D" w:rsidRPr="00D6635D">
        <w:rPr>
          <w:rFonts w:ascii="Arial" w:hAnsi="Arial" w:cs="Arial"/>
          <w:sz w:val="26"/>
          <w:szCs w:val="26"/>
          <w:lang w:val="es-MX"/>
        </w:rPr>
        <w:t>07 y 208 de la Ley de Justicia Administrativa para el Estado de Oaxaca</w:t>
      </w:r>
      <w:r w:rsidRPr="00D6635D">
        <w:rPr>
          <w:rFonts w:ascii="Arial" w:hAnsi="Arial" w:cs="Arial"/>
          <w:sz w:val="26"/>
          <w:szCs w:val="26"/>
          <w:lang w:val="es-MX"/>
        </w:rPr>
        <w:t xml:space="preserve">, </w:t>
      </w:r>
      <w:r w:rsidR="00523BE4">
        <w:rPr>
          <w:rFonts w:ascii="Arial" w:hAnsi="Arial" w:cs="Arial"/>
          <w:sz w:val="26"/>
          <w:szCs w:val="26"/>
          <w:lang w:val="es-MX"/>
        </w:rPr>
        <w:t xml:space="preserve">vigente hasta el veinte de octubre de dos mil diecisiete, </w:t>
      </w:r>
      <w:r w:rsidRPr="00D6635D">
        <w:rPr>
          <w:rFonts w:ascii="Arial" w:hAnsi="Arial" w:cs="Arial"/>
          <w:sz w:val="26"/>
          <w:szCs w:val="26"/>
          <w:lang w:val="es-MX"/>
        </w:rPr>
        <w:t>se admite.  En consecuencia, se procede a dictar resolución en los siguientes términos:</w:t>
      </w:r>
    </w:p>
    <w:p w:rsidR="00314953" w:rsidRPr="00E874FB" w:rsidRDefault="00314953" w:rsidP="00314953">
      <w:pPr>
        <w:spacing w:after="0" w:line="360" w:lineRule="auto"/>
        <w:ind w:firstLine="708"/>
        <w:jc w:val="both"/>
        <w:rPr>
          <w:rFonts w:ascii="Arial" w:hAnsi="Arial" w:cs="Arial"/>
          <w:sz w:val="26"/>
          <w:szCs w:val="26"/>
          <w:lang w:val="es-MX"/>
        </w:rPr>
      </w:pPr>
    </w:p>
    <w:p w:rsidR="00314953" w:rsidRPr="00E874FB" w:rsidRDefault="00314953" w:rsidP="00314953">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t>R E S U L T A N D O</w:t>
      </w:r>
    </w:p>
    <w:p w:rsidR="00314953" w:rsidRDefault="00314953" w:rsidP="00314953">
      <w:pPr>
        <w:spacing w:after="0" w:line="360" w:lineRule="auto"/>
        <w:ind w:firstLine="709"/>
        <w:jc w:val="both"/>
        <w:rPr>
          <w:rFonts w:ascii="Arial" w:hAnsi="Arial" w:cs="Arial"/>
          <w:sz w:val="26"/>
          <w:szCs w:val="26"/>
          <w:lang w:val="es-MX"/>
        </w:rPr>
      </w:pPr>
      <w:r w:rsidRPr="00E874FB">
        <w:rPr>
          <w:rFonts w:ascii="Arial" w:hAnsi="Arial" w:cs="Arial"/>
          <w:b/>
          <w:bCs/>
          <w:sz w:val="26"/>
          <w:szCs w:val="26"/>
          <w:lang w:val="es-MX"/>
        </w:rPr>
        <w:t xml:space="preserve">PRIMERO. </w:t>
      </w:r>
      <w:r w:rsidRPr="00E874FB">
        <w:rPr>
          <w:rFonts w:ascii="Arial" w:hAnsi="Arial" w:cs="Arial"/>
          <w:sz w:val="26"/>
          <w:szCs w:val="26"/>
          <w:lang w:val="es-MX"/>
        </w:rPr>
        <w:t>Inconforme con</w:t>
      </w:r>
      <w:r w:rsidR="004C18D9">
        <w:rPr>
          <w:rFonts w:ascii="Arial" w:hAnsi="Arial" w:cs="Arial"/>
          <w:sz w:val="26"/>
          <w:szCs w:val="26"/>
          <w:lang w:val="es-MX"/>
        </w:rPr>
        <w:t xml:space="preserve"> </w:t>
      </w:r>
      <w:r w:rsidR="002F412D">
        <w:rPr>
          <w:rFonts w:ascii="Arial" w:hAnsi="Arial" w:cs="Arial"/>
          <w:sz w:val="26"/>
          <w:szCs w:val="26"/>
          <w:lang w:val="es-MX"/>
        </w:rPr>
        <w:t>la</w:t>
      </w:r>
      <w:r w:rsidR="00A96CF9">
        <w:rPr>
          <w:rFonts w:ascii="Arial" w:hAnsi="Arial" w:cs="Arial"/>
          <w:sz w:val="26"/>
          <w:szCs w:val="26"/>
          <w:lang w:val="es-MX"/>
        </w:rPr>
        <w:t xml:space="preserve"> </w:t>
      </w:r>
      <w:r w:rsidR="00523BE4">
        <w:rPr>
          <w:rFonts w:ascii="Arial" w:hAnsi="Arial" w:cs="Arial"/>
          <w:sz w:val="26"/>
          <w:szCs w:val="26"/>
          <w:lang w:val="es-MX"/>
        </w:rPr>
        <w:t xml:space="preserve">parte relativa del proveído de </w:t>
      </w:r>
      <w:r w:rsidR="00A96CF9">
        <w:rPr>
          <w:rFonts w:ascii="Arial" w:hAnsi="Arial" w:cs="Arial"/>
          <w:sz w:val="26"/>
          <w:szCs w:val="26"/>
          <w:lang w:val="es-MX"/>
        </w:rPr>
        <w:t>diecisiete de mayo de dos mil dieciocho</w:t>
      </w:r>
      <w:r w:rsidR="00523BE4">
        <w:rPr>
          <w:rFonts w:ascii="Arial" w:hAnsi="Arial" w:cs="Arial"/>
          <w:sz w:val="26"/>
          <w:szCs w:val="26"/>
          <w:lang w:val="es-MX"/>
        </w:rPr>
        <w:t>,</w:t>
      </w:r>
      <w:r w:rsidR="00A96CF9">
        <w:rPr>
          <w:rFonts w:ascii="Arial" w:hAnsi="Arial" w:cs="Arial"/>
          <w:sz w:val="26"/>
          <w:szCs w:val="26"/>
          <w:lang w:val="es-MX"/>
        </w:rPr>
        <w:t xml:space="preserve"> dictado por la Quinta Sala Unitaria de Primera Instancia de este Tribunal, el </w:t>
      </w:r>
      <w:r w:rsidR="00A96CF9" w:rsidRPr="00523BE4">
        <w:rPr>
          <w:rFonts w:ascii="Arial" w:hAnsi="Arial" w:cs="Arial"/>
          <w:b/>
          <w:sz w:val="26"/>
          <w:szCs w:val="26"/>
          <w:lang w:val="es-MX"/>
        </w:rPr>
        <w:t>DIRECTOR JURÍDICO DE LA SECRETARÍA DE VIALIDAD Y TRANSPORTE EN EL ESTADO</w:t>
      </w:r>
      <w:r w:rsidR="00A96CF9">
        <w:rPr>
          <w:rFonts w:ascii="Arial" w:hAnsi="Arial" w:cs="Arial"/>
          <w:sz w:val="26"/>
          <w:szCs w:val="26"/>
          <w:lang w:val="es-MX"/>
        </w:rPr>
        <w:t xml:space="preserve"> como autoridad demandada, interpone en su contra recurso de revisión.</w:t>
      </w:r>
      <w:r w:rsidRPr="00E874FB">
        <w:rPr>
          <w:rFonts w:ascii="Arial" w:hAnsi="Arial" w:cs="Arial"/>
          <w:sz w:val="26"/>
          <w:szCs w:val="26"/>
          <w:lang w:val="es-MX"/>
        </w:rPr>
        <w:t xml:space="preserve"> </w:t>
      </w:r>
    </w:p>
    <w:p w:rsidR="004C18D9" w:rsidRPr="00E874FB" w:rsidRDefault="004C18D9" w:rsidP="00314953">
      <w:pPr>
        <w:spacing w:after="0" w:line="360" w:lineRule="auto"/>
        <w:ind w:firstLine="709"/>
        <w:jc w:val="both"/>
        <w:rPr>
          <w:rFonts w:ascii="Arial" w:hAnsi="Arial" w:cs="Arial"/>
          <w:sz w:val="26"/>
          <w:szCs w:val="26"/>
          <w:lang w:val="es-MX"/>
        </w:rPr>
      </w:pPr>
    </w:p>
    <w:p w:rsidR="00314953" w:rsidRPr="00E874FB" w:rsidRDefault="00314953" w:rsidP="00314953">
      <w:pPr>
        <w:spacing w:after="0" w:line="360" w:lineRule="auto"/>
        <w:jc w:val="both"/>
        <w:rPr>
          <w:rFonts w:ascii="Arial" w:eastAsia="Calibri" w:hAnsi="Arial" w:cs="Arial"/>
          <w:sz w:val="26"/>
          <w:szCs w:val="26"/>
          <w:lang w:val="es-MX"/>
        </w:rPr>
      </w:pPr>
      <w:r w:rsidRPr="00E874FB">
        <w:rPr>
          <w:rFonts w:ascii="Arial" w:hAnsi="Arial" w:cs="Arial"/>
          <w:b/>
          <w:bCs/>
          <w:sz w:val="26"/>
          <w:szCs w:val="26"/>
          <w:lang w:val="es-MX"/>
        </w:rPr>
        <w:tab/>
        <w:t xml:space="preserve">SEGUNDO.- </w:t>
      </w:r>
      <w:r w:rsidR="00D6635D">
        <w:rPr>
          <w:rFonts w:ascii="Arial" w:hAnsi="Arial" w:cs="Arial"/>
          <w:bCs/>
          <w:sz w:val="26"/>
          <w:szCs w:val="26"/>
          <w:lang w:val="es-MX"/>
        </w:rPr>
        <w:t>L</w:t>
      </w:r>
      <w:r w:rsidR="00A96CF9">
        <w:rPr>
          <w:rFonts w:ascii="Arial" w:hAnsi="Arial" w:cs="Arial"/>
          <w:bCs/>
          <w:sz w:val="26"/>
          <w:szCs w:val="26"/>
          <w:lang w:val="es-MX"/>
        </w:rPr>
        <w:t>a parte relativa del proveído en revisión es</w:t>
      </w:r>
      <w:r w:rsidR="00D6635D">
        <w:rPr>
          <w:rFonts w:ascii="Arial" w:hAnsi="Arial" w:cs="Arial"/>
          <w:bCs/>
          <w:sz w:val="26"/>
          <w:szCs w:val="26"/>
          <w:lang w:val="es-MX"/>
        </w:rPr>
        <w:t xml:space="preserve"> como sigue:</w:t>
      </w:r>
    </w:p>
    <w:p w:rsidR="00314953" w:rsidRDefault="00314953" w:rsidP="00314953">
      <w:pPr>
        <w:spacing w:after="0" w:line="360" w:lineRule="auto"/>
        <w:ind w:left="851" w:right="1062"/>
        <w:jc w:val="both"/>
        <w:rPr>
          <w:rFonts w:ascii="Arial" w:eastAsia="Calibri" w:hAnsi="Arial" w:cs="Arial"/>
          <w:i/>
          <w:sz w:val="24"/>
          <w:szCs w:val="24"/>
        </w:rPr>
      </w:pPr>
      <w:r>
        <w:rPr>
          <w:rFonts w:ascii="Arial" w:eastAsia="Calibri" w:hAnsi="Arial" w:cs="Arial"/>
          <w:i/>
          <w:sz w:val="24"/>
          <w:szCs w:val="24"/>
        </w:rPr>
        <w:t>“…</w:t>
      </w:r>
    </w:p>
    <w:p w:rsidR="00D6635D" w:rsidRDefault="00A96CF9" w:rsidP="008E7B2E">
      <w:pPr>
        <w:spacing w:after="0" w:line="360" w:lineRule="auto"/>
        <w:ind w:left="851" w:right="1062"/>
        <w:jc w:val="both"/>
        <w:rPr>
          <w:rFonts w:ascii="Arial" w:hAnsi="Arial" w:cs="Arial"/>
          <w:b/>
          <w:bCs/>
          <w:sz w:val="26"/>
          <w:szCs w:val="26"/>
          <w:lang w:val="es-MX"/>
        </w:rPr>
      </w:pPr>
      <w:r>
        <w:rPr>
          <w:rFonts w:ascii="Arial" w:eastAsia="Calibri" w:hAnsi="Arial" w:cs="Arial"/>
          <w:i/>
          <w:sz w:val="24"/>
          <w:szCs w:val="24"/>
        </w:rPr>
        <w:lastRenderedPageBreak/>
        <w:t>Glósese a los autos el oficio de cuenta número SEVITRA/DJ/DCAA/0883/2018 de fecha veinticuatro de abril de dos mil dieciocho (24/04/2018)</w:t>
      </w:r>
      <w:r w:rsidR="00F93485">
        <w:rPr>
          <w:rFonts w:ascii="Arial" w:eastAsia="Calibri" w:hAnsi="Arial" w:cs="Arial"/>
          <w:i/>
          <w:sz w:val="24"/>
          <w:szCs w:val="24"/>
        </w:rPr>
        <w:t xml:space="preserve">, signado por el Licenciado </w:t>
      </w:r>
      <w:proofErr w:type="spellStart"/>
      <w:r w:rsidR="00F93485">
        <w:rPr>
          <w:rFonts w:ascii="Arial" w:eastAsia="Calibri" w:hAnsi="Arial" w:cs="Arial"/>
          <w:i/>
          <w:sz w:val="24"/>
          <w:szCs w:val="24"/>
        </w:rPr>
        <w:t>Fildemar</w:t>
      </w:r>
      <w:proofErr w:type="spellEnd"/>
      <w:r w:rsidR="00F93485">
        <w:rPr>
          <w:rFonts w:ascii="Arial" w:eastAsia="Calibri" w:hAnsi="Arial" w:cs="Arial"/>
          <w:i/>
          <w:sz w:val="24"/>
          <w:szCs w:val="24"/>
        </w:rPr>
        <w:t xml:space="preserve"> Santiago Carrera, Director de la Secretaría de Vialidad  y Transporte del Estado de Oaxaca, presentado ante la Oficialía de Partes Común de este Tribunal</w:t>
      </w:r>
      <w:r w:rsidR="008E7B2E">
        <w:rPr>
          <w:rFonts w:ascii="Arial" w:eastAsia="Calibri" w:hAnsi="Arial" w:cs="Arial"/>
          <w:i/>
          <w:sz w:val="24"/>
          <w:szCs w:val="24"/>
        </w:rPr>
        <w:t xml:space="preserve"> </w:t>
      </w:r>
      <w:r w:rsidR="00F93485">
        <w:rPr>
          <w:rFonts w:ascii="Arial" w:eastAsia="Calibri" w:hAnsi="Arial" w:cs="Arial"/>
          <w:i/>
          <w:sz w:val="24"/>
          <w:szCs w:val="24"/>
        </w:rPr>
        <w:t>el veinticinco del mismo mes y año (25/04/2018); atendiendo a su contenido, téngase por acreditada la personalidad con al que comparece; sin embargo, toda vez que la citada autoridad fue omisa en exhibir copia de la demanda y anexos para el traslado de ley correspondiente tal y como se fue requerido en el proveído de fecha tres de julio de dos mil quince (03/07/2015), se le hace efectivo el apercibimiento contenido en el mismo,  teniéndosele por contestada la demanda en sentido afirmativo, salvo prueba en contrario…”</w:t>
      </w:r>
    </w:p>
    <w:p w:rsidR="00D6635D" w:rsidRDefault="00D6635D" w:rsidP="00314953">
      <w:pPr>
        <w:spacing w:after="0" w:line="360" w:lineRule="auto"/>
        <w:jc w:val="center"/>
        <w:rPr>
          <w:rFonts w:ascii="Arial" w:hAnsi="Arial" w:cs="Arial"/>
          <w:b/>
          <w:bCs/>
          <w:sz w:val="26"/>
          <w:szCs w:val="26"/>
          <w:lang w:val="es-MX"/>
        </w:rPr>
      </w:pPr>
    </w:p>
    <w:p w:rsidR="00314953" w:rsidRPr="00E874FB" w:rsidRDefault="00314953" w:rsidP="00314953">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t>C O N S I D E R A N D O</w:t>
      </w:r>
    </w:p>
    <w:p w:rsidR="00314953" w:rsidRPr="00E874FB" w:rsidRDefault="00314953" w:rsidP="00314953">
      <w:pPr>
        <w:spacing w:after="0" w:line="360" w:lineRule="auto"/>
        <w:jc w:val="center"/>
        <w:rPr>
          <w:rFonts w:ascii="Arial" w:hAnsi="Arial" w:cs="Arial"/>
          <w:b/>
          <w:bCs/>
          <w:sz w:val="26"/>
          <w:szCs w:val="26"/>
          <w:lang w:val="es-MX"/>
        </w:rPr>
      </w:pPr>
    </w:p>
    <w:p w:rsidR="00314953" w:rsidRPr="00E874FB" w:rsidRDefault="00567469" w:rsidP="00314953">
      <w:pPr>
        <w:widowControl w:val="0"/>
        <w:tabs>
          <w:tab w:val="left" w:pos="7938"/>
        </w:tabs>
        <w:spacing w:after="0" w:line="360" w:lineRule="auto"/>
        <w:ind w:right="18" w:firstLine="709"/>
        <w:jc w:val="both"/>
        <w:rPr>
          <w:rFonts w:ascii="Arial" w:hAnsi="Arial" w:cs="Arial"/>
          <w:sz w:val="26"/>
          <w:szCs w:val="26"/>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7773CEEF" wp14:editId="30D6ADB2">
                <wp:simplePos x="0" y="0"/>
                <wp:positionH relativeFrom="column">
                  <wp:posOffset>5538470</wp:posOffset>
                </wp:positionH>
                <wp:positionV relativeFrom="paragraph">
                  <wp:posOffset>2397125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67469" w:rsidRDefault="00567469" w:rsidP="0056746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6.1pt;margin-top:188.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">
                <v:textbox>
                  <w:txbxContent>
                    <w:p w:rsidR="00567469" w:rsidRDefault="00567469" w:rsidP="00567469">
                      <w:pPr>
                        <w:rPr>
                          <w:sz w:val="16"/>
                          <w:szCs w:val="16"/>
                        </w:rPr>
                      </w:pPr>
                      <w:r>
                        <w:rPr>
                          <w:sz w:val="16"/>
                          <w:szCs w:val="16"/>
                        </w:rPr>
                        <w:t>Datos personales protegidos por el Art. 116 de la LGTAIP y el Art. 56 de la LTAIPEO</w:t>
                      </w:r>
                    </w:p>
                  </w:txbxContent>
                </v:textbox>
              </v:shape>
            </w:pict>
          </mc:Fallback>
        </mc:AlternateContent>
      </w:r>
      <w:r w:rsidR="00314953" w:rsidRPr="00E874FB">
        <w:rPr>
          <w:rFonts w:ascii="Arial" w:hAnsi="Arial" w:cs="Arial"/>
          <w:b/>
          <w:bCs/>
          <w:iCs/>
          <w:sz w:val="26"/>
          <w:szCs w:val="26"/>
        </w:rPr>
        <w:t xml:space="preserve">PRIMERO. </w:t>
      </w:r>
      <w:r w:rsidR="00523BE4" w:rsidRPr="0073338E">
        <w:rPr>
          <w:rFonts w:ascii="Arial" w:hAnsi="Arial" w:cs="Arial"/>
          <w:bCs/>
          <w:iCs/>
          <w:sz w:val="26"/>
          <w:szCs w:val="26"/>
        </w:rPr>
        <w:t xml:space="preserve">Esta Sala Superior es competente para conocer del presente asunto, </w:t>
      </w:r>
      <w:r w:rsidR="00523BE4" w:rsidRPr="0073338E">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w:t>
      </w:r>
      <w:r w:rsidR="00523BE4" w:rsidRPr="00F66D81">
        <w:rPr>
          <w:rFonts w:ascii="Arial" w:hAnsi="Arial" w:cs="Arial"/>
          <w:bCs/>
          <w:iCs/>
          <w:sz w:val="26"/>
          <w:szCs w:val="26"/>
          <w:lang w:eastAsia="es-ES"/>
        </w:rPr>
        <w:t xml:space="preserve">en el Extra del Periódico Oficial del Gobierno del Estado el 16 dieciséis de enero de 2018 dos mil dieciocho, </w:t>
      </w:r>
      <w:r w:rsidR="00523BE4" w:rsidRPr="00F66D81">
        <w:rPr>
          <w:rFonts w:ascii="Arial" w:hAnsi="Arial" w:cs="Arial"/>
          <w:bCs/>
          <w:iCs/>
          <w:sz w:val="26"/>
          <w:szCs w:val="26"/>
        </w:rPr>
        <w:t xml:space="preserve">86, 88, 92, 93, fracción I, 94, 201, 206 y 208, de la Ley de Justicia Administrativa para el Estado de Oaxaca, vigente hasta el </w:t>
      </w:r>
      <w:r w:rsidR="00523BE4">
        <w:rPr>
          <w:rFonts w:ascii="Arial" w:hAnsi="Arial" w:cs="Arial"/>
          <w:bCs/>
          <w:iCs/>
          <w:sz w:val="26"/>
          <w:szCs w:val="26"/>
        </w:rPr>
        <w:t xml:space="preserve">veinte de octubre de </w:t>
      </w:r>
      <w:r w:rsidR="00523BE4" w:rsidRPr="00F66D81">
        <w:rPr>
          <w:rFonts w:ascii="Arial" w:hAnsi="Arial" w:cs="Arial"/>
          <w:bCs/>
          <w:iCs/>
          <w:sz w:val="26"/>
          <w:szCs w:val="26"/>
        </w:rPr>
        <w:t>dos mil diecisiete</w:t>
      </w:r>
      <w:r w:rsidR="00523BE4" w:rsidRPr="00983363">
        <w:rPr>
          <w:rFonts w:ascii="Arial" w:hAnsi="Arial" w:cs="Arial"/>
          <w:bCs/>
          <w:iCs/>
          <w:sz w:val="26"/>
          <w:szCs w:val="26"/>
        </w:rPr>
        <w:t>,</w:t>
      </w:r>
      <w:r w:rsidR="00523BE4">
        <w:rPr>
          <w:rFonts w:ascii="Arial" w:hAnsi="Arial" w:cs="Arial"/>
          <w:bCs/>
          <w:iCs/>
          <w:sz w:val="26"/>
          <w:szCs w:val="26"/>
        </w:rPr>
        <w:t xml:space="preserve"> </w:t>
      </w:r>
      <w:r w:rsidR="009020E8">
        <w:rPr>
          <w:rFonts w:ascii="Arial" w:hAnsi="Arial" w:cs="Arial"/>
          <w:bCs/>
          <w:iCs/>
          <w:sz w:val="26"/>
          <w:szCs w:val="26"/>
          <w:lang w:eastAsia="es-ES"/>
        </w:rPr>
        <w:t>dado que se trata de</w:t>
      </w:r>
      <w:r w:rsidR="002A1D92">
        <w:rPr>
          <w:rFonts w:ascii="Arial" w:hAnsi="Arial" w:cs="Arial"/>
          <w:bCs/>
          <w:iCs/>
          <w:sz w:val="26"/>
          <w:szCs w:val="26"/>
          <w:lang w:eastAsia="es-ES"/>
        </w:rPr>
        <w:t xml:space="preserve"> </w:t>
      </w:r>
      <w:r w:rsidR="00F93485">
        <w:rPr>
          <w:rFonts w:ascii="Arial" w:hAnsi="Arial" w:cs="Arial"/>
          <w:bCs/>
          <w:iCs/>
          <w:sz w:val="26"/>
          <w:szCs w:val="26"/>
          <w:lang w:eastAsia="es-ES"/>
        </w:rPr>
        <w:t>la p</w:t>
      </w:r>
      <w:r w:rsidR="00523BE4">
        <w:rPr>
          <w:rFonts w:ascii="Arial" w:hAnsi="Arial" w:cs="Arial"/>
          <w:bCs/>
          <w:iCs/>
          <w:sz w:val="26"/>
          <w:szCs w:val="26"/>
          <w:lang w:eastAsia="es-ES"/>
        </w:rPr>
        <w:t>arte relativa del proveído de diecisiete de mayo de</w:t>
      </w:r>
      <w:r w:rsidR="00F93485">
        <w:rPr>
          <w:rFonts w:ascii="Arial" w:hAnsi="Arial" w:cs="Arial"/>
          <w:bCs/>
          <w:iCs/>
          <w:sz w:val="26"/>
          <w:szCs w:val="26"/>
          <w:lang w:eastAsia="es-ES"/>
        </w:rPr>
        <w:t xml:space="preserve"> dos mil dieciocho</w:t>
      </w:r>
      <w:r w:rsidR="00523BE4">
        <w:rPr>
          <w:rFonts w:ascii="Arial" w:hAnsi="Arial" w:cs="Arial"/>
          <w:bCs/>
          <w:iCs/>
          <w:sz w:val="26"/>
          <w:szCs w:val="26"/>
          <w:lang w:eastAsia="es-ES"/>
        </w:rPr>
        <w:t>,</w:t>
      </w:r>
      <w:r w:rsidR="00F93485">
        <w:rPr>
          <w:rFonts w:ascii="Arial" w:hAnsi="Arial" w:cs="Arial"/>
          <w:bCs/>
          <w:iCs/>
          <w:sz w:val="26"/>
          <w:szCs w:val="26"/>
          <w:lang w:eastAsia="es-ES"/>
        </w:rPr>
        <w:t xml:space="preserve"> dictado por la</w:t>
      </w:r>
      <w:r w:rsidR="00523BE4">
        <w:rPr>
          <w:rFonts w:ascii="Arial" w:hAnsi="Arial" w:cs="Arial"/>
          <w:bCs/>
          <w:iCs/>
          <w:sz w:val="26"/>
          <w:szCs w:val="26"/>
          <w:lang w:eastAsia="es-ES"/>
        </w:rPr>
        <w:t xml:space="preserve"> </w:t>
      </w:r>
      <w:r w:rsidR="002A1D92">
        <w:rPr>
          <w:rFonts w:ascii="Arial" w:hAnsi="Arial" w:cs="Arial"/>
          <w:bCs/>
          <w:iCs/>
          <w:sz w:val="26"/>
          <w:szCs w:val="26"/>
          <w:lang w:eastAsia="es-ES"/>
        </w:rPr>
        <w:t>Quinta</w:t>
      </w:r>
      <w:r w:rsidR="00314953" w:rsidRPr="00E874FB">
        <w:rPr>
          <w:rFonts w:ascii="Arial" w:hAnsi="Arial" w:cs="Arial"/>
          <w:bCs/>
          <w:iCs/>
          <w:sz w:val="26"/>
          <w:szCs w:val="26"/>
          <w:lang w:eastAsia="es-ES"/>
        </w:rPr>
        <w:t xml:space="preserve"> Sala Unitaria de Primera Instancia relativo al juicio </w:t>
      </w:r>
      <w:r w:rsidR="00647666" w:rsidRPr="00523BE4">
        <w:rPr>
          <w:rFonts w:ascii="Arial" w:hAnsi="Arial" w:cs="Arial"/>
          <w:b/>
          <w:bCs/>
          <w:iCs/>
          <w:sz w:val="26"/>
          <w:szCs w:val="26"/>
          <w:lang w:eastAsia="es-ES"/>
        </w:rPr>
        <w:t>2</w:t>
      </w:r>
      <w:r w:rsidR="00F93485" w:rsidRPr="00523BE4">
        <w:rPr>
          <w:rFonts w:ascii="Arial" w:hAnsi="Arial" w:cs="Arial"/>
          <w:b/>
          <w:bCs/>
          <w:iCs/>
          <w:sz w:val="26"/>
          <w:szCs w:val="26"/>
          <w:lang w:eastAsia="es-ES"/>
        </w:rPr>
        <w:t>64</w:t>
      </w:r>
      <w:r w:rsidR="00647666" w:rsidRPr="00523BE4">
        <w:rPr>
          <w:rFonts w:ascii="Arial" w:hAnsi="Arial" w:cs="Arial"/>
          <w:b/>
          <w:bCs/>
          <w:iCs/>
          <w:sz w:val="26"/>
          <w:szCs w:val="26"/>
          <w:lang w:eastAsia="es-ES"/>
        </w:rPr>
        <w:t>/2016</w:t>
      </w:r>
      <w:r w:rsidR="00314953" w:rsidRPr="00E874FB">
        <w:rPr>
          <w:rFonts w:ascii="Arial" w:hAnsi="Arial" w:cs="Arial"/>
          <w:b/>
          <w:bCs/>
          <w:iCs/>
          <w:sz w:val="26"/>
          <w:szCs w:val="26"/>
          <w:lang w:eastAsia="es-ES"/>
        </w:rPr>
        <w:t>.</w:t>
      </w:r>
    </w:p>
    <w:p w:rsidR="00314953" w:rsidRPr="00E874FB" w:rsidRDefault="00314953" w:rsidP="00314953">
      <w:pPr>
        <w:widowControl w:val="0"/>
        <w:tabs>
          <w:tab w:val="left" w:pos="7938"/>
        </w:tabs>
        <w:spacing w:after="0" w:line="360" w:lineRule="auto"/>
        <w:ind w:right="18" w:firstLine="709"/>
        <w:jc w:val="both"/>
        <w:rPr>
          <w:rFonts w:ascii="Arial" w:hAnsi="Arial" w:cs="Arial"/>
          <w:sz w:val="26"/>
          <w:szCs w:val="26"/>
          <w:lang w:eastAsia="es-ES"/>
        </w:rPr>
      </w:pPr>
      <w:r w:rsidRPr="00E874FB">
        <w:rPr>
          <w:rFonts w:ascii="Arial" w:hAnsi="Arial" w:cs="Arial"/>
          <w:sz w:val="26"/>
          <w:szCs w:val="26"/>
          <w:lang w:eastAsia="es-ES"/>
        </w:rPr>
        <w:t xml:space="preserve"> </w:t>
      </w:r>
    </w:p>
    <w:p w:rsidR="00314953" w:rsidRPr="00E874FB" w:rsidRDefault="00314953" w:rsidP="00314953">
      <w:pPr>
        <w:widowControl w:val="0"/>
        <w:tabs>
          <w:tab w:val="left" w:pos="7938"/>
        </w:tabs>
        <w:spacing w:after="0" w:line="360" w:lineRule="auto"/>
        <w:ind w:right="18" w:firstLine="709"/>
        <w:jc w:val="both"/>
        <w:rPr>
          <w:rFonts w:ascii="Arial" w:hAnsi="Arial" w:cs="Arial"/>
          <w:sz w:val="26"/>
          <w:szCs w:val="26"/>
        </w:rPr>
      </w:pPr>
      <w:r w:rsidRPr="00E874FB">
        <w:rPr>
          <w:rFonts w:ascii="Arial" w:hAnsi="Arial" w:cs="Arial"/>
          <w:b/>
          <w:bCs/>
          <w:sz w:val="26"/>
          <w:szCs w:val="26"/>
          <w:lang w:val="es-MX"/>
        </w:rPr>
        <w:t>SEGUNDO.</w:t>
      </w:r>
      <w:r w:rsidRPr="00E874FB">
        <w:rPr>
          <w:rFonts w:ascii="Arial" w:hAnsi="Arial" w:cs="Arial"/>
          <w:bCs/>
          <w:sz w:val="26"/>
          <w:szCs w:val="26"/>
          <w:lang w:val="es-MX"/>
        </w:rPr>
        <w:t xml:space="preserve"> </w:t>
      </w:r>
      <w:r w:rsidRPr="00E874FB">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E874FB">
        <w:rPr>
          <w:rFonts w:ascii="Arial" w:hAnsi="Arial" w:cs="Arial"/>
          <w:sz w:val="26"/>
          <w:szCs w:val="26"/>
        </w:rPr>
        <w:t>.</w:t>
      </w:r>
    </w:p>
    <w:p w:rsidR="00314953" w:rsidRPr="00E874FB" w:rsidRDefault="00314953" w:rsidP="00314953">
      <w:pPr>
        <w:widowControl w:val="0"/>
        <w:tabs>
          <w:tab w:val="left" w:pos="7938"/>
        </w:tabs>
        <w:spacing w:after="0" w:line="360" w:lineRule="auto"/>
        <w:ind w:right="18" w:firstLine="709"/>
        <w:jc w:val="both"/>
        <w:rPr>
          <w:rFonts w:ascii="Arial" w:hAnsi="Arial" w:cs="Arial"/>
          <w:bCs/>
          <w:sz w:val="26"/>
          <w:szCs w:val="26"/>
        </w:rPr>
      </w:pPr>
    </w:p>
    <w:p w:rsidR="00466005" w:rsidRDefault="00314953" w:rsidP="00F74AD8">
      <w:pPr>
        <w:spacing w:after="0" w:line="360" w:lineRule="auto"/>
        <w:ind w:firstLine="709"/>
        <w:jc w:val="both"/>
        <w:rPr>
          <w:rFonts w:ascii="Arial" w:hAnsi="Arial" w:cs="Arial"/>
          <w:bCs/>
          <w:sz w:val="26"/>
          <w:szCs w:val="26"/>
          <w:lang w:val="es-MX"/>
        </w:rPr>
      </w:pPr>
      <w:r w:rsidRPr="00E874FB">
        <w:rPr>
          <w:rFonts w:ascii="Arial" w:hAnsi="Arial" w:cs="Arial"/>
          <w:b/>
          <w:bCs/>
          <w:sz w:val="26"/>
          <w:szCs w:val="26"/>
          <w:lang w:val="es-MX"/>
        </w:rPr>
        <w:lastRenderedPageBreak/>
        <w:t>TERCERO.</w:t>
      </w:r>
      <w:r w:rsidR="002A1D92">
        <w:rPr>
          <w:rFonts w:ascii="Arial" w:hAnsi="Arial" w:cs="Arial"/>
          <w:b/>
          <w:bCs/>
          <w:sz w:val="26"/>
          <w:szCs w:val="26"/>
          <w:lang w:val="es-MX"/>
        </w:rPr>
        <w:t xml:space="preserve"> </w:t>
      </w:r>
      <w:r w:rsidR="00F74AD8">
        <w:rPr>
          <w:rFonts w:ascii="Arial" w:hAnsi="Arial" w:cs="Arial"/>
          <w:bCs/>
          <w:sz w:val="26"/>
          <w:szCs w:val="26"/>
          <w:lang w:val="es-MX"/>
        </w:rPr>
        <w:t xml:space="preserve">Dice que le agravia la parte relativa del acuerdo en revisión en la que se le tuvo por contestada la demanda en sentido afirmativo porque los artículos 120 y 155 de la Ley de Justicia Administrativa para el Estado de Oaxaca (los transcribe) en ningún momento señalan que si omite acompañar la copia de su contestación de demanda para el traslado respectivo se le deba tener por contestada la demanda en sentido afirmativo, salvo prueba en contrario. </w:t>
      </w:r>
    </w:p>
    <w:p w:rsidR="00F74AD8" w:rsidRDefault="00F74AD8" w:rsidP="00F74AD8">
      <w:pPr>
        <w:spacing w:after="0" w:line="360" w:lineRule="auto"/>
        <w:ind w:firstLine="709"/>
        <w:jc w:val="both"/>
        <w:rPr>
          <w:rFonts w:ascii="Arial" w:hAnsi="Arial" w:cs="Arial"/>
          <w:bCs/>
          <w:sz w:val="26"/>
          <w:szCs w:val="26"/>
          <w:lang w:val="es-MX"/>
        </w:rPr>
      </w:pPr>
      <w:r>
        <w:rPr>
          <w:rFonts w:ascii="Arial" w:hAnsi="Arial" w:cs="Arial"/>
          <w:bCs/>
          <w:sz w:val="26"/>
          <w:szCs w:val="26"/>
          <w:lang w:val="es-MX"/>
        </w:rPr>
        <w:t>También indica que conforme al artículo 149 en relación con el 153 de la Ley de Justicia Administrativa para el Estado de Oaxaca (lo transcribe) y relacionados con el diverso 96 del Código de Procedimientos Civiles para el Estado de Oaxaca, debe considerarse que la presentación de la contestación de la demanda se hizo en tiempo, de acuerdo a la certificación de Oficialía de Partes Común del Tribunal</w:t>
      </w:r>
      <w:r w:rsidR="002D1762">
        <w:rPr>
          <w:rFonts w:ascii="Arial" w:hAnsi="Arial" w:cs="Arial"/>
          <w:bCs/>
          <w:sz w:val="26"/>
          <w:szCs w:val="26"/>
          <w:lang w:val="es-MX"/>
        </w:rPr>
        <w:t>, por lo que afirma, era procedente que la sala de origen lo requiriera para que exhibiera las copias de la contestación de demanda con el apercibimiento que de no hacerlo en esta ocasión, si se le tendría contestando la demanda en sentido afirmativo, salvo prueba en contrario. Como sustento de estas afirmaciones inserta el criterio de rubro: “JUICIO CONTENCIOSO ADMINISTRATIVO. DEBE REQUERIRSE A LA AUTORIDAD DEMANDADA LA EXHIBICIÓN DE LAS COPIAS DEL TRASLADO DE LA RESOLUCIÓN ADMINISTRATIVA IMPUGNADA Y DE SU NOTIFICACIÓN, CUANDO OMITA ANEXARLAS A SU CONTESTACIÓN.”</w:t>
      </w:r>
    </w:p>
    <w:p w:rsidR="002D1762" w:rsidRDefault="002D1762" w:rsidP="00F74AD8">
      <w:pPr>
        <w:spacing w:after="0" w:line="360" w:lineRule="auto"/>
        <w:ind w:firstLine="709"/>
        <w:jc w:val="both"/>
        <w:rPr>
          <w:rFonts w:ascii="Arial" w:hAnsi="Arial" w:cs="Arial"/>
          <w:bCs/>
          <w:sz w:val="26"/>
          <w:szCs w:val="26"/>
          <w:lang w:val="es-MX"/>
        </w:rPr>
      </w:pPr>
    </w:p>
    <w:p w:rsidR="002D1762" w:rsidRDefault="002D1762" w:rsidP="00F74AD8">
      <w:pPr>
        <w:spacing w:after="0" w:line="360" w:lineRule="auto"/>
        <w:ind w:firstLine="709"/>
        <w:jc w:val="both"/>
        <w:rPr>
          <w:rFonts w:ascii="Arial" w:hAnsi="Arial" w:cs="Arial"/>
          <w:bCs/>
          <w:sz w:val="26"/>
          <w:szCs w:val="26"/>
          <w:lang w:val="es-MX"/>
        </w:rPr>
      </w:pPr>
      <w:r>
        <w:rPr>
          <w:rFonts w:ascii="Arial" w:hAnsi="Arial" w:cs="Arial"/>
          <w:bCs/>
          <w:sz w:val="26"/>
          <w:szCs w:val="26"/>
          <w:lang w:val="es-MX"/>
        </w:rPr>
        <w:t xml:space="preserve">Estas expresiones son </w:t>
      </w:r>
      <w:r>
        <w:rPr>
          <w:rFonts w:ascii="Arial" w:hAnsi="Arial" w:cs="Arial"/>
          <w:b/>
          <w:bCs/>
          <w:sz w:val="26"/>
          <w:szCs w:val="26"/>
          <w:lang w:val="es-MX"/>
        </w:rPr>
        <w:t xml:space="preserve">infundadas. </w:t>
      </w:r>
    </w:p>
    <w:p w:rsidR="00CB61C5" w:rsidRDefault="00CB61C5" w:rsidP="00F74AD8">
      <w:pPr>
        <w:spacing w:after="0" w:line="360" w:lineRule="auto"/>
        <w:ind w:firstLine="709"/>
        <w:jc w:val="both"/>
        <w:rPr>
          <w:rFonts w:ascii="Arial" w:hAnsi="Arial" w:cs="Arial"/>
          <w:bCs/>
          <w:sz w:val="26"/>
          <w:szCs w:val="26"/>
          <w:lang w:val="es-MX"/>
        </w:rPr>
      </w:pPr>
    </w:p>
    <w:p w:rsidR="00CB61C5" w:rsidRDefault="00CB61C5" w:rsidP="00F74AD8">
      <w:pPr>
        <w:spacing w:after="0" w:line="360" w:lineRule="auto"/>
        <w:ind w:firstLine="709"/>
        <w:jc w:val="both"/>
        <w:rPr>
          <w:rFonts w:ascii="Arial" w:hAnsi="Arial" w:cs="Arial"/>
          <w:bCs/>
          <w:sz w:val="26"/>
          <w:szCs w:val="26"/>
          <w:lang w:val="es-MX"/>
        </w:rPr>
      </w:pPr>
      <w:r>
        <w:rPr>
          <w:rFonts w:ascii="Arial" w:hAnsi="Arial" w:cs="Arial"/>
          <w:bCs/>
          <w:sz w:val="26"/>
          <w:szCs w:val="26"/>
          <w:lang w:val="es-MX"/>
        </w:rPr>
        <w:t xml:space="preserve">Es </w:t>
      </w:r>
      <w:r w:rsidR="00CD6142">
        <w:rPr>
          <w:rFonts w:ascii="Arial" w:hAnsi="Arial" w:cs="Arial"/>
          <w:bCs/>
          <w:sz w:val="26"/>
          <w:szCs w:val="26"/>
          <w:lang w:val="es-MX"/>
        </w:rPr>
        <w:t>así porque el artículo 118 de la Ley de Justicia Administrativa para el Estado de Oaxaca prevé la suplencia de la queja tratándose del administrado, no de la demandada. Por tanto, el incumplimiento a las demás disposiciones de la Ley en cita no es optativo para las autoridades sino obligatorio.</w:t>
      </w:r>
    </w:p>
    <w:p w:rsidR="00CD6142" w:rsidRDefault="00CD6142" w:rsidP="00F74AD8">
      <w:pPr>
        <w:spacing w:after="0" w:line="360" w:lineRule="auto"/>
        <w:ind w:firstLine="709"/>
        <w:jc w:val="both"/>
        <w:rPr>
          <w:rFonts w:ascii="Arial" w:hAnsi="Arial" w:cs="Arial"/>
          <w:bCs/>
          <w:sz w:val="26"/>
          <w:szCs w:val="26"/>
          <w:lang w:val="es-MX"/>
        </w:rPr>
      </w:pPr>
      <w:r>
        <w:rPr>
          <w:rFonts w:ascii="Arial" w:hAnsi="Arial" w:cs="Arial"/>
          <w:bCs/>
          <w:sz w:val="26"/>
          <w:szCs w:val="26"/>
          <w:lang w:val="es-MX"/>
        </w:rPr>
        <w:t>Lo anterior porque el artículo 155 de la Ley de Justicia Administrativa para el Estado de Oaxaca prevé lo siguiente:</w:t>
      </w:r>
    </w:p>
    <w:p w:rsidR="00CD6142" w:rsidRDefault="00CD6142" w:rsidP="00F74AD8">
      <w:pPr>
        <w:spacing w:after="0" w:line="360" w:lineRule="auto"/>
        <w:ind w:firstLine="709"/>
        <w:jc w:val="both"/>
        <w:rPr>
          <w:rFonts w:ascii="Arial" w:hAnsi="Arial" w:cs="Arial"/>
          <w:bCs/>
          <w:sz w:val="26"/>
          <w:szCs w:val="26"/>
          <w:lang w:val="es-MX"/>
        </w:rPr>
      </w:pPr>
    </w:p>
    <w:p w:rsidR="00CD6142" w:rsidRDefault="00CD6142" w:rsidP="00F74AD8">
      <w:pPr>
        <w:spacing w:after="0" w:line="360" w:lineRule="auto"/>
        <w:ind w:firstLine="709"/>
        <w:jc w:val="both"/>
        <w:rPr>
          <w:rFonts w:ascii="Arial" w:hAnsi="Arial" w:cs="Arial"/>
          <w:bCs/>
          <w:sz w:val="26"/>
          <w:szCs w:val="26"/>
          <w:lang w:val="es-MX"/>
        </w:rPr>
      </w:pPr>
    </w:p>
    <w:p w:rsidR="00CD6142" w:rsidRDefault="00CD6142" w:rsidP="00F74AD8">
      <w:pPr>
        <w:spacing w:after="0" w:line="360" w:lineRule="auto"/>
        <w:ind w:firstLine="709"/>
        <w:jc w:val="both"/>
        <w:rPr>
          <w:rFonts w:ascii="Arial" w:hAnsi="Arial" w:cs="Arial"/>
          <w:bCs/>
          <w:sz w:val="26"/>
          <w:szCs w:val="26"/>
          <w:lang w:val="es-MX"/>
        </w:rPr>
      </w:pPr>
      <w:r>
        <w:rPr>
          <w:rFonts w:ascii="Arial" w:hAnsi="Arial" w:cs="Arial"/>
          <w:b/>
          <w:bCs/>
          <w:sz w:val="26"/>
          <w:szCs w:val="26"/>
          <w:lang w:val="es-MX"/>
        </w:rPr>
        <w:lastRenderedPageBreak/>
        <w:t xml:space="preserve">“Artículo 155.- </w:t>
      </w:r>
      <w:r>
        <w:rPr>
          <w:rFonts w:ascii="Arial" w:hAnsi="Arial" w:cs="Arial"/>
          <w:bCs/>
          <w:sz w:val="26"/>
          <w:szCs w:val="26"/>
          <w:lang w:val="es-MX"/>
        </w:rPr>
        <w:t xml:space="preserve">La parte demandada deberá adjuntar a su contestación copias de la misma y de los documentos </w:t>
      </w:r>
      <w:r>
        <w:rPr>
          <w:rFonts w:ascii="Arial" w:hAnsi="Arial" w:cs="Arial"/>
          <w:bCs/>
          <w:sz w:val="26"/>
          <w:szCs w:val="26"/>
          <w:lang w:val="es-MX"/>
        </w:rPr>
        <w:tab/>
        <w:t>que acompañe, para cada una de las demás partes”</w:t>
      </w:r>
    </w:p>
    <w:p w:rsidR="00CD6142" w:rsidRDefault="00CD6142" w:rsidP="00F74AD8">
      <w:pPr>
        <w:spacing w:after="0" w:line="360" w:lineRule="auto"/>
        <w:ind w:firstLine="709"/>
        <w:jc w:val="both"/>
        <w:rPr>
          <w:rFonts w:ascii="Arial" w:hAnsi="Arial" w:cs="Arial"/>
          <w:bCs/>
          <w:sz w:val="26"/>
          <w:szCs w:val="26"/>
          <w:lang w:val="es-MX"/>
        </w:rPr>
      </w:pPr>
    </w:p>
    <w:p w:rsidR="00CD6142" w:rsidRDefault="00CD6142" w:rsidP="00F74AD8">
      <w:pPr>
        <w:spacing w:after="0" w:line="360" w:lineRule="auto"/>
        <w:ind w:firstLine="709"/>
        <w:jc w:val="both"/>
        <w:rPr>
          <w:rFonts w:ascii="Arial" w:hAnsi="Arial" w:cs="Arial"/>
          <w:bCs/>
          <w:sz w:val="26"/>
          <w:szCs w:val="26"/>
          <w:lang w:val="es-MX"/>
        </w:rPr>
      </w:pPr>
      <w:r>
        <w:rPr>
          <w:rFonts w:ascii="Arial" w:hAnsi="Arial" w:cs="Arial"/>
          <w:bCs/>
          <w:sz w:val="26"/>
          <w:szCs w:val="26"/>
          <w:lang w:val="es-MX"/>
        </w:rPr>
        <w:t xml:space="preserve">Como se ve, dicho dispositivo prevé una obligación pues claramente indica que la parte demandada </w:t>
      </w:r>
      <w:r>
        <w:rPr>
          <w:rFonts w:ascii="Arial" w:hAnsi="Arial" w:cs="Arial"/>
          <w:b/>
          <w:bCs/>
          <w:sz w:val="26"/>
          <w:szCs w:val="26"/>
          <w:lang w:val="es-MX"/>
        </w:rPr>
        <w:t xml:space="preserve">deberá </w:t>
      </w:r>
      <w:r>
        <w:rPr>
          <w:rFonts w:ascii="Arial" w:hAnsi="Arial" w:cs="Arial"/>
          <w:bCs/>
          <w:sz w:val="26"/>
          <w:szCs w:val="26"/>
          <w:lang w:val="es-MX"/>
        </w:rPr>
        <w:t>adjuntar a su contestación copias de la misma y de los documentos que acompañe, de donde se obtiene que se trata de una carga para la parte demandada no una cuestión optativa.</w:t>
      </w:r>
    </w:p>
    <w:p w:rsidR="00CD6142" w:rsidRDefault="00CD6142" w:rsidP="00F74AD8">
      <w:pPr>
        <w:spacing w:after="0" w:line="360" w:lineRule="auto"/>
        <w:ind w:firstLine="709"/>
        <w:jc w:val="both"/>
        <w:rPr>
          <w:rFonts w:ascii="Arial" w:hAnsi="Arial" w:cs="Arial"/>
          <w:bCs/>
          <w:sz w:val="26"/>
          <w:szCs w:val="26"/>
          <w:lang w:val="es-MX"/>
        </w:rPr>
      </w:pPr>
    </w:p>
    <w:p w:rsidR="00CD6142" w:rsidRDefault="00CD6142" w:rsidP="00F74AD8">
      <w:pPr>
        <w:spacing w:after="0" w:line="360" w:lineRule="auto"/>
        <w:ind w:firstLine="709"/>
        <w:jc w:val="both"/>
        <w:rPr>
          <w:rFonts w:ascii="Arial" w:hAnsi="Arial" w:cs="Arial"/>
          <w:bCs/>
          <w:sz w:val="26"/>
          <w:szCs w:val="26"/>
          <w:lang w:val="es-MX"/>
        </w:rPr>
      </w:pPr>
      <w:r>
        <w:rPr>
          <w:rFonts w:ascii="Arial" w:hAnsi="Arial" w:cs="Arial"/>
          <w:bCs/>
          <w:sz w:val="26"/>
          <w:szCs w:val="26"/>
          <w:lang w:val="es-MX"/>
        </w:rPr>
        <w:t>Por su parte el artículo 153</w:t>
      </w:r>
      <w:r w:rsidR="00D61739">
        <w:rPr>
          <w:rFonts w:ascii="Arial" w:hAnsi="Arial" w:cs="Arial"/>
          <w:bCs/>
          <w:sz w:val="26"/>
          <w:szCs w:val="26"/>
          <w:lang w:val="es-MX"/>
        </w:rPr>
        <w:t xml:space="preserve"> segundo párrafo </w:t>
      </w:r>
      <w:r>
        <w:rPr>
          <w:rFonts w:ascii="Arial" w:hAnsi="Arial" w:cs="Arial"/>
          <w:bCs/>
          <w:sz w:val="26"/>
          <w:szCs w:val="26"/>
          <w:lang w:val="es-MX"/>
        </w:rPr>
        <w:t>de la Ley de J</w:t>
      </w:r>
      <w:r w:rsidR="00D61739">
        <w:rPr>
          <w:rFonts w:ascii="Arial" w:hAnsi="Arial" w:cs="Arial"/>
          <w:bCs/>
          <w:sz w:val="26"/>
          <w:szCs w:val="26"/>
          <w:lang w:val="es-MX"/>
        </w:rPr>
        <w:t>usticia Administrativa para el Estado de Oaxaca estatuye:</w:t>
      </w:r>
    </w:p>
    <w:p w:rsidR="00D61739" w:rsidRDefault="00D61739" w:rsidP="00F74AD8">
      <w:pPr>
        <w:spacing w:after="0" w:line="360" w:lineRule="auto"/>
        <w:ind w:firstLine="709"/>
        <w:jc w:val="both"/>
        <w:rPr>
          <w:rFonts w:ascii="Arial" w:hAnsi="Arial" w:cs="Arial"/>
          <w:bCs/>
          <w:sz w:val="26"/>
          <w:szCs w:val="26"/>
          <w:lang w:val="es-MX"/>
        </w:rPr>
      </w:pPr>
    </w:p>
    <w:p w:rsidR="00D61739" w:rsidRDefault="00D61739" w:rsidP="00F74AD8">
      <w:pPr>
        <w:spacing w:after="0" w:line="360" w:lineRule="auto"/>
        <w:ind w:firstLine="709"/>
        <w:jc w:val="both"/>
        <w:rPr>
          <w:rFonts w:ascii="Arial" w:hAnsi="Arial" w:cs="Arial"/>
          <w:b/>
          <w:bCs/>
          <w:sz w:val="26"/>
          <w:szCs w:val="26"/>
          <w:lang w:val="es-MX"/>
        </w:rPr>
      </w:pPr>
      <w:r>
        <w:rPr>
          <w:rFonts w:ascii="Arial" w:hAnsi="Arial" w:cs="Arial"/>
          <w:b/>
          <w:bCs/>
          <w:sz w:val="26"/>
          <w:szCs w:val="26"/>
          <w:lang w:val="es-MX"/>
        </w:rPr>
        <w:t>“Artículo 153.-</w:t>
      </w:r>
    </w:p>
    <w:p w:rsidR="00D61739" w:rsidRDefault="00D61739" w:rsidP="00F74AD8">
      <w:pPr>
        <w:spacing w:after="0" w:line="360" w:lineRule="auto"/>
        <w:ind w:firstLine="709"/>
        <w:jc w:val="both"/>
        <w:rPr>
          <w:rFonts w:ascii="Arial" w:hAnsi="Arial" w:cs="Arial"/>
          <w:b/>
          <w:bCs/>
          <w:sz w:val="26"/>
          <w:szCs w:val="26"/>
          <w:lang w:val="es-MX"/>
        </w:rPr>
      </w:pPr>
      <w:r>
        <w:rPr>
          <w:rFonts w:ascii="Arial" w:hAnsi="Arial" w:cs="Arial"/>
          <w:b/>
          <w:bCs/>
          <w:sz w:val="26"/>
          <w:szCs w:val="26"/>
          <w:lang w:val="es-MX"/>
        </w:rPr>
        <w:t xml:space="preserve"> …</w:t>
      </w:r>
    </w:p>
    <w:p w:rsidR="00D61739" w:rsidRDefault="00D61739" w:rsidP="00F74AD8">
      <w:pPr>
        <w:spacing w:after="0" w:line="360" w:lineRule="auto"/>
        <w:ind w:firstLine="709"/>
        <w:jc w:val="both"/>
        <w:rPr>
          <w:rFonts w:ascii="Arial" w:hAnsi="Arial" w:cs="Arial"/>
          <w:bCs/>
          <w:i/>
          <w:sz w:val="26"/>
          <w:szCs w:val="26"/>
          <w:lang w:val="es-MX"/>
        </w:rPr>
      </w:pPr>
      <w:r>
        <w:rPr>
          <w:rFonts w:ascii="Arial" w:hAnsi="Arial" w:cs="Arial"/>
          <w:bCs/>
          <w:i/>
          <w:sz w:val="26"/>
          <w:szCs w:val="26"/>
          <w:lang w:val="es-MX"/>
        </w:rPr>
        <w:t>Si la parte demandad</w:t>
      </w:r>
      <w:r w:rsidR="00AA47CA">
        <w:rPr>
          <w:rFonts w:ascii="Arial" w:hAnsi="Arial" w:cs="Arial"/>
          <w:bCs/>
          <w:i/>
          <w:sz w:val="26"/>
          <w:szCs w:val="26"/>
          <w:lang w:val="es-MX"/>
        </w:rPr>
        <w:t>a</w:t>
      </w:r>
      <w:r>
        <w:rPr>
          <w:rFonts w:ascii="Arial" w:hAnsi="Arial" w:cs="Arial"/>
          <w:bCs/>
          <w:i/>
          <w:sz w:val="26"/>
          <w:szCs w:val="26"/>
          <w:lang w:val="es-MX"/>
        </w:rPr>
        <w:t xml:space="preserve"> no produce su contestación dentro del término legal, de oficio, se declarará la preclusión del derecho correspondiente, teniendo por contestada la demanda en sentido afirmativo, salvo prueba en contrario…”</w:t>
      </w:r>
    </w:p>
    <w:p w:rsidR="00D61739" w:rsidRDefault="00D61739" w:rsidP="00F74AD8">
      <w:pPr>
        <w:spacing w:after="0" w:line="360" w:lineRule="auto"/>
        <w:ind w:firstLine="709"/>
        <w:jc w:val="both"/>
        <w:rPr>
          <w:rFonts w:ascii="Arial" w:hAnsi="Arial" w:cs="Arial"/>
          <w:bCs/>
          <w:i/>
          <w:sz w:val="26"/>
          <w:szCs w:val="26"/>
          <w:lang w:val="es-MX"/>
        </w:rPr>
      </w:pPr>
    </w:p>
    <w:p w:rsidR="00D61739" w:rsidRDefault="00D61739" w:rsidP="00F74AD8">
      <w:pPr>
        <w:spacing w:after="0" w:line="360" w:lineRule="auto"/>
        <w:ind w:firstLine="709"/>
        <w:jc w:val="both"/>
        <w:rPr>
          <w:rFonts w:ascii="Arial" w:hAnsi="Arial" w:cs="Arial"/>
          <w:bCs/>
          <w:sz w:val="26"/>
          <w:szCs w:val="26"/>
          <w:lang w:val="es-MX"/>
        </w:rPr>
      </w:pPr>
      <w:r>
        <w:rPr>
          <w:rFonts w:ascii="Arial" w:hAnsi="Arial" w:cs="Arial"/>
          <w:bCs/>
          <w:sz w:val="26"/>
          <w:szCs w:val="26"/>
          <w:lang w:val="es-MX"/>
        </w:rPr>
        <w:t xml:space="preserve">Conforme a este texto se desprende que la parte demandada está en la obligación de contestar la demanda dentro del plazo que para tal efecto prevé la norma, bajo la prevención que de no hacerlo entonces se le tendrá contestando en sentido afirmativo, salvo prueba en contrario. </w:t>
      </w:r>
    </w:p>
    <w:p w:rsidR="00D61739" w:rsidRDefault="00567469" w:rsidP="00F74AD8">
      <w:pPr>
        <w:spacing w:after="0" w:line="360" w:lineRule="auto"/>
        <w:ind w:firstLine="709"/>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41ECB9E9" wp14:editId="31A4EC26">
                <wp:simplePos x="0" y="0"/>
                <wp:positionH relativeFrom="column">
                  <wp:posOffset>5578475</wp:posOffset>
                </wp:positionH>
                <wp:positionV relativeFrom="paragraph">
                  <wp:posOffset>266700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67469" w:rsidRDefault="00567469" w:rsidP="0056746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9.25pt;margin-top:21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">
                <v:textbox>
                  <w:txbxContent>
                    <w:p w:rsidR="00567469" w:rsidRDefault="00567469" w:rsidP="00567469">
                      <w:pPr>
                        <w:rPr>
                          <w:sz w:val="16"/>
                          <w:szCs w:val="16"/>
                        </w:rPr>
                      </w:pPr>
                      <w:r>
                        <w:rPr>
                          <w:sz w:val="16"/>
                          <w:szCs w:val="16"/>
                        </w:rPr>
                        <w:t>Datos personales protegidos por el Art. 116 de la LGTAIP y el Art. 56 de la LTAIPEO</w:t>
                      </w:r>
                    </w:p>
                  </w:txbxContent>
                </v:textbox>
              </v:shape>
            </w:pict>
          </mc:Fallback>
        </mc:AlternateContent>
      </w:r>
      <w:r w:rsidR="00D61739">
        <w:rPr>
          <w:rFonts w:ascii="Arial" w:hAnsi="Arial" w:cs="Arial"/>
          <w:bCs/>
          <w:sz w:val="26"/>
          <w:szCs w:val="26"/>
          <w:lang w:val="es-MX"/>
        </w:rPr>
        <w:t xml:space="preserve">Así, de una interpretación armónica de ambos dispositivos, debe entenderse que con su contestación la parte demandada </w:t>
      </w:r>
      <w:r w:rsidR="00D61739">
        <w:rPr>
          <w:rFonts w:ascii="Arial" w:hAnsi="Arial" w:cs="Arial"/>
          <w:b/>
          <w:bCs/>
          <w:sz w:val="26"/>
          <w:szCs w:val="26"/>
          <w:lang w:val="es-MX"/>
        </w:rPr>
        <w:t xml:space="preserve">debe </w:t>
      </w:r>
      <w:r w:rsidR="00D61739">
        <w:rPr>
          <w:rFonts w:ascii="Arial" w:hAnsi="Arial" w:cs="Arial"/>
          <w:bCs/>
          <w:sz w:val="26"/>
          <w:szCs w:val="26"/>
          <w:lang w:val="es-MX"/>
        </w:rPr>
        <w:t xml:space="preserve">adjuntar a su contestación la copia de dicho escrito y de los documentos que acompañe para cada una de las partes y que deberá presentar su contestación dentro del término previsto por la norma, bajo el apercibimiento que de no hacerlo se declarara precluido su derecho correspondiente y se le tendrá contestando en sentido afirmativo, salvo prueba en contrario. En este sentido, es inconcuso que la parte demandada tiene que cumplir con ambas circunstancias para tenerlo contestando en tiempo y forma, </w:t>
      </w:r>
      <w:r w:rsidR="00D61739">
        <w:rPr>
          <w:rFonts w:ascii="Arial" w:hAnsi="Arial" w:cs="Arial"/>
          <w:b/>
          <w:bCs/>
          <w:sz w:val="26"/>
          <w:szCs w:val="26"/>
          <w:lang w:val="es-MX"/>
        </w:rPr>
        <w:t xml:space="preserve">luego </w:t>
      </w:r>
      <w:r w:rsidR="00D61739">
        <w:rPr>
          <w:rFonts w:ascii="Arial" w:hAnsi="Arial" w:cs="Arial"/>
          <w:bCs/>
          <w:sz w:val="26"/>
          <w:szCs w:val="26"/>
          <w:lang w:val="es-MX"/>
        </w:rPr>
        <w:t xml:space="preserve">no es optativo el acatamiento de tales disposiciones. </w:t>
      </w:r>
    </w:p>
    <w:p w:rsidR="00D61739" w:rsidRDefault="00D61739" w:rsidP="00F74AD8">
      <w:pPr>
        <w:spacing w:after="0" w:line="360" w:lineRule="auto"/>
        <w:ind w:firstLine="709"/>
        <w:jc w:val="both"/>
        <w:rPr>
          <w:rFonts w:ascii="Arial" w:hAnsi="Arial" w:cs="Arial"/>
          <w:bCs/>
          <w:sz w:val="26"/>
          <w:szCs w:val="26"/>
          <w:lang w:val="es-MX"/>
        </w:rPr>
      </w:pPr>
    </w:p>
    <w:p w:rsidR="006842F7" w:rsidRPr="006842F7" w:rsidRDefault="00D61739" w:rsidP="006842F7">
      <w:pPr>
        <w:spacing w:after="0" w:line="360" w:lineRule="auto"/>
        <w:ind w:firstLine="709"/>
        <w:jc w:val="both"/>
        <w:rPr>
          <w:rFonts w:ascii="Arial" w:hAnsi="Arial" w:cs="Arial"/>
          <w:b/>
          <w:bCs/>
          <w:sz w:val="26"/>
          <w:szCs w:val="26"/>
          <w:lang w:val="es-MX"/>
        </w:rPr>
      </w:pPr>
      <w:r w:rsidRPr="006842F7">
        <w:rPr>
          <w:rFonts w:ascii="Arial" w:hAnsi="Arial" w:cs="Arial"/>
          <w:bCs/>
          <w:sz w:val="26"/>
          <w:szCs w:val="26"/>
          <w:lang w:val="es-MX"/>
        </w:rPr>
        <w:lastRenderedPageBreak/>
        <w:t xml:space="preserve">Y como se anotó en líneas precedentes, la invocación que hace del derecho a subsanar su omisión, no es posible, debido a que tal prerrogativa se encuentra establecida en favor de la parte actora no de la demandada y, tomando en consideración, como ya se dijo, que el juicio es de estricto derecho y no opera la suplencia de la queja, </w:t>
      </w:r>
      <w:r w:rsidRPr="006842F7">
        <w:rPr>
          <w:rFonts w:ascii="Arial" w:hAnsi="Arial" w:cs="Arial"/>
          <w:b/>
          <w:bCs/>
          <w:sz w:val="26"/>
          <w:szCs w:val="26"/>
          <w:lang w:val="es-MX"/>
        </w:rPr>
        <w:t xml:space="preserve">entonces </w:t>
      </w:r>
      <w:r w:rsidRPr="006842F7">
        <w:rPr>
          <w:rFonts w:ascii="Arial" w:hAnsi="Arial" w:cs="Arial"/>
          <w:bCs/>
          <w:sz w:val="26"/>
          <w:szCs w:val="26"/>
          <w:lang w:val="es-MX"/>
        </w:rPr>
        <w:t xml:space="preserve">su manifestación en la que indica que debió de requerirse para que subsanara su omisión en términos del artículo 149 de la Ley de Justicia Administrativa para el Estado de Oaxaca, es </w:t>
      </w:r>
      <w:r w:rsidRPr="006842F7">
        <w:rPr>
          <w:rFonts w:ascii="Arial" w:hAnsi="Arial" w:cs="Arial"/>
          <w:b/>
          <w:bCs/>
          <w:sz w:val="26"/>
          <w:szCs w:val="26"/>
          <w:lang w:val="es-MX"/>
        </w:rPr>
        <w:t xml:space="preserve">infundada. </w:t>
      </w:r>
    </w:p>
    <w:p w:rsidR="006842F7" w:rsidRPr="006842F7" w:rsidRDefault="006842F7" w:rsidP="006842F7">
      <w:pPr>
        <w:spacing w:after="0" w:line="360" w:lineRule="auto"/>
        <w:ind w:firstLine="709"/>
        <w:jc w:val="both"/>
        <w:rPr>
          <w:rFonts w:ascii="Arial" w:hAnsi="Arial" w:cs="Arial"/>
          <w:b/>
          <w:bCs/>
          <w:sz w:val="26"/>
          <w:szCs w:val="26"/>
          <w:lang w:val="es-MX"/>
        </w:rPr>
      </w:pPr>
    </w:p>
    <w:p w:rsidR="00D61739" w:rsidRPr="006842F7" w:rsidRDefault="00D61739" w:rsidP="006842F7">
      <w:pPr>
        <w:spacing w:after="0" w:line="360" w:lineRule="auto"/>
        <w:ind w:firstLine="709"/>
        <w:jc w:val="both"/>
        <w:rPr>
          <w:rFonts w:ascii="Arial" w:hAnsi="Arial" w:cs="Arial"/>
          <w:bCs/>
          <w:sz w:val="26"/>
          <w:szCs w:val="26"/>
          <w:lang w:val="es-MX"/>
        </w:rPr>
      </w:pPr>
      <w:r w:rsidRPr="006842F7">
        <w:rPr>
          <w:rFonts w:ascii="Arial" w:hAnsi="Arial" w:cs="Arial"/>
          <w:bCs/>
          <w:sz w:val="26"/>
          <w:szCs w:val="26"/>
          <w:lang w:val="es-MX"/>
        </w:rPr>
        <w:t xml:space="preserve">Por estas razones, es inaplicable el criterio que inserta como sustento de sus expresiones. </w:t>
      </w:r>
    </w:p>
    <w:p w:rsidR="006842F7" w:rsidRPr="006842F7" w:rsidRDefault="006842F7" w:rsidP="006842F7">
      <w:pPr>
        <w:spacing w:after="0" w:line="360" w:lineRule="auto"/>
        <w:ind w:firstLine="709"/>
        <w:jc w:val="both"/>
        <w:rPr>
          <w:rFonts w:ascii="Arial" w:hAnsi="Arial" w:cs="Arial"/>
          <w:b/>
          <w:bCs/>
          <w:sz w:val="26"/>
          <w:szCs w:val="26"/>
          <w:lang w:val="es-MX"/>
        </w:rPr>
      </w:pPr>
    </w:p>
    <w:p w:rsidR="00E904FC" w:rsidRPr="006842F7" w:rsidRDefault="00E904FC" w:rsidP="006842F7">
      <w:pPr>
        <w:spacing w:line="360" w:lineRule="auto"/>
        <w:ind w:firstLine="709"/>
        <w:jc w:val="both"/>
        <w:rPr>
          <w:rFonts w:ascii="Arial" w:eastAsia="Calibri" w:hAnsi="Arial" w:cs="Arial"/>
          <w:sz w:val="26"/>
          <w:szCs w:val="26"/>
        </w:rPr>
      </w:pPr>
      <w:r w:rsidRPr="006842F7">
        <w:rPr>
          <w:rFonts w:ascii="Arial" w:hAnsi="Arial" w:cs="Arial"/>
          <w:sz w:val="26"/>
          <w:szCs w:val="26"/>
        </w:rPr>
        <w:t xml:space="preserve">Por las narradas consideraciones se </w:t>
      </w:r>
      <w:r w:rsidR="00D61739" w:rsidRPr="006842F7">
        <w:rPr>
          <w:rFonts w:ascii="Arial" w:hAnsi="Arial" w:cs="Arial"/>
          <w:b/>
          <w:sz w:val="26"/>
          <w:szCs w:val="26"/>
        </w:rPr>
        <w:t>CONFIRMA</w:t>
      </w:r>
      <w:r w:rsidRPr="006842F7">
        <w:rPr>
          <w:rFonts w:ascii="Arial" w:hAnsi="Arial" w:cs="Arial"/>
          <w:b/>
          <w:sz w:val="26"/>
          <w:szCs w:val="26"/>
        </w:rPr>
        <w:t xml:space="preserve"> </w:t>
      </w:r>
      <w:r w:rsidRPr="006842F7">
        <w:rPr>
          <w:rFonts w:ascii="Arial" w:hAnsi="Arial" w:cs="Arial"/>
          <w:sz w:val="26"/>
          <w:szCs w:val="26"/>
        </w:rPr>
        <w:t>la</w:t>
      </w:r>
      <w:r w:rsidR="00D61739" w:rsidRPr="006842F7">
        <w:rPr>
          <w:rFonts w:ascii="Arial" w:hAnsi="Arial" w:cs="Arial"/>
          <w:sz w:val="26"/>
          <w:szCs w:val="26"/>
        </w:rPr>
        <w:t xml:space="preserve"> parte relativa del proveído de </w:t>
      </w:r>
      <w:r w:rsidR="006842F7" w:rsidRPr="006842F7">
        <w:rPr>
          <w:rFonts w:ascii="Arial" w:hAnsi="Arial" w:cs="Arial"/>
          <w:sz w:val="26"/>
          <w:szCs w:val="26"/>
        </w:rPr>
        <w:t>diecisiete de mayo de</w:t>
      </w:r>
      <w:r w:rsidR="00D61739" w:rsidRPr="006842F7">
        <w:rPr>
          <w:rFonts w:ascii="Arial" w:hAnsi="Arial" w:cs="Arial"/>
          <w:sz w:val="26"/>
          <w:szCs w:val="26"/>
        </w:rPr>
        <w:t xml:space="preserve"> dos mil dieciocho</w:t>
      </w:r>
      <w:r w:rsidRPr="006842F7">
        <w:rPr>
          <w:rFonts w:ascii="Arial" w:hAnsi="Arial" w:cs="Arial"/>
          <w:sz w:val="26"/>
          <w:szCs w:val="26"/>
        </w:rPr>
        <w:t xml:space="preserve">, </w:t>
      </w:r>
      <w:r w:rsidRPr="006842F7">
        <w:rPr>
          <w:rFonts w:ascii="Arial" w:eastAsia="Calibri" w:hAnsi="Arial" w:cs="Arial"/>
          <w:sz w:val="26"/>
          <w:szCs w:val="26"/>
        </w:rPr>
        <w:t xml:space="preserve">con fundamento en los artículos 207 y 208 de la Ley de Justicia Administrativa para el Estado, </w:t>
      </w:r>
      <w:r w:rsidR="006842F7">
        <w:rPr>
          <w:rFonts w:ascii="Arial" w:eastAsia="Calibri" w:hAnsi="Arial" w:cs="Arial"/>
          <w:sz w:val="26"/>
          <w:szCs w:val="26"/>
        </w:rPr>
        <w:t xml:space="preserve">vigente hasta el veinte de octubre de dos mil diecisiete, </w:t>
      </w:r>
      <w:r w:rsidRPr="006842F7">
        <w:rPr>
          <w:rFonts w:ascii="Arial" w:eastAsia="Calibri" w:hAnsi="Arial" w:cs="Arial"/>
          <w:sz w:val="26"/>
          <w:szCs w:val="26"/>
        </w:rPr>
        <w:t>se:</w:t>
      </w:r>
    </w:p>
    <w:p w:rsidR="00314953" w:rsidRDefault="00314953" w:rsidP="006842F7">
      <w:pPr>
        <w:tabs>
          <w:tab w:val="left" w:pos="1134"/>
        </w:tabs>
        <w:spacing w:after="0" w:line="360" w:lineRule="auto"/>
        <w:jc w:val="center"/>
        <w:rPr>
          <w:rFonts w:ascii="Arial" w:eastAsia="Calibri" w:hAnsi="Arial" w:cs="Arial"/>
          <w:b/>
          <w:sz w:val="26"/>
          <w:szCs w:val="26"/>
        </w:rPr>
      </w:pPr>
      <w:r w:rsidRPr="006842F7">
        <w:rPr>
          <w:rFonts w:ascii="Arial" w:eastAsia="Calibri" w:hAnsi="Arial" w:cs="Arial"/>
          <w:b/>
          <w:sz w:val="26"/>
          <w:szCs w:val="26"/>
        </w:rPr>
        <w:t>R E S U E L V E</w:t>
      </w:r>
    </w:p>
    <w:p w:rsidR="006842F7" w:rsidRPr="006842F7" w:rsidRDefault="006842F7" w:rsidP="006842F7">
      <w:pPr>
        <w:tabs>
          <w:tab w:val="left" w:pos="1134"/>
        </w:tabs>
        <w:spacing w:after="0" w:line="360" w:lineRule="auto"/>
        <w:jc w:val="center"/>
        <w:rPr>
          <w:rFonts w:ascii="Arial" w:eastAsia="Calibri" w:hAnsi="Arial" w:cs="Arial"/>
          <w:b/>
          <w:sz w:val="26"/>
          <w:szCs w:val="26"/>
        </w:rPr>
      </w:pPr>
    </w:p>
    <w:p w:rsidR="00314953" w:rsidRPr="006842F7" w:rsidRDefault="00314953" w:rsidP="00314953">
      <w:pPr>
        <w:spacing w:after="0" w:line="360" w:lineRule="auto"/>
        <w:ind w:firstLine="708"/>
        <w:jc w:val="both"/>
        <w:rPr>
          <w:rFonts w:ascii="Arial" w:eastAsia="Calibri" w:hAnsi="Arial" w:cs="Arial"/>
          <w:sz w:val="26"/>
          <w:szCs w:val="26"/>
        </w:rPr>
      </w:pPr>
      <w:r w:rsidRPr="006842F7">
        <w:rPr>
          <w:rFonts w:ascii="Arial" w:eastAsia="Calibri" w:hAnsi="Arial" w:cs="Arial"/>
          <w:b/>
          <w:sz w:val="26"/>
          <w:szCs w:val="26"/>
        </w:rPr>
        <w:t>PRIMERO</w:t>
      </w:r>
      <w:r w:rsidRPr="006842F7">
        <w:rPr>
          <w:rFonts w:ascii="Arial" w:eastAsia="Calibri" w:hAnsi="Arial" w:cs="Arial"/>
          <w:sz w:val="26"/>
          <w:szCs w:val="26"/>
        </w:rPr>
        <w:t xml:space="preserve">. Se </w:t>
      </w:r>
      <w:r w:rsidR="00D61739" w:rsidRPr="006842F7">
        <w:rPr>
          <w:rFonts w:ascii="Arial" w:eastAsia="Calibri" w:hAnsi="Arial" w:cs="Arial"/>
          <w:b/>
          <w:sz w:val="26"/>
          <w:szCs w:val="26"/>
        </w:rPr>
        <w:t xml:space="preserve">CONFIRMA </w:t>
      </w:r>
      <w:r w:rsidR="00D61739" w:rsidRPr="006842F7">
        <w:rPr>
          <w:rFonts w:ascii="Arial" w:eastAsia="Calibri" w:hAnsi="Arial" w:cs="Arial"/>
          <w:sz w:val="26"/>
          <w:szCs w:val="26"/>
        </w:rPr>
        <w:t xml:space="preserve">la parte relativa del proveído de </w:t>
      </w:r>
      <w:r w:rsidR="006842F7">
        <w:rPr>
          <w:rFonts w:ascii="Arial" w:eastAsia="Calibri" w:hAnsi="Arial" w:cs="Arial"/>
          <w:sz w:val="26"/>
          <w:szCs w:val="26"/>
        </w:rPr>
        <w:t>diecisiete de mayo de</w:t>
      </w:r>
      <w:r w:rsidR="00D61739" w:rsidRPr="006842F7">
        <w:rPr>
          <w:rFonts w:ascii="Arial" w:eastAsia="Calibri" w:hAnsi="Arial" w:cs="Arial"/>
          <w:sz w:val="26"/>
          <w:szCs w:val="26"/>
        </w:rPr>
        <w:t xml:space="preserve"> dos mil dieciocho</w:t>
      </w:r>
      <w:r w:rsidRPr="006842F7">
        <w:rPr>
          <w:rFonts w:ascii="Arial" w:eastAsia="Calibri" w:hAnsi="Arial" w:cs="Arial"/>
          <w:sz w:val="26"/>
          <w:szCs w:val="26"/>
        </w:rPr>
        <w:t xml:space="preserve">, como se apuntó en el </w:t>
      </w:r>
      <w:r w:rsidRPr="006842F7">
        <w:rPr>
          <w:rFonts w:ascii="Arial" w:eastAsia="Calibri" w:hAnsi="Arial" w:cs="Arial"/>
          <w:sz w:val="26"/>
          <w:szCs w:val="26"/>
          <w:lang w:eastAsia="es-ES"/>
        </w:rPr>
        <w:t>considerando que antecede</w:t>
      </w:r>
      <w:r w:rsidRPr="006842F7">
        <w:rPr>
          <w:rFonts w:ascii="Arial" w:eastAsia="Calibri" w:hAnsi="Arial" w:cs="Arial"/>
          <w:sz w:val="26"/>
          <w:szCs w:val="26"/>
        </w:rPr>
        <w:t xml:space="preserve">. </w:t>
      </w:r>
    </w:p>
    <w:p w:rsidR="00314953" w:rsidRPr="006842F7" w:rsidRDefault="00314953" w:rsidP="00314953">
      <w:pPr>
        <w:spacing w:after="0" w:line="360" w:lineRule="auto"/>
        <w:ind w:firstLine="708"/>
        <w:jc w:val="both"/>
        <w:rPr>
          <w:rFonts w:ascii="Arial" w:eastAsia="Calibri" w:hAnsi="Arial" w:cs="Arial"/>
          <w:sz w:val="26"/>
          <w:szCs w:val="26"/>
        </w:rPr>
      </w:pPr>
    </w:p>
    <w:p w:rsidR="00314953" w:rsidRDefault="00314953" w:rsidP="00314953">
      <w:pPr>
        <w:spacing w:after="0" w:line="360" w:lineRule="auto"/>
        <w:ind w:firstLine="708"/>
        <w:jc w:val="both"/>
        <w:rPr>
          <w:rFonts w:ascii="Arial" w:eastAsia="Calibri" w:hAnsi="Arial" w:cs="Arial"/>
          <w:sz w:val="26"/>
          <w:szCs w:val="26"/>
        </w:rPr>
      </w:pPr>
      <w:r w:rsidRPr="006842F7">
        <w:rPr>
          <w:rFonts w:ascii="Arial" w:hAnsi="Arial" w:cs="Arial"/>
          <w:b/>
          <w:sz w:val="26"/>
          <w:szCs w:val="26"/>
        </w:rPr>
        <w:t>SEGUNDO. NOTIFÍQUESE Y CÚMPLASE,</w:t>
      </w:r>
      <w:r w:rsidRPr="006842F7">
        <w:rPr>
          <w:rFonts w:ascii="Arial" w:hAnsi="Arial" w:cs="Arial"/>
          <w:sz w:val="26"/>
          <w:szCs w:val="26"/>
        </w:rPr>
        <w:t xml:space="preserve"> con copia certificada de la presente resolución, vuelvan las constancias remitidas a la </w:t>
      </w:r>
      <w:r w:rsidR="00466005" w:rsidRPr="006842F7">
        <w:rPr>
          <w:rFonts w:ascii="Arial" w:hAnsi="Arial" w:cs="Arial"/>
          <w:sz w:val="26"/>
          <w:szCs w:val="26"/>
        </w:rPr>
        <w:t>Quinta</w:t>
      </w:r>
      <w:r w:rsidRPr="006842F7">
        <w:rPr>
          <w:rFonts w:ascii="Arial" w:hAnsi="Arial" w:cs="Arial"/>
          <w:sz w:val="26"/>
          <w:szCs w:val="26"/>
        </w:rPr>
        <w:t xml:space="preserve">  Sala Unitaria de Primera Instancia, </w:t>
      </w:r>
      <w:r w:rsidRPr="006842F7">
        <w:rPr>
          <w:rFonts w:ascii="Arial" w:eastAsia="Calibri" w:hAnsi="Arial" w:cs="Arial"/>
          <w:sz w:val="26"/>
          <w:szCs w:val="26"/>
        </w:rPr>
        <w:t>y en su oportunidad archívese el cuaderno de revisión como concluido.</w:t>
      </w:r>
    </w:p>
    <w:p w:rsidR="006842F7" w:rsidRPr="006842F7" w:rsidRDefault="006842F7" w:rsidP="00314953">
      <w:pPr>
        <w:spacing w:after="0" w:line="360" w:lineRule="auto"/>
        <w:ind w:firstLine="708"/>
        <w:jc w:val="both"/>
        <w:rPr>
          <w:rFonts w:ascii="Arial" w:eastAsia="Calibri" w:hAnsi="Arial" w:cs="Arial"/>
          <w:sz w:val="26"/>
          <w:szCs w:val="26"/>
        </w:rPr>
      </w:pPr>
    </w:p>
    <w:p w:rsidR="002A43A4" w:rsidRPr="006842F7" w:rsidRDefault="002A43A4" w:rsidP="002A43A4">
      <w:pPr>
        <w:tabs>
          <w:tab w:val="left" w:pos="1985"/>
        </w:tabs>
        <w:spacing w:line="360" w:lineRule="auto"/>
        <w:ind w:firstLine="708"/>
        <w:jc w:val="both"/>
        <w:rPr>
          <w:rFonts w:ascii="Arial" w:eastAsiaTheme="minorEastAsia" w:hAnsi="Arial" w:cs="Arial"/>
          <w:sz w:val="26"/>
          <w:szCs w:val="26"/>
          <w:lang w:eastAsia="es-MX"/>
        </w:rPr>
      </w:pPr>
      <w:r w:rsidRPr="006842F7">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2A43A4" w:rsidRDefault="002A43A4" w:rsidP="002A43A4">
      <w:pPr>
        <w:tabs>
          <w:tab w:val="left" w:pos="1985"/>
        </w:tabs>
        <w:spacing w:line="360" w:lineRule="auto"/>
        <w:jc w:val="both"/>
        <w:rPr>
          <w:rFonts w:ascii="Arial" w:eastAsiaTheme="minorEastAsia" w:hAnsi="Arial" w:cs="Arial"/>
          <w:sz w:val="26"/>
          <w:szCs w:val="26"/>
          <w:lang w:eastAsia="es-MX"/>
        </w:rPr>
      </w:pPr>
    </w:p>
    <w:p w:rsidR="002A43A4" w:rsidRPr="007433DD" w:rsidRDefault="002A43A4" w:rsidP="002A43A4">
      <w:pPr>
        <w:tabs>
          <w:tab w:val="left" w:pos="1985"/>
        </w:tabs>
        <w:spacing w:line="360" w:lineRule="auto"/>
        <w:ind w:firstLine="708"/>
        <w:jc w:val="both"/>
        <w:rPr>
          <w:rFonts w:ascii="Arial" w:hAnsi="Arial" w:cs="Arial"/>
          <w:bCs/>
          <w:sz w:val="26"/>
          <w:szCs w:val="26"/>
        </w:rPr>
      </w:pPr>
    </w:p>
    <w:p w:rsidR="002A43A4" w:rsidRPr="008E57C1" w:rsidRDefault="002A43A4" w:rsidP="006842F7">
      <w:pPr>
        <w:spacing w:after="0"/>
        <w:jc w:val="center"/>
        <w:rPr>
          <w:rFonts w:ascii="Arial" w:hAnsi="Arial" w:cs="Arial"/>
          <w:sz w:val="26"/>
          <w:szCs w:val="26"/>
        </w:rPr>
      </w:pPr>
      <w:r w:rsidRPr="008E57C1">
        <w:rPr>
          <w:rFonts w:ascii="Arial" w:hAnsi="Arial" w:cs="Arial"/>
          <w:sz w:val="26"/>
          <w:szCs w:val="26"/>
        </w:rPr>
        <w:t>MAGISTRADO ADRIÁN QUIROGA AVENDAÑO.</w:t>
      </w:r>
    </w:p>
    <w:p w:rsidR="002A43A4" w:rsidRDefault="002A43A4" w:rsidP="006842F7">
      <w:pPr>
        <w:spacing w:after="0"/>
        <w:jc w:val="center"/>
        <w:rPr>
          <w:rFonts w:ascii="Arial" w:hAnsi="Arial" w:cs="Arial"/>
          <w:sz w:val="26"/>
          <w:szCs w:val="26"/>
        </w:rPr>
      </w:pPr>
      <w:r w:rsidRPr="008E57C1">
        <w:rPr>
          <w:rFonts w:ascii="Arial" w:hAnsi="Arial" w:cs="Arial"/>
          <w:sz w:val="26"/>
          <w:szCs w:val="26"/>
        </w:rPr>
        <w:t>PRESIDENTE</w:t>
      </w:r>
    </w:p>
    <w:p w:rsidR="002A43A4" w:rsidRPr="008E57C1" w:rsidRDefault="002A43A4" w:rsidP="002A43A4">
      <w:pPr>
        <w:spacing w:line="360" w:lineRule="auto"/>
        <w:rPr>
          <w:rFonts w:ascii="Arial" w:hAnsi="Arial" w:cs="Arial"/>
          <w:sz w:val="26"/>
          <w:szCs w:val="26"/>
        </w:rPr>
      </w:pPr>
    </w:p>
    <w:p w:rsidR="006842F7" w:rsidRDefault="006842F7" w:rsidP="006842F7">
      <w:pPr>
        <w:spacing w:line="360" w:lineRule="auto"/>
        <w:jc w:val="center"/>
        <w:rPr>
          <w:rFonts w:ascii="Arial" w:hAnsi="Arial" w:cs="Arial"/>
          <w:b/>
          <w:sz w:val="14"/>
          <w:szCs w:val="26"/>
        </w:rPr>
      </w:pPr>
      <w:r w:rsidRPr="00F6195F">
        <w:rPr>
          <w:rFonts w:ascii="Arial" w:hAnsi="Arial" w:cs="Arial"/>
          <w:b/>
          <w:sz w:val="14"/>
          <w:szCs w:val="26"/>
        </w:rPr>
        <w:lastRenderedPageBreak/>
        <w:t>LAS PRESENTES FIRMAS CORRES</w:t>
      </w:r>
      <w:r>
        <w:rPr>
          <w:rFonts w:ascii="Arial" w:hAnsi="Arial" w:cs="Arial"/>
          <w:b/>
          <w:sz w:val="14"/>
          <w:szCs w:val="26"/>
        </w:rPr>
        <w:t>PONDEN AL RECURSO DE REVISIÓN 218/2018</w:t>
      </w:r>
    </w:p>
    <w:p w:rsidR="002A43A4" w:rsidRDefault="002A43A4" w:rsidP="002A43A4">
      <w:pPr>
        <w:spacing w:line="360" w:lineRule="auto"/>
        <w:rPr>
          <w:rFonts w:ascii="Arial" w:hAnsi="Arial" w:cs="Arial"/>
          <w:sz w:val="26"/>
          <w:szCs w:val="26"/>
        </w:rPr>
      </w:pPr>
    </w:p>
    <w:p w:rsidR="002A43A4" w:rsidRDefault="002A43A4" w:rsidP="006842F7">
      <w:pPr>
        <w:spacing w:line="360" w:lineRule="auto"/>
        <w:rPr>
          <w:rFonts w:ascii="Arial" w:hAnsi="Arial" w:cs="Arial"/>
          <w:sz w:val="26"/>
          <w:szCs w:val="26"/>
        </w:rPr>
      </w:pPr>
    </w:p>
    <w:p w:rsidR="002A43A4" w:rsidRDefault="002A43A4" w:rsidP="002E61FD">
      <w:pPr>
        <w:spacing w:line="360" w:lineRule="auto"/>
        <w:ind w:left="708"/>
        <w:jc w:val="center"/>
        <w:rPr>
          <w:rFonts w:ascii="Arial" w:hAnsi="Arial" w:cs="Arial"/>
          <w:sz w:val="26"/>
          <w:szCs w:val="26"/>
        </w:rPr>
      </w:pPr>
    </w:p>
    <w:p w:rsidR="002A43A4" w:rsidRPr="008E57C1" w:rsidRDefault="002A43A4" w:rsidP="002A43A4">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2A43A4" w:rsidRDefault="002A43A4" w:rsidP="002A43A4">
      <w:pPr>
        <w:spacing w:line="360" w:lineRule="auto"/>
        <w:rPr>
          <w:rFonts w:ascii="Arial" w:hAnsi="Arial" w:cs="Arial"/>
          <w:sz w:val="26"/>
          <w:szCs w:val="26"/>
        </w:rPr>
      </w:pPr>
    </w:p>
    <w:p w:rsidR="002A43A4" w:rsidRDefault="002A43A4" w:rsidP="002A43A4">
      <w:pPr>
        <w:spacing w:line="360" w:lineRule="auto"/>
        <w:rPr>
          <w:rFonts w:ascii="Arial" w:hAnsi="Arial" w:cs="Arial"/>
          <w:sz w:val="26"/>
          <w:szCs w:val="26"/>
        </w:rPr>
      </w:pPr>
    </w:p>
    <w:p w:rsidR="002A43A4" w:rsidRPr="008E57C1" w:rsidRDefault="002A43A4" w:rsidP="002A43A4">
      <w:pPr>
        <w:spacing w:line="360" w:lineRule="auto"/>
        <w:rPr>
          <w:rFonts w:ascii="Arial" w:hAnsi="Arial" w:cs="Arial"/>
          <w:sz w:val="26"/>
          <w:szCs w:val="26"/>
        </w:rPr>
      </w:pPr>
    </w:p>
    <w:p w:rsidR="002A43A4" w:rsidRDefault="002A43A4" w:rsidP="002A43A4">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2A43A4" w:rsidRDefault="002A43A4" w:rsidP="002A43A4">
      <w:pPr>
        <w:spacing w:line="360" w:lineRule="auto"/>
        <w:rPr>
          <w:rFonts w:ascii="Arial" w:hAnsi="Arial" w:cs="Arial"/>
          <w:sz w:val="26"/>
          <w:szCs w:val="26"/>
        </w:rPr>
      </w:pPr>
    </w:p>
    <w:p w:rsidR="006842F7" w:rsidRDefault="006842F7" w:rsidP="002A43A4">
      <w:pPr>
        <w:spacing w:line="360" w:lineRule="auto"/>
        <w:rPr>
          <w:rFonts w:ascii="Arial" w:hAnsi="Arial" w:cs="Arial"/>
          <w:sz w:val="26"/>
          <w:szCs w:val="26"/>
        </w:rPr>
      </w:pPr>
    </w:p>
    <w:p w:rsidR="002A43A4" w:rsidRPr="008E57C1" w:rsidRDefault="002A43A4" w:rsidP="002A43A4">
      <w:pPr>
        <w:spacing w:line="360" w:lineRule="auto"/>
        <w:rPr>
          <w:rFonts w:ascii="Arial" w:hAnsi="Arial" w:cs="Arial"/>
          <w:sz w:val="26"/>
          <w:szCs w:val="26"/>
        </w:rPr>
      </w:pPr>
    </w:p>
    <w:p w:rsidR="002A43A4" w:rsidRPr="008E57C1" w:rsidRDefault="002A43A4" w:rsidP="002A43A4">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2A43A4" w:rsidRDefault="002A43A4" w:rsidP="002A43A4">
      <w:pPr>
        <w:jc w:val="center"/>
        <w:rPr>
          <w:rFonts w:ascii="Arial" w:eastAsiaTheme="minorEastAsia" w:hAnsi="Arial" w:cs="Arial"/>
          <w:sz w:val="26"/>
          <w:szCs w:val="26"/>
          <w:lang w:eastAsia="es-MX"/>
        </w:rPr>
      </w:pPr>
    </w:p>
    <w:p w:rsidR="002A43A4" w:rsidRDefault="002A43A4" w:rsidP="002A43A4">
      <w:pPr>
        <w:rPr>
          <w:rFonts w:ascii="Arial" w:eastAsiaTheme="minorEastAsia" w:hAnsi="Arial" w:cs="Arial"/>
          <w:sz w:val="26"/>
          <w:szCs w:val="26"/>
          <w:lang w:eastAsia="es-MX"/>
        </w:rPr>
      </w:pPr>
    </w:p>
    <w:p w:rsidR="002A43A4" w:rsidRPr="008E57C1" w:rsidRDefault="002A43A4" w:rsidP="002A43A4">
      <w:pPr>
        <w:rPr>
          <w:rFonts w:ascii="Arial" w:eastAsiaTheme="minorEastAsia" w:hAnsi="Arial" w:cs="Arial"/>
          <w:sz w:val="26"/>
          <w:szCs w:val="26"/>
          <w:lang w:eastAsia="es-MX"/>
        </w:rPr>
      </w:pPr>
    </w:p>
    <w:p w:rsidR="002A43A4" w:rsidRPr="008E57C1" w:rsidRDefault="002A43A4" w:rsidP="002A43A4">
      <w:pPr>
        <w:jc w:val="center"/>
        <w:rPr>
          <w:rFonts w:ascii="Arial" w:eastAsiaTheme="minorEastAsia" w:hAnsi="Arial" w:cs="Arial"/>
          <w:sz w:val="26"/>
          <w:szCs w:val="26"/>
          <w:lang w:eastAsia="es-MX"/>
        </w:rPr>
      </w:pPr>
    </w:p>
    <w:p w:rsidR="002A43A4" w:rsidRPr="008E57C1" w:rsidRDefault="002A43A4" w:rsidP="002A43A4">
      <w:pPr>
        <w:jc w:val="center"/>
        <w:rPr>
          <w:rFonts w:ascii="Arial" w:hAnsi="Arial" w:cs="Arial"/>
          <w:sz w:val="26"/>
          <w:szCs w:val="26"/>
        </w:rPr>
      </w:pPr>
      <w:r w:rsidRPr="008E57C1">
        <w:rPr>
          <w:rFonts w:ascii="Arial" w:eastAsiaTheme="minorEastAsia" w:hAnsi="Arial" w:cs="Arial"/>
          <w:sz w:val="26"/>
          <w:szCs w:val="26"/>
          <w:lang w:eastAsia="es-MX"/>
        </w:rPr>
        <w:t>MAGISTRADO MANUEL VELASCO ALCÁNTARA</w:t>
      </w:r>
    </w:p>
    <w:p w:rsidR="002A43A4" w:rsidRPr="008E57C1" w:rsidRDefault="002A43A4" w:rsidP="002A43A4">
      <w:pPr>
        <w:rPr>
          <w:rFonts w:ascii="Arial" w:hAnsi="Arial" w:cs="Arial"/>
          <w:sz w:val="26"/>
          <w:szCs w:val="26"/>
        </w:rPr>
      </w:pPr>
    </w:p>
    <w:p w:rsidR="002A43A4" w:rsidRDefault="00567469" w:rsidP="002A43A4">
      <w:pPr>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353D99C5" wp14:editId="1740E606">
                <wp:simplePos x="0" y="0"/>
                <wp:positionH relativeFrom="column">
                  <wp:posOffset>5570220</wp:posOffset>
                </wp:positionH>
                <wp:positionV relativeFrom="paragraph">
                  <wp:posOffset>187325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67469" w:rsidRDefault="00567469" w:rsidP="0056746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margin-left:438.6pt;margin-top:14.7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">
                <v:textbox>
                  <w:txbxContent>
                    <w:p w:rsidR="00567469" w:rsidRDefault="00567469" w:rsidP="00567469">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2A43A4" w:rsidRDefault="002A43A4" w:rsidP="002A43A4">
      <w:pPr>
        <w:rPr>
          <w:rFonts w:ascii="Arial" w:hAnsi="Arial" w:cs="Arial"/>
          <w:sz w:val="26"/>
          <w:szCs w:val="26"/>
        </w:rPr>
      </w:pPr>
    </w:p>
    <w:p w:rsidR="002A43A4" w:rsidRPr="008E57C1" w:rsidRDefault="002A43A4" w:rsidP="002A43A4">
      <w:pPr>
        <w:rPr>
          <w:rFonts w:ascii="Arial" w:hAnsi="Arial" w:cs="Arial"/>
          <w:sz w:val="26"/>
          <w:szCs w:val="26"/>
        </w:rPr>
      </w:pPr>
    </w:p>
    <w:p w:rsidR="002A43A4" w:rsidRPr="008E57C1" w:rsidRDefault="002A43A4" w:rsidP="006842F7">
      <w:pPr>
        <w:spacing w:after="0"/>
        <w:jc w:val="center"/>
        <w:rPr>
          <w:rFonts w:ascii="Arial" w:hAnsi="Arial" w:cs="Arial"/>
          <w:sz w:val="26"/>
          <w:szCs w:val="26"/>
        </w:rPr>
      </w:pPr>
      <w:r w:rsidRPr="008E57C1">
        <w:rPr>
          <w:rFonts w:ascii="Arial" w:hAnsi="Arial" w:cs="Arial"/>
          <w:sz w:val="26"/>
          <w:szCs w:val="26"/>
        </w:rPr>
        <w:t>LICENCIADA SANDRA PÉREZ CRUZ.</w:t>
      </w:r>
    </w:p>
    <w:p w:rsidR="002A43A4" w:rsidRPr="007E7CF9" w:rsidRDefault="002A43A4" w:rsidP="006842F7">
      <w:pPr>
        <w:spacing w:after="0"/>
        <w:jc w:val="center"/>
        <w:rPr>
          <w:rFonts w:ascii="Arial" w:hAnsi="Arial" w:cs="Arial"/>
          <w:sz w:val="26"/>
          <w:szCs w:val="26"/>
        </w:rPr>
      </w:pPr>
      <w:r w:rsidRPr="008E57C1">
        <w:rPr>
          <w:rFonts w:ascii="Arial" w:hAnsi="Arial" w:cs="Arial"/>
          <w:sz w:val="26"/>
          <w:szCs w:val="26"/>
        </w:rPr>
        <w:t>SECRETARIA GENERAL DE ACUERDOS.</w:t>
      </w:r>
    </w:p>
    <w:p w:rsidR="002A43A4" w:rsidRDefault="002A43A4" w:rsidP="002A43A4">
      <w:pPr>
        <w:spacing w:before="240" w:line="360" w:lineRule="auto"/>
        <w:ind w:firstLine="708"/>
        <w:jc w:val="both"/>
        <w:rPr>
          <w:sz w:val="26"/>
          <w:szCs w:val="26"/>
        </w:rPr>
      </w:pPr>
    </w:p>
    <w:p w:rsidR="002A43A4" w:rsidRDefault="002A43A4" w:rsidP="002A43A4">
      <w:pPr>
        <w:spacing w:before="240" w:line="360" w:lineRule="auto"/>
        <w:jc w:val="both"/>
        <w:rPr>
          <w:sz w:val="26"/>
          <w:szCs w:val="26"/>
        </w:rPr>
      </w:pPr>
    </w:p>
    <w:p w:rsidR="002A43A4" w:rsidRPr="00576800" w:rsidRDefault="002A43A4" w:rsidP="002A43A4">
      <w:pPr>
        <w:spacing w:before="240" w:line="360" w:lineRule="auto"/>
        <w:ind w:firstLine="708"/>
        <w:jc w:val="both"/>
        <w:rPr>
          <w:color w:val="000000" w:themeColor="text1"/>
          <w:sz w:val="26"/>
          <w:szCs w:val="26"/>
        </w:rPr>
      </w:pPr>
    </w:p>
    <w:p w:rsidR="002A43A4" w:rsidRDefault="002A43A4" w:rsidP="002A43A4">
      <w:pPr>
        <w:spacing w:line="360" w:lineRule="auto"/>
        <w:ind w:firstLine="708"/>
        <w:jc w:val="both"/>
        <w:rPr>
          <w:sz w:val="26"/>
          <w:szCs w:val="26"/>
        </w:rPr>
      </w:pPr>
    </w:p>
    <w:p w:rsidR="00BA554F" w:rsidRDefault="00BA554F" w:rsidP="006842F7">
      <w:pPr>
        <w:spacing w:before="240" w:line="360" w:lineRule="auto"/>
        <w:jc w:val="both"/>
      </w:pPr>
    </w:p>
    <w:sectPr w:rsidR="00BA554F" w:rsidSect="002A43A4">
      <w:headerReference w:type="even" r:id="rId9"/>
      <w:headerReference w:type="default" r:id="rId10"/>
      <w:footerReference w:type="default" r:id="rId11"/>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00" w:rsidRDefault="00B22E00">
      <w:pPr>
        <w:spacing w:after="0" w:line="240" w:lineRule="auto"/>
      </w:pPr>
      <w:r>
        <w:separator/>
      </w:r>
    </w:p>
  </w:endnote>
  <w:endnote w:type="continuationSeparator" w:id="0">
    <w:p w:rsidR="00B22E00" w:rsidRDefault="00B2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69" w:rsidRDefault="00567469">
    <w:pPr>
      <w:pStyle w:val="Piedepgina"/>
    </w:pPr>
    <w:r>
      <w:rPr>
        <w:noProof/>
        <w:lang w:val="es-MX" w:eastAsia="es-MX"/>
      </w:rPr>
      <mc:AlternateContent>
        <mc:Choice Requires="wps">
          <w:drawing>
            <wp:anchor distT="0" distB="0" distL="114300" distR="114300" simplePos="0" relativeHeight="251659264" behindDoc="0" locked="0" layoutInCell="1" allowOverlap="1" wp14:anchorId="6D57BAB6" wp14:editId="59A2CBBB">
              <wp:simplePos x="0" y="0"/>
              <wp:positionH relativeFrom="column">
                <wp:posOffset>-1759585</wp:posOffset>
              </wp:positionH>
              <wp:positionV relativeFrom="paragraph">
                <wp:posOffset>-3643630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67469" w:rsidRDefault="00567469" w:rsidP="0056746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margin-left:-138.55pt;margin-top:-286.9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">
              <v:textbox>
                <w:txbxContent>
                  <w:p w:rsidR="00567469" w:rsidRDefault="00567469" w:rsidP="00567469">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00" w:rsidRDefault="00B22E00">
      <w:pPr>
        <w:spacing w:after="0" w:line="240" w:lineRule="auto"/>
      </w:pPr>
      <w:r>
        <w:separator/>
      </w:r>
    </w:p>
  </w:footnote>
  <w:footnote w:type="continuationSeparator" w:id="0">
    <w:p w:rsidR="00B22E00" w:rsidRDefault="00B22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024D4D" w:rsidRDefault="00024D4D">
        <w:pPr>
          <w:pStyle w:val="Encabezado"/>
          <w:jc w:val="center"/>
        </w:pPr>
        <w:r>
          <w:fldChar w:fldCharType="begin"/>
        </w:r>
        <w:r>
          <w:instrText>PAGE   \* MERGEFORMAT</w:instrText>
        </w:r>
        <w:r>
          <w:fldChar w:fldCharType="separate"/>
        </w:r>
        <w:r>
          <w:rPr>
            <w:noProof/>
          </w:rPr>
          <w:t>14</w:t>
        </w:r>
        <w:r>
          <w:fldChar w:fldCharType="end"/>
        </w:r>
      </w:p>
    </w:sdtContent>
  </w:sdt>
  <w:p w:rsidR="00024D4D" w:rsidRDefault="00024D4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024D4D" w:rsidRDefault="00024D4D" w:rsidP="00314953">
        <w:pPr>
          <w:pStyle w:val="Encabezado"/>
          <w:jc w:val="center"/>
          <w:rPr>
            <w:noProof/>
          </w:rPr>
        </w:pPr>
        <w:r>
          <w:fldChar w:fldCharType="begin"/>
        </w:r>
        <w:r>
          <w:instrText xml:space="preserve"> PAGE   \* MERGEFORMAT </w:instrText>
        </w:r>
        <w:r>
          <w:fldChar w:fldCharType="separate"/>
        </w:r>
        <w:r w:rsidR="000F6F99">
          <w:rPr>
            <w:noProof/>
          </w:rPr>
          <w:t>1</w:t>
        </w:r>
        <w:r>
          <w:rPr>
            <w:noProof/>
          </w:rPr>
          <w:fldChar w:fldCharType="end"/>
        </w:r>
      </w:p>
      <w:p w:rsidR="00024D4D" w:rsidRDefault="000F6F99" w:rsidP="00314953">
        <w:pPr>
          <w:pStyle w:val="Encabezado"/>
          <w:jc w:val="center"/>
        </w:pPr>
      </w:p>
    </w:sdtContent>
  </w:sdt>
  <w:p w:rsidR="00024D4D" w:rsidRDefault="00024D4D" w:rsidP="00314953">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39C"/>
    <w:multiLevelType w:val="hybridMultilevel"/>
    <w:tmpl w:val="54687B26"/>
    <w:lvl w:ilvl="0" w:tplc="3D7AFA2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8FB6089"/>
    <w:multiLevelType w:val="hybridMultilevel"/>
    <w:tmpl w:val="D9A296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437F14"/>
    <w:multiLevelType w:val="hybridMultilevel"/>
    <w:tmpl w:val="A93AA7F4"/>
    <w:lvl w:ilvl="0" w:tplc="9992DBCC">
      <w:start w:val="1"/>
      <w:numFmt w:val="lowerLetter"/>
      <w:lvlText w:val="%1)"/>
      <w:lvlJc w:val="left"/>
      <w:pPr>
        <w:ind w:left="1072" w:hanging="360"/>
      </w:pPr>
      <w:rPr>
        <w:rFonts w:hint="default"/>
      </w:rPr>
    </w:lvl>
    <w:lvl w:ilvl="1" w:tplc="080A0019" w:tentative="1">
      <w:start w:val="1"/>
      <w:numFmt w:val="lowerLetter"/>
      <w:lvlText w:val="%2."/>
      <w:lvlJc w:val="left"/>
      <w:pPr>
        <w:ind w:left="1792" w:hanging="360"/>
      </w:pPr>
    </w:lvl>
    <w:lvl w:ilvl="2" w:tplc="080A001B" w:tentative="1">
      <w:start w:val="1"/>
      <w:numFmt w:val="lowerRoman"/>
      <w:lvlText w:val="%3."/>
      <w:lvlJc w:val="right"/>
      <w:pPr>
        <w:ind w:left="2512" w:hanging="180"/>
      </w:pPr>
    </w:lvl>
    <w:lvl w:ilvl="3" w:tplc="080A000F" w:tentative="1">
      <w:start w:val="1"/>
      <w:numFmt w:val="decimal"/>
      <w:lvlText w:val="%4."/>
      <w:lvlJc w:val="left"/>
      <w:pPr>
        <w:ind w:left="3232" w:hanging="360"/>
      </w:pPr>
    </w:lvl>
    <w:lvl w:ilvl="4" w:tplc="080A0019" w:tentative="1">
      <w:start w:val="1"/>
      <w:numFmt w:val="lowerLetter"/>
      <w:lvlText w:val="%5."/>
      <w:lvlJc w:val="left"/>
      <w:pPr>
        <w:ind w:left="3952" w:hanging="360"/>
      </w:pPr>
    </w:lvl>
    <w:lvl w:ilvl="5" w:tplc="080A001B" w:tentative="1">
      <w:start w:val="1"/>
      <w:numFmt w:val="lowerRoman"/>
      <w:lvlText w:val="%6."/>
      <w:lvlJc w:val="right"/>
      <w:pPr>
        <w:ind w:left="4672" w:hanging="180"/>
      </w:pPr>
    </w:lvl>
    <w:lvl w:ilvl="6" w:tplc="080A000F" w:tentative="1">
      <w:start w:val="1"/>
      <w:numFmt w:val="decimal"/>
      <w:lvlText w:val="%7."/>
      <w:lvlJc w:val="left"/>
      <w:pPr>
        <w:ind w:left="5392" w:hanging="360"/>
      </w:pPr>
    </w:lvl>
    <w:lvl w:ilvl="7" w:tplc="080A0019" w:tentative="1">
      <w:start w:val="1"/>
      <w:numFmt w:val="lowerLetter"/>
      <w:lvlText w:val="%8."/>
      <w:lvlJc w:val="left"/>
      <w:pPr>
        <w:ind w:left="6112" w:hanging="360"/>
      </w:pPr>
    </w:lvl>
    <w:lvl w:ilvl="8" w:tplc="080A001B" w:tentative="1">
      <w:start w:val="1"/>
      <w:numFmt w:val="lowerRoman"/>
      <w:lvlText w:val="%9."/>
      <w:lvlJc w:val="right"/>
      <w:pPr>
        <w:ind w:left="6832" w:hanging="180"/>
      </w:pPr>
    </w:lvl>
  </w:abstractNum>
  <w:abstractNum w:abstractNumId="3">
    <w:nsid w:val="47833F8B"/>
    <w:multiLevelType w:val="hybridMultilevel"/>
    <w:tmpl w:val="5AB658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8C6290"/>
    <w:multiLevelType w:val="hybridMultilevel"/>
    <w:tmpl w:val="7BE46816"/>
    <w:lvl w:ilvl="0" w:tplc="EB92CCF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724A60C6"/>
    <w:multiLevelType w:val="hybridMultilevel"/>
    <w:tmpl w:val="B59A5646"/>
    <w:lvl w:ilvl="0" w:tplc="482416F2">
      <w:start w:val="1"/>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74010BEC"/>
    <w:multiLevelType w:val="hybridMultilevel"/>
    <w:tmpl w:val="1346A84A"/>
    <w:lvl w:ilvl="0" w:tplc="B230805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783A1C2D"/>
    <w:multiLevelType w:val="hybridMultilevel"/>
    <w:tmpl w:val="077680AE"/>
    <w:lvl w:ilvl="0" w:tplc="50EA989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7"/>
  </w:num>
  <w:num w:numId="2">
    <w:abstractNumId w:val="5"/>
  </w:num>
  <w:num w:numId="3">
    <w:abstractNumId w:val="6"/>
  </w:num>
  <w:num w:numId="4">
    <w:abstractNumId w:val="2"/>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53"/>
    <w:rsid w:val="00016EC5"/>
    <w:rsid w:val="00021010"/>
    <w:rsid w:val="0002257A"/>
    <w:rsid w:val="00024D4D"/>
    <w:rsid w:val="00024FF0"/>
    <w:rsid w:val="0003416C"/>
    <w:rsid w:val="000A5095"/>
    <w:rsid w:val="000C7ED0"/>
    <w:rsid w:val="000F6F99"/>
    <w:rsid w:val="00111422"/>
    <w:rsid w:val="00146647"/>
    <w:rsid w:val="00156644"/>
    <w:rsid w:val="00177531"/>
    <w:rsid w:val="0018549D"/>
    <w:rsid w:val="001B36D9"/>
    <w:rsid w:val="001B6152"/>
    <w:rsid w:val="001D4459"/>
    <w:rsid w:val="001E5B99"/>
    <w:rsid w:val="001F5384"/>
    <w:rsid w:val="00221FF9"/>
    <w:rsid w:val="00261216"/>
    <w:rsid w:val="002678CE"/>
    <w:rsid w:val="002811D5"/>
    <w:rsid w:val="00297FEB"/>
    <w:rsid w:val="002A1D92"/>
    <w:rsid w:val="002A3892"/>
    <w:rsid w:val="002A43A4"/>
    <w:rsid w:val="002A78F5"/>
    <w:rsid w:val="002B080B"/>
    <w:rsid w:val="002D1762"/>
    <w:rsid w:val="002D268A"/>
    <w:rsid w:val="002D52AD"/>
    <w:rsid w:val="002D730C"/>
    <w:rsid w:val="002E61FD"/>
    <w:rsid w:val="002F412D"/>
    <w:rsid w:val="00314953"/>
    <w:rsid w:val="00326D43"/>
    <w:rsid w:val="00337A7E"/>
    <w:rsid w:val="003426A8"/>
    <w:rsid w:val="00355400"/>
    <w:rsid w:val="0038787C"/>
    <w:rsid w:val="003C55D0"/>
    <w:rsid w:val="00413B6C"/>
    <w:rsid w:val="00445F8D"/>
    <w:rsid w:val="00455891"/>
    <w:rsid w:val="00466005"/>
    <w:rsid w:val="004B12CA"/>
    <w:rsid w:val="004C18D9"/>
    <w:rsid w:val="00523BE4"/>
    <w:rsid w:val="00552768"/>
    <w:rsid w:val="0055601D"/>
    <w:rsid w:val="005609EF"/>
    <w:rsid w:val="00567469"/>
    <w:rsid w:val="00591A15"/>
    <w:rsid w:val="005925E6"/>
    <w:rsid w:val="005C4711"/>
    <w:rsid w:val="005D433E"/>
    <w:rsid w:val="005E24A1"/>
    <w:rsid w:val="005E3F29"/>
    <w:rsid w:val="00631104"/>
    <w:rsid w:val="00634B10"/>
    <w:rsid w:val="00647666"/>
    <w:rsid w:val="006842F7"/>
    <w:rsid w:val="00686049"/>
    <w:rsid w:val="006D3E27"/>
    <w:rsid w:val="006E59A1"/>
    <w:rsid w:val="00703FB2"/>
    <w:rsid w:val="00742564"/>
    <w:rsid w:val="0075265E"/>
    <w:rsid w:val="007632E9"/>
    <w:rsid w:val="00792CB7"/>
    <w:rsid w:val="007A27CD"/>
    <w:rsid w:val="007A69A0"/>
    <w:rsid w:val="007A7319"/>
    <w:rsid w:val="007C4A0C"/>
    <w:rsid w:val="00804812"/>
    <w:rsid w:val="008168A1"/>
    <w:rsid w:val="00842FEC"/>
    <w:rsid w:val="0087071E"/>
    <w:rsid w:val="00874696"/>
    <w:rsid w:val="00877920"/>
    <w:rsid w:val="0088271D"/>
    <w:rsid w:val="008842CA"/>
    <w:rsid w:val="00884F22"/>
    <w:rsid w:val="008C09D2"/>
    <w:rsid w:val="008D4778"/>
    <w:rsid w:val="008D6FA6"/>
    <w:rsid w:val="008E7B2E"/>
    <w:rsid w:val="009020E8"/>
    <w:rsid w:val="0092293C"/>
    <w:rsid w:val="00936B81"/>
    <w:rsid w:val="009550E3"/>
    <w:rsid w:val="00956FBA"/>
    <w:rsid w:val="00985124"/>
    <w:rsid w:val="00985C16"/>
    <w:rsid w:val="009B13B0"/>
    <w:rsid w:val="009C5A47"/>
    <w:rsid w:val="009D78F7"/>
    <w:rsid w:val="009E3865"/>
    <w:rsid w:val="009F2236"/>
    <w:rsid w:val="00A05CFB"/>
    <w:rsid w:val="00A2764D"/>
    <w:rsid w:val="00A36B75"/>
    <w:rsid w:val="00A37CF5"/>
    <w:rsid w:val="00A45C8D"/>
    <w:rsid w:val="00A7042D"/>
    <w:rsid w:val="00A8223B"/>
    <w:rsid w:val="00A86CE8"/>
    <w:rsid w:val="00A96CF9"/>
    <w:rsid w:val="00AA47CA"/>
    <w:rsid w:val="00AE72FE"/>
    <w:rsid w:val="00B005F3"/>
    <w:rsid w:val="00B060D8"/>
    <w:rsid w:val="00B06BD0"/>
    <w:rsid w:val="00B163F8"/>
    <w:rsid w:val="00B22E00"/>
    <w:rsid w:val="00B37BCD"/>
    <w:rsid w:val="00B4206A"/>
    <w:rsid w:val="00B42BA6"/>
    <w:rsid w:val="00B616F7"/>
    <w:rsid w:val="00BA554F"/>
    <w:rsid w:val="00BC0841"/>
    <w:rsid w:val="00BE621E"/>
    <w:rsid w:val="00BE776D"/>
    <w:rsid w:val="00C15583"/>
    <w:rsid w:val="00C22C7A"/>
    <w:rsid w:val="00C438A8"/>
    <w:rsid w:val="00C64FB6"/>
    <w:rsid w:val="00C72BCA"/>
    <w:rsid w:val="00C74023"/>
    <w:rsid w:val="00C871BC"/>
    <w:rsid w:val="00C9061C"/>
    <w:rsid w:val="00CB1C7C"/>
    <w:rsid w:val="00CB61C5"/>
    <w:rsid w:val="00CD6142"/>
    <w:rsid w:val="00D0306E"/>
    <w:rsid w:val="00D046AF"/>
    <w:rsid w:val="00D255F2"/>
    <w:rsid w:val="00D45F25"/>
    <w:rsid w:val="00D61739"/>
    <w:rsid w:val="00D629F9"/>
    <w:rsid w:val="00D6635D"/>
    <w:rsid w:val="00D83498"/>
    <w:rsid w:val="00D844AD"/>
    <w:rsid w:val="00D9407E"/>
    <w:rsid w:val="00DA1E23"/>
    <w:rsid w:val="00DB5A83"/>
    <w:rsid w:val="00DF077C"/>
    <w:rsid w:val="00DF2264"/>
    <w:rsid w:val="00E15EF1"/>
    <w:rsid w:val="00E358CD"/>
    <w:rsid w:val="00E56932"/>
    <w:rsid w:val="00E73A20"/>
    <w:rsid w:val="00E87DFF"/>
    <w:rsid w:val="00E904FC"/>
    <w:rsid w:val="00EA1B27"/>
    <w:rsid w:val="00EB6B2F"/>
    <w:rsid w:val="00EC230A"/>
    <w:rsid w:val="00ED1CCA"/>
    <w:rsid w:val="00EE115F"/>
    <w:rsid w:val="00EF693B"/>
    <w:rsid w:val="00F00617"/>
    <w:rsid w:val="00F014F5"/>
    <w:rsid w:val="00F03AFD"/>
    <w:rsid w:val="00F10975"/>
    <w:rsid w:val="00F215E2"/>
    <w:rsid w:val="00F25DE8"/>
    <w:rsid w:val="00F37EEB"/>
    <w:rsid w:val="00F4474D"/>
    <w:rsid w:val="00F503A5"/>
    <w:rsid w:val="00F6019E"/>
    <w:rsid w:val="00F74AD8"/>
    <w:rsid w:val="00F91D37"/>
    <w:rsid w:val="00F93485"/>
    <w:rsid w:val="00FA7BCA"/>
    <w:rsid w:val="00FC1591"/>
    <w:rsid w:val="00FC4A44"/>
    <w:rsid w:val="00FE00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495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14953"/>
    <w:rPr>
      <w:rFonts w:ascii="Times New Roman" w:eastAsia="PMingLiU" w:hAnsi="Times New Roman" w:cs="Times New Roman"/>
      <w:sz w:val="24"/>
      <w:szCs w:val="24"/>
      <w:lang w:eastAsia="zh-TW"/>
    </w:rPr>
  </w:style>
  <w:style w:type="paragraph" w:styleId="Sinespaciado">
    <w:name w:val="No Spacing"/>
    <w:uiPriority w:val="1"/>
    <w:qFormat/>
    <w:rsid w:val="00314953"/>
    <w:pPr>
      <w:spacing w:after="0" w:line="240" w:lineRule="auto"/>
    </w:pPr>
  </w:style>
  <w:style w:type="paragraph" w:styleId="Textodeglobo">
    <w:name w:val="Balloon Text"/>
    <w:basedOn w:val="Normal"/>
    <w:link w:val="TextodegloboCar"/>
    <w:uiPriority w:val="99"/>
    <w:semiHidden/>
    <w:unhideWhenUsed/>
    <w:rsid w:val="00C906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1C"/>
    <w:rPr>
      <w:rFonts w:ascii="Segoe UI" w:hAnsi="Segoe UI" w:cs="Segoe UI"/>
      <w:sz w:val="18"/>
      <w:szCs w:val="18"/>
    </w:rPr>
  </w:style>
  <w:style w:type="paragraph" w:styleId="Prrafodelista">
    <w:name w:val="List Paragraph"/>
    <w:basedOn w:val="Normal"/>
    <w:uiPriority w:val="34"/>
    <w:qFormat/>
    <w:rsid w:val="003C55D0"/>
    <w:pPr>
      <w:ind w:left="720"/>
      <w:contextualSpacing/>
    </w:pPr>
  </w:style>
  <w:style w:type="paragraph" w:styleId="Textonotapie">
    <w:name w:val="footnote text"/>
    <w:basedOn w:val="Normal"/>
    <w:link w:val="TextonotapieCar"/>
    <w:uiPriority w:val="99"/>
    <w:semiHidden/>
    <w:unhideWhenUsed/>
    <w:rsid w:val="001854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549D"/>
    <w:rPr>
      <w:sz w:val="20"/>
      <w:szCs w:val="20"/>
    </w:rPr>
  </w:style>
  <w:style w:type="character" w:styleId="Refdenotaalpie">
    <w:name w:val="footnote reference"/>
    <w:basedOn w:val="Fuentedeprrafopredeter"/>
    <w:uiPriority w:val="99"/>
    <w:semiHidden/>
    <w:unhideWhenUsed/>
    <w:rsid w:val="0018549D"/>
    <w:rPr>
      <w:vertAlign w:val="superscript"/>
    </w:rPr>
  </w:style>
  <w:style w:type="paragraph" w:styleId="Revisin">
    <w:name w:val="Revision"/>
    <w:hidden/>
    <w:uiPriority w:val="99"/>
    <w:semiHidden/>
    <w:rsid w:val="00016EC5"/>
    <w:pPr>
      <w:spacing w:after="0" w:line="240" w:lineRule="auto"/>
    </w:pPr>
  </w:style>
  <w:style w:type="paragraph" w:styleId="Piedepgina">
    <w:name w:val="footer"/>
    <w:basedOn w:val="Normal"/>
    <w:link w:val="PiedepginaCar"/>
    <w:uiPriority w:val="99"/>
    <w:unhideWhenUsed/>
    <w:rsid w:val="005674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495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14953"/>
    <w:rPr>
      <w:rFonts w:ascii="Times New Roman" w:eastAsia="PMingLiU" w:hAnsi="Times New Roman" w:cs="Times New Roman"/>
      <w:sz w:val="24"/>
      <w:szCs w:val="24"/>
      <w:lang w:eastAsia="zh-TW"/>
    </w:rPr>
  </w:style>
  <w:style w:type="paragraph" w:styleId="Sinespaciado">
    <w:name w:val="No Spacing"/>
    <w:uiPriority w:val="1"/>
    <w:qFormat/>
    <w:rsid w:val="00314953"/>
    <w:pPr>
      <w:spacing w:after="0" w:line="240" w:lineRule="auto"/>
    </w:pPr>
  </w:style>
  <w:style w:type="paragraph" w:styleId="Textodeglobo">
    <w:name w:val="Balloon Text"/>
    <w:basedOn w:val="Normal"/>
    <w:link w:val="TextodegloboCar"/>
    <w:uiPriority w:val="99"/>
    <w:semiHidden/>
    <w:unhideWhenUsed/>
    <w:rsid w:val="00C906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1C"/>
    <w:rPr>
      <w:rFonts w:ascii="Segoe UI" w:hAnsi="Segoe UI" w:cs="Segoe UI"/>
      <w:sz w:val="18"/>
      <w:szCs w:val="18"/>
    </w:rPr>
  </w:style>
  <w:style w:type="paragraph" w:styleId="Prrafodelista">
    <w:name w:val="List Paragraph"/>
    <w:basedOn w:val="Normal"/>
    <w:uiPriority w:val="34"/>
    <w:qFormat/>
    <w:rsid w:val="003C55D0"/>
    <w:pPr>
      <w:ind w:left="720"/>
      <w:contextualSpacing/>
    </w:pPr>
  </w:style>
  <w:style w:type="paragraph" w:styleId="Textonotapie">
    <w:name w:val="footnote text"/>
    <w:basedOn w:val="Normal"/>
    <w:link w:val="TextonotapieCar"/>
    <w:uiPriority w:val="99"/>
    <w:semiHidden/>
    <w:unhideWhenUsed/>
    <w:rsid w:val="001854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549D"/>
    <w:rPr>
      <w:sz w:val="20"/>
      <w:szCs w:val="20"/>
    </w:rPr>
  </w:style>
  <w:style w:type="character" w:styleId="Refdenotaalpie">
    <w:name w:val="footnote reference"/>
    <w:basedOn w:val="Fuentedeprrafopredeter"/>
    <w:uiPriority w:val="99"/>
    <w:semiHidden/>
    <w:unhideWhenUsed/>
    <w:rsid w:val="0018549D"/>
    <w:rPr>
      <w:vertAlign w:val="superscript"/>
    </w:rPr>
  </w:style>
  <w:style w:type="paragraph" w:styleId="Revisin">
    <w:name w:val="Revision"/>
    <w:hidden/>
    <w:uiPriority w:val="99"/>
    <w:semiHidden/>
    <w:rsid w:val="00016EC5"/>
    <w:pPr>
      <w:spacing w:after="0" w:line="240" w:lineRule="auto"/>
    </w:pPr>
  </w:style>
  <w:style w:type="paragraph" w:styleId="Piedepgina">
    <w:name w:val="footer"/>
    <w:basedOn w:val="Normal"/>
    <w:link w:val="PiedepginaCar"/>
    <w:uiPriority w:val="99"/>
    <w:unhideWhenUsed/>
    <w:rsid w:val="005674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8527B-7EE9-4398-8877-E10A30D9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6</Pages>
  <Words>1409</Words>
  <Characters>7750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33</cp:revision>
  <cp:lastPrinted>2018-12-12T18:32:00Z</cp:lastPrinted>
  <dcterms:created xsi:type="dcterms:W3CDTF">2018-04-13T15:36:00Z</dcterms:created>
  <dcterms:modified xsi:type="dcterms:W3CDTF">2018-12-12T18:32:00Z</dcterms:modified>
</cp:coreProperties>
</file>