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EA" w:rsidRPr="00CB6405" w:rsidRDefault="003B5FEA" w:rsidP="003B5FEA">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3B5FEA" w:rsidRPr="00CB6405" w:rsidRDefault="003B5FEA" w:rsidP="003B5FEA">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r>
      <w:r w:rsidRPr="003B5FEA">
        <w:rPr>
          <w:rFonts w:ascii="Arial" w:hAnsi="Arial" w:cs="Arial"/>
          <w:b/>
          <w:sz w:val="26"/>
          <w:szCs w:val="26"/>
          <w:highlight w:val="yellow"/>
        </w:rPr>
        <w:t>0216/2018</w:t>
      </w:r>
    </w:p>
    <w:p w:rsidR="003B5FEA" w:rsidRPr="00CB6405" w:rsidRDefault="003B5FEA" w:rsidP="003B5FEA">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093/</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CUARTA </w:t>
      </w:r>
      <w:r w:rsidRPr="00CB6405">
        <w:rPr>
          <w:rFonts w:ascii="Arial" w:hAnsi="Arial" w:cs="Arial"/>
          <w:b/>
          <w:sz w:val="26"/>
          <w:szCs w:val="26"/>
        </w:rPr>
        <w:t>SALA UNITARIA DE PRIMERA INSTANCIA</w:t>
      </w:r>
    </w:p>
    <w:p w:rsidR="003B5FEA" w:rsidRPr="00CB6405" w:rsidRDefault="003B5FEA" w:rsidP="003B5FEA">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3B5FEA" w:rsidRDefault="003B5FEA" w:rsidP="003B5FEA">
      <w:pPr>
        <w:spacing w:before="240" w:line="360" w:lineRule="auto"/>
        <w:jc w:val="both"/>
        <w:rPr>
          <w:rFonts w:ascii="Arial" w:hAnsi="Arial" w:cs="Arial"/>
          <w:b/>
          <w:sz w:val="26"/>
          <w:szCs w:val="26"/>
        </w:rPr>
      </w:pPr>
      <w:r>
        <w:rPr>
          <w:rFonts w:ascii="Arial" w:hAnsi="Arial" w:cs="Arial"/>
          <w:b/>
          <w:sz w:val="26"/>
          <w:szCs w:val="26"/>
        </w:rPr>
        <w:t xml:space="preserve">OAXACA DE JUÁREZ, OAXACA, VEINTIUNO DE FEBRERO DE DOS MIL DIECINUEVE. </w:t>
      </w:r>
    </w:p>
    <w:p w:rsidR="003B5FEA" w:rsidRPr="00CB6405" w:rsidRDefault="003B5FEA" w:rsidP="003B5F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3B5FEA">
        <w:rPr>
          <w:rFonts w:ascii="Arial" w:hAnsi="Arial" w:cs="Arial"/>
          <w:b/>
          <w:sz w:val="26"/>
          <w:szCs w:val="26"/>
          <w:highlight w:val="yellow"/>
        </w:rPr>
        <w:t>0216/2018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A700C1">
        <w:rPr>
          <w:rFonts w:ascii="Arial" w:hAnsi="Arial" w:cs="Arial"/>
          <w:b/>
          <w:sz w:val="26"/>
          <w:szCs w:val="26"/>
        </w:rPr>
        <w:t>RECAUDADORA DE RENTAS DEL MUNICIPIO DE OAXACA</w:t>
      </w:r>
      <w:r>
        <w:rPr>
          <w:rFonts w:ascii="Arial" w:hAnsi="Arial" w:cs="Arial"/>
          <w:sz w:val="26"/>
          <w:szCs w:val="26"/>
        </w:rPr>
        <w:t xml:space="preserve"> </w:t>
      </w:r>
      <w:r w:rsidRPr="003E2B2E">
        <w:rPr>
          <w:rFonts w:ascii="Arial" w:hAnsi="Arial" w:cs="Arial"/>
          <w:b/>
          <w:sz w:val="26"/>
          <w:szCs w:val="26"/>
        </w:rPr>
        <w:t>DE JUÁREZ</w:t>
      </w:r>
      <w:r w:rsidRPr="00CB6405">
        <w:rPr>
          <w:rFonts w:ascii="Arial" w:hAnsi="Arial" w:cs="Arial"/>
          <w:sz w:val="26"/>
          <w:szCs w:val="26"/>
        </w:rPr>
        <w:t>, en contra de</w:t>
      </w:r>
      <w:r>
        <w:rPr>
          <w:rFonts w:ascii="Arial" w:hAnsi="Arial" w:cs="Arial"/>
          <w:sz w:val="26"/>
          <w:szCs w:val="26"/>
        </w:rPr>
        <w:t xml:space="preserve"> la sentencia de 12 doce de abril de 2018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93</w:t>
      </w:r>
      <w:r w:rsidRPr="00CB6405">
        <w:rPr>
          <w:rFonts w:ascii="Arial" w:hAnsi="Arial" w:cs="Arial"/>
          <w:b/>
          <w:sz w:val="26"/>
          <w:szCs w:val="26"/>
        </w:rPr>
        <w:t>/201</w:t>
      </w:r>
      <w:r>
        <w:rPr>
          <w:rFonts w:ascii="Arial" w:hAnsi="Arial" w:cs="Arial"/>
          <w:b/>
          <w:sz w:val="26"/>
          <w:szCs w:val="26"/>
        </w:rPr>
        <w:t>7</w:t>
      </w:r>
      <w:r w:rsidRPr="00CB6405">
        <w:rPr>
          <w:rFonts w:ascii="Arial" w:hAnsi="Arial" w:cs="Arial"/>
          <w:sz w:val="26"/>
          <w:szCs w:val="26"/>
        </w:rPr>
        <w:t xml:space="preserve"> de la </w:t>
      </w:r>
      <w:r>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D839A6">
        <w:rPr>
          <w:rFonts w:ascii="Arial" w:hAnsi="Arial" w:cs="Arial"/>
          <w:b/>
          <w:sz w:val="26"/>
          <w:szCs w:val="26"/>
          <w:highlight w:val="yellow"/>
        </w:rPr>
        <w:t>**********</w:t>
      </w:r>
      <w:r w:rsidRPr="003B5FEA">
        <w:rPr>
          <w:rFonts w:ascii="Arial" w:hAnsi="Arial" w:cs="Arial"/>
          <w:b/>
          <w:sz w:val="26"/>
          <w:szCs w:val="26"/>
          <w:highlight w:val="yellow"/>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Pr>
          <w:rFonts w:ascii="Arial" w:hAnsi="Arial" w:cs="Arial"/>
          <w:b/>
          <w:sz w:val="26"/>
          <w:szCs w:val="26"/>
        </w:rPr>
        <w:t>47, adscrito</w:t>
      </w:r>
      <w:r w:rsidRPr="006B3BEA">
        <w:rPr>
          <w:rFonts w:ascii="Arial" w:hAnsi="Arial" w:cs="Arial"/>
          <w:b/>
          <w:sz w:val="26"/>
          <w:szCs w:val="26"/>
        </w:rPr>
        <w:t xml:space="preserve"> a la COMIS</w:t>
      </w:r>
      <w:r>
        <w:rPr>
          <w:rFonts w:ascii="Arial" w:hAnsi="Arial" w:cs="Arial"/>
          <w:b/>
          <w:sz w:val="26"/>
          <w:szCs w:val="26"/>
        </w:rPr>
        <w:t xml:space="preserve">ARÍA DE VIALIDAD DEL MUNICIPIO DE OAXACA DE JUÁREZ, OAXACA y </w:t>
      </w:r>
      <w:r w:rsidRPr="006B3BEA">
        <w:rPr>
          <w:rFonts w:ascii="Arial" w:hAnsi="Arial" w:cs="Arial"/>
          <w:b/>
          <w:sz w:val="26"/>
          <w:szCs w:val="26"/>
        </w:rPr>
        <w:t>l</w:t>
      </w:r>
      <w:r>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lang w:val="es-MX"/>
        </w:rPr>
        <w:t>aplicable por ser la que se encontraba 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3B5FEA" w:rsidRPr="00CB6405" w:rsidRDefault="003B5FEA" w:rsidP="003B5FEA">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3B5FEA" w:rsidRPr="00CB6405" w:rsidRDefault="003B5FEA" w:rsidP="003B5FEA">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12 doce de abril de 2018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Cuarta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A700C1">
        <w:rPr>
          <w:rFonts w:ascii="Arial" w:hAnsi="Arial" w:cs="Arial"/>
          <w:b/>
          <w:sz w:val="26"/>
          <w:szCs w:val="26"/>
        </w:rPr>
        <w:t>RECAUDADORA DE RENTAS DEL MUNICIPIO DE OAXACA</w:t>
      </w:r>
      <w:r>
        <w:rPr>
          <w:rFonts w:ascii="Arial" w:hAnsi="Arial" w:cs="Arial"/>
          <w:sz w:val="26"/>
          <w:szCs w:val="26"/>
        </w:rPr>
        <w:t xml:space="preserve"> </w:t>
      </w:r>
      <w:r w:rsidRPr="003E2B2E">
        <w:rPr>
          <w:rFonts w:ascii="Arial" w:hAnsi="Arial" w:cs="Arial"/>
          <w:b/>
          <w:sz w:val="26"/>
          <w:szCs w:val="26"/>
        </w:rPr>
        <w:t>DE JUÁREZ</w:t>
      </w:r>
      <w:r w:rsidRPr="00CB6405">
        <w:rPr>
          <w:rFonts w:ascii="Arial" w:hAnsi="Arial" w:cs="Arial"/>
          <w:sz w:val="26"/>
          <w:szCs w:val="26"/>
        </w:rPr>
        <w:t>, interpuso en su contra recurso de revisión.</w:t>
      </w:r>
    </w:p>
    <w:p w:rsidR="003B5FEA" w:rsidRDefault="003B5FEA" w:rsidP="003B5FEA">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3B5FEA" w:rsidRPr="00C06661" w:rsidRDefault="003B5FEA" w:rsidP="003B5FEA">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Cuarta Sala Unitaria fue 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 - -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 las partes quedó acreditada en autos.- - - - - - - - - - - - - - - - - - - - - - - - - - - - - - - - - - - - - -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No se actualizaron las causales de improcedencia hechas valer por la autoridad demandada Policía Vial con número estadístico PV-47, de la Comisaría </w:t>
      </w:r>
      <w:r>
        <w:rPr>
          <w:rFonts w:ascii="Arial" w:eastAsia="Times New Roman" w:hAnsi="Arial" w:cs="Arial"/>
          <w:bCs/>
          <w:i/>
          <w:iCs/>
          <w:sz w:val="24"/>
          <w:szCs w:val="24"/>
          <w:lang w:eastAsia="es-ES"/>
        </w:rPr>
        <w:lastRenderedPageBreak/>
        <w:t xml:space="preserve">de Vialidad Municipal de Oaxaca de Juárez, Oaxaca, por lo que </w:t>
      </w:r>
      <w:r w:rsidRPr="00CA05EE">
        <w:rPr>
          <w:rFonts w:ascii="Arial" w:eastAsia="Times New Roman" w:hAnsi="Arial" w:cs="Arial"/>
          <w:b/>
          <w:bCs/>
          <w:i/>
          <w:iCs/>
          <w:sz w:val="24"/>
          <w:szCs w:val="24"/>
          <w:lang w:eastAsia="es-ES"/>
        </w:rPr>
        <w:t xml:space="preserve">NO SE SOBRESEE </w:t>
      </w:r>
      <w:r>
        <w:rPr>
          <w:rFonts w:ascii="Arial" w:eastAsia="Times New Roman" w:hAnsi="Arial" w:cs="Arial"/>
          <w:b/>
          <w:bCs/>
          <w:i/>
          <w:iCs/>
          <w:sz w:val="24"/>
          <w:szCs w:val="24"/>
          <w:lang w:eastAsia="es-ES"/>
        </w:rPr>
        <w:t>EL</w:t>
      </w:r>
      <w:r w:rsidRPr="00CA05EE">
        <w:rPr>
          <w:rFonts w:ascii="Arial" w:eastAsia="Times New Roman" w:hAnsi="Arial" w:cs="Arial"/>
          <w:b/>
          <w:bCs/>
          <w:i/>
          <w:iCs/>
          <w:sz w:val="24"/>
          <w:szCs w:val="24"/>
          <w:lang w:eastAsia="es-ES"/>
        </w:rPr>
        <w:t xml:space="preserve"> JUICIO</w:t>
      </w:r>
      <w:r w:rsidRPr="00C06661">
        <w:rPr>
          <w:rFonts w:ascii="Arial" w:eastAsia="Times New Roman" w:hAnsi="Arial" w:cs="Arial"/>
          <w:bCs/>
          <w:i/>
          <w:iCs/>
          <w:sz w:val="24"/>
          <w:szCs w:val="24"/>
          <w:lang w:eastAsia="es-ES"/>
        </w:rPr>
        <w:t xml:space="preserve">.- - - - - - - - - - - </w:t>
      </w:r>
      <w:r>
        <w:rPr>
          <w:rFonts w:ascii="Arial" w:eastAsia="Times New Roman" w:hAnsi="Arial" w:cs="Arial"/>
          <w:bCs/>
          <w:i/>
          <w:iCs/>
          <w:sz w:val="24"/>
          <w:szCs w:val="24"/>
          <w:lang w:eastAsia="es-ES"/>
        </w:rPr>
        <w:t xml:space="preserve">- - - - - - - </w:t>
      </w:r>
    </w:p>
    <w:p w:rsidR="003B5FEA" w:rsidRPr="00C06661" w:rsidRDefault="003B5FEA" w:rsidP="003B5FEA">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declara </w:t>
      </w:r>
      <w:r w:rsidRPr="00CA05EE">
        <w:rPr>
          <w:rFonts w:ascii="Arial" w:eastAsia="Times New Roman" w:hAnsi="Arial" w:cs="Arial"/>
          <w:b/>
          <w:bCs/>
          <w:i/>
          <w:iCs/>
          <w:sz w:val="24"/>
          <w:szCs w:val="24"/>
          <w:lang w:eastAsia="es-ES"/>
        </w:rPr>
        <w:t>LA NULIDAD LISA Y LLANA</w:t>
      </w:r>
      <w:r>
        <w:rPr>
          <w:rFonts w:ascii="Arial" w:eastAsia="Times New Roman" w:hAnsi="Arial" w:cs="Arial"/>
          <w:b/>
          <w:bCs/>
          <w:i/>
          <w:iCs/>
          <w:sz w:val="24"/>
          <w:szCs w:val="24"/>
          <w:lang w:eastAsia="es-ES"/>
        </w:rPr>
        <w:t xml:space="preserve"> </w:t>
      </w:r>
      <w:r w:rsidRPr="00B53176">
        <w:rPr>
          <w:rFonts w:ascii="Arial" w:eastAsia="Times New Roman" w:hAnsi="Arial" w:cs="Arial"/>
          <w:bCs/>
          <w:i/>
          <w:iCs/>
          <w:sz w:val="24"/>
          <w:szCs w:val="24"/>
          <w:lang w:eastAsia="es-ES"/>
        </w:rPr>
        <w:t xml:space="preserve">del acta de infracción </w:t>
      </w:r>
      <w:r>
        <w:rPr>
          <w:rFonts w:ascii="Arial" w:eastAsia="Times New Roman" w:hAnsi="Arial" w:cs="Arial"/>
          <w:bCs/>
          <w:i/>
          <w:iCs/>
          <w:sz w:val="24"/>
          <w:szCs w:val="24"/>
          <w:lang w:eastAsia="es-ES"/>
        </w:rPr>
        <w:t xml:space="preserve">con número de folio 26509, de 08 ocho de septiembre de 2017 dos mil diecisiete, levantada por el </w:t>
      </w:r>
      <w:r>
        <w:rPr>
          <w:rFonts w:ascii="Arial" w:eastAsia="Times New Roman" w:hAnsi="Arial" w:cs="Arial"/>
          <w:b/>
          <w:bCs/>
          <w:i/>
          <w:iCs/>
          <w:sz w:val="24"/>
          <w:szCs w:val="24"/>
          <w:lang w:eastAsia="es-ES"/>
        </w:rPr>
        <w:t>P</w:t>
      </w:r>
      <w:r w:rsidRPr="00886977">
        <w:rPr>
          <w:rFonts w:ascii="Arial" w:eastAsia="Times New Roman" w:hAnsi="Arial" w:cs="Arial"/>
          <w:b/>
          <w:bCs/>
          <w:i/>
          <w:iCs/>
          <w:sz w:val="24"/>
          <w:szCs w:val="24"/>
          <w:lang w:eastAsia="es-ES"/>
        </w:rPr>
        <w:t xml:space="preserve">olicía </w:t>
      </w:r>
      <w:r>
        <w:rPr>
          <w:rFonts w:ascii="Arial" w:eastAsia="Times New Roman" w:hAnsi="Arial" w:cs="Arial"/>
          <w:b/>
          <w:bCs/>
          <w:i/>
          <w:iCs/>
          <w:sz w:val="24"/>
          <w:szCs w:val="24"/>
          <w:lang w:eastAsia="es-ES"/>
        </w:rPr>
        <w:t>V</w:t>
      </w:r>
      <w:r w:rsidRPr="00886977">
        <w:rPr>
          <w:rFonts w:ascii="Arial" w:eastAsia="Times New Roman" w:hAnsi="Arial" w:cs="Arial"/>
          <w:b/>
          <w:bCs/>
          <w:i/>
          <w:iCs/>
          <w:sz w:val="24"/>
          <w:szCs w:val="24"/>
          <w:lang w:eastAsia="es-ES"/>
        </w:rPr>
        <w:t>ia</w:t>
      </w:r>
      <w:r>
        <w:rPr>
          <w:rFonts w:ascii="Arial" w:eastAsia="Times New Roman" w:hAnsi="Arial" w:cs="Arial"/>
          <w:b/>
          <w:bCs/>
          <w:i/>
          <w:iCs/>
          <w:sz w:val="24"/>
          <w:szCs w:val="24"/>
          <w:lang w:eastAsia="es-ES"/>
        </w:rPr>
        <w:t xml:space="preserve">l con número estadístico PV-47, de </w:t>
      </w:r>
      <w:r w:rsidRPr="00886977">
        <w:rPr>
          <w:rFonts w:ascii="Arial" w:eastAsia="Times New Roman" w:hAnsi="Arial" w:cs="Arial"/>
          <w:b/>
          <w:bCs/>
          <w:i/>
          <w:iCs/>
          <w:sz w:val="24"/>
          <w:szCs w:val="24"/>
          <w:lang w:eastAsia="es-ES"/>
        </w:rPr>
        <w:t>la Comisaría de Vialidad del Municipio de Oaxaca de Juárez</w:t>
      </w:r>
      <w:r>
        <w:rPr>
          <w:rFonts w:ascii="Arial" w:eastAsia="Times New Roman" w:hAnsi="Arial" w:cs="Arial"/>
          <w:bCs/>
          <w:i/>
          <w:iCs/>
          <w:sz w:val="24"/>
          <w:szCs w:val="24"/>
          <w:lang w:eastAsia="es-ES"/>
        </w:rPr>
        <w:t xml:space="preserve">, como quedo precisado en el considerando cuarto de esta sentencia.- - - - - - - - - - - - - - - - - - - - - - -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En consecuencia, se ordena al </w:t>
      </w:r>
      <w:r w:rsidRPr="00886977">
        <w:rPr>
          <w:rFonts w:ascii="Arial" w:eastAsia="Times New Roman" w:hAnsi="Arial" w:cs="Arial"/>
          <w:b/>
          <w:bCs/>
          <w:i/>
          <w:iCs/>
          <w:sz w:val="24"/>
          <w:szCs w:val="24"/>
          <w:lang w:eastAsia="es-ES"/>
        </w:rPr>
        <w:t>Recaudador de Rentas de la Coordinación de Finanzas y Administración Municipal de Oaxaca de Juárez, Oaxaca</w:t>
      </w:r>
      <w:r>
        <w:rPr>
          <w:rFonts w:ascii="Arial" w:eastAsia="Times New Roman" w:hAnsi="Arial" w:cs="Arial"/>
          <w:bCs/>
          <w:i/>
          <w:iCs/>
          <w:sz w:val="24"/>
          <w:szCs w:val="24"/>
          <w:lang w:eastAsia="es-ES"/>
        </w:rPr>
        <w:t xml:space="preserve">, haga la devolución a </w:t>
      </w:r>
      <w:r w:rsidR="00D839A6">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de la cantidad pagada por concepto de multa consignada en el recibo oficial de pago GRL05300000321276, de 22 veintidós de septiembre de 2017 dos mil diecisiete, como quedo precisado en el considerando quinto de esta sentencia.- - - - </w:t>
      </w:r>
      <w:r>
        <w:rPr>
          <w:rFonts w:ascii="Arial" w:eastAsia="Times New Roman" w:hAnsi="Arial" w:cs="Arial"/>
          <w:b/>
          <w:bCs/>
          <w:i/>
          <w:iCs/>
          <w:sz w:val="24"/>
          <w:szCs w:val="24"/>
          <w:lang w:eastAsia="es-ES"/>
        </w:rPr>
        <w:t xml:space="preserve">SEXTO. </w:t>
      </w:r>
      <w:r w:rsidRPr="00C06661">
        <w:rPr>
          <w:rFonts w:ascii="Arial" w:eastAsia="Times New Roman" w:hAnsi="Arial" w:cs="Arial"/>
          <w:b/>
          <w:bCs/>
          <w:i/>
          <w:iCs/>
          <w:sz w:val="24"/>
          <w:szCs w:val="24"/>
          <w:lang w:eastAsia="es-ES"/>
        </w:rPr>
        <w:t xml:space="preserve">NOTIFÍQUESE </w:t>
      </w:r>
      <w:r w:rsidRPr="00DC76BD">
        <w:rPr>
          <w:rFonts w:ascii="Arial" w:eastAsia="Times New Roman" w:hAnsi="Arial" w:cs="Arial"/>
          <w:b/>
          <w:bCs/>
          <w:i/>
          <w:iCs/>
          <w:sz w:val="24"/>
          <w:szCs w:val="24"/>
          <w:lang w:eastAsia="es-ES"/>
        </w:rPr>
        <w:t>PERSONALMENTE A</w:t>
      </w:r>
      <w:r>
        <w:rPr>
          <w:rFonts w:ascii="Arial" w:eastAsia="Times New Roman" w:hAnsi="Arial" w:cs="Arial"/>
          <w:b/>
          <w:bCs/>
          <w:i/>
          <w:iCs/>
          <w:sz w:val="24"/>
          <w:szCs w:val="24"/>
          <w:lang w:eastAsia="es-ES"/>
        </w:rPr>
        <w:t xml:space="preserve"> </w:t>
      </w:r>
      <w:r w:rsidRPr="00DC76BD">
        <w:rPr>
          <w:rFonts w:ascii="Arial" w:eastAsia="Times New Roman" w:hAnsi="Arial" w:cs="Arial"/>
          <w:b/>
          <w:bCs/>
          <w:i/>
          <w:iCs/>
          <w:sz w:val="24"/>
          <w:szCs w:val="24"/>
          <w:lang w:eastAsia="es-ES"/>
        </w:rPr>
        <w:t>L</w:t>
      </w:r>
      <w:r>
        <w:rPr>
          <w:rFonts w:ascii="Arial" w:eastAsia="Times New Roman" w:hAnsi="Arial" w:cs="Arial"/>
          <w:b/>
          <w:bCs/>
          <w:i/>
          <w:iCs/>
          <w:sz w:val="24"/>
          <w:szCs w:val="24"/>
          <w:lang w:eastAsia="es-ES"/>
        </w:rPr>
        <w:t>A</w:t>
      </w:r>
      <w:r w:rsidRPr="00DC76BD">
        <w:rPr>
          <w:rFonts w:ascii="Arial" w:eastAsia="Times New Roman" w:hAnsi="Arial" w:cs="Arial"/>
          <w:b/>
          <w:bCs/>
          <w:i/>
          <w:iCs/>
          <w:sz w:val="24"/>
          <w:szCs w:val="24"/>
          <w:lang w:eastAsia="es-ES"/>
        </w:rPr>
        <w:t xml:space="preserve"> ACTOR</w:t>
      </w:r>
      <w:r>
        <w:rPr>
          <w:rFonts w:ascii="Arial" w:eastAsia="Times New Roman" w:hAnsi="Arial" w:cs="Arial"/>
          <w:b/>
          <w:bCs/>
          <w:i/>
          <w:iCs/>
          <w:sz w:val="24"/>
          <w:szCs w:val="24"/>
          <w:lang w:eastAsia="es-ES"/>
        </w:rPr>
        <w:t>A Y POR OFICIO A LAS AUTORIDADES</w:t>
      </w:r>
      <w:r w:rsidRPr="00DC76BD">
        <w:rPr>
          <w:rFonts w:ascii="Arial" w:eastAsia="Times New Roman" w:hAnsi="Arial" w:cs="Arial"/>
          <w:b/>
          <w:bCs/>
          <w:i/>
          <w:iCs/>
          <w:sz w:val="24"/>
          <w:szCs w:val="24"/>
          <w:lang w:eastAsia="es-ES"/>
        </w:rPr>
        <w:t xml:space="preserve"> DEMANDADA</w:t>
      </w:r>
      <w:r>
        <w:rPr>
          <w:rFonts w:ascii="Arial" w:eastAsia="Times New Roman" w:hAnsi="Arial" w:cs="Arial"/>
          <w:b/>
          <w:bCs/>
          <w:i/>
          <w:iCs/>
          <w:sz w:val="24"/>
          <w:szCs w:val="24"/>
          <w:lang w:eastAsia="es-ES"/>
        </w:rPr>
        <w:t xml:space="preserve">S, </w:t>
      </w:r>
      <w:r>
        <w:rPr>
          <w:rFonts w:ascii="Arial" w:eastAsia="Times New Roman" w:hAnsi="Arial" w:cs="Arial"/>
          <w:bCs/>
          <w:i/>
          <w:iCs/>
          <w:sz w:val="24"/>
          <w:szCs w:val="24"/>
          <w:lang w:eastAsia="es-ES"/>
        </w:rPr>
        <w:t>con fundamento en los artículos 142 fracción I y 143 fracciones I y II, de la Ley de Justicia Administrativa para el Estado de Oaxaca.- - - - - - - - - - - - - -</w:t>
      </w:r>
      <w:r w:rsidRPr="00C06661">
        <w:rPr>
          <w:rFonts w:ascii="Arial" w:eastAsia="Times New Roman" w:hAnsi="Arial" w:cs="Arial"/>
          <w:bCs/>
          <w:i/>
          <w:iCs/>
          <w:sz w:val="24"/>
          <w:szCs w:val="24"/>
          <w:lang w:eastAsia="es-ES"/>
        </w:rPr>
        <w:t>”</w:t>
      </w:r>
    </w:p>
    <w:p w:rsidR="003B5FEA" w:rsidRPr="00CB6405" w:rsidRDefault="003B5FEA" w:rsidP="003B5FEA">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3B5FEA" w:rsidRPr="00CB6405" w:rsidRDefault="003B5FEA" w:rsidP="003B5FEA">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B23FC1">
        <w:rPr>
          <w:rFonts w:ascii="Arial" w:eastAsia="Calibri" w:hAnsi="Arial" w:cs="Arial"/>
          <w:bCs/>
          <w:iCs/>
          <w:sz w:val="26"/>
          <w:szCs w:val="26"/>
          <w:lang w:eastAsia="es-ES"/>
        </w:rPr>
        <w:t>Esta Sala Superior</w:t>
      </w:r>
      <w:r w:rsidRPr="00B23FC1">
        <w:rPr>
          <w:rFonts w:ascii="Arial" w:eastAsia="Calibri" w:hAnsi="Arial" w:cs="Arial"/>
          <w:b/>
          <w:bCs/>
          <w:iCs/>
          <w:sz w:val="26"/>
          <w:szCs w:val="26"/>
          <w:lang w:eastAsia="es-ES"/>
        </w:rPr>
        <w:t xml:space="preserve"> </w:t>
      </w:r>
      <w:r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12 doce de abril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sidRPr="003B5FEA">
        <w:rPr>
          <w:rFonts w:ascii="Arial" w:hAnsi="Arial" w:cs="Arial"/>
          <w:b/>
          <w:bCs/>
          <w:iCs/>
          <w:sz w:val="26"/>
          <w:szCs w:val="26"/>
          <w:highlight w:val="yellow"/>
        </w:rPr>
        <w:t>093/2017</w:t>
      </w:r>
      <w:r w:rsidRPr="003B5FEA">
        <w:rPr>
          <w:rFonts w:ascii="Arial" w:hAnsi="Arial" w:cs="Arial"/>
          <w:sz w:val="26"/>
          <w:szCs w:val="26"/>
          <w:highlight w:val="yellow"/>
        </w:rPr>
        <w:t>.</w:t>
      </w:r>
    </w:p>
    <w:p w:rsidR="003B5FEA" w:rsidRPr="00CB6405" w:rsidRDefault="003B5FEA" w:rsidP="003B5FEA">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3B5FEA" w:rsidRDefault="003B5FEA" w:rsidP="003B5FEA">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D75DC7">
        <w:rPr>
          <w:rFonts w:ascii="Arial" w:eastAsia="Calibri" w:hAnsi="Arial" w:cs="Arial"/>
          <w:bCs/>
          <w:sz w:val="26"/>
          <w:szCs w:val="26"/>
        </w:rPr>
        <w:t>E</w:t>
      </w:r>
      <w:r>
        <w:rPr>
          <w:rFonts w:ascii="Arial" w:eastAsia="Calibri" w:hAnsi="Arial" w:cs="Arial"/>
          <w:bCs/>
          <w:sz w:val="26"/>
          <w:szCs w:val="26"/>
        </w:rPr>
        <w:t>l artículo 206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Justicia Administrativa para el Estado de Oaxaca, </w:t>
      </w:r>
      <w:r>
        <w:rPr>
          <w:rFonts w:ascii="Arial" w:hAnsi="Arial" w:cs="Arial"/>
          <w:bCs/>
          <w:iCs/>
          <w:sz w:val="26"/>
          <w:szCs w:val="26"/>
        </w:rPr>
        <w:t>vigente al inicio del juicio principal</w:t>
      </w:r>
      <w:r>
        <w:rPr>
          <w:rFonts w:ascii="Arial" w:hAnsi="Arial" w:cs="Arial"/>
          <w:sz w:val="26"/>
          <w:szCs w:val="26"/>
        </w:rPr>
        <w:t xml:space="preserve">, </w:t>
      </w:r>
      <w:r>
        <w:rPr>
          <w:rFonts w:ascii="Arial" w:eastAsia="Calibri" w:hAnsi="Arial" w:cs="Arial"/>
          <w:bCs/>
          <w:sz w:val="26"/>
          <w:szCs w:val="26"/>
        </w:rPr>
        <w:t>los acuerdos y resoluciones de la primera instancia, podrán ser impugnadas por las partes; y, de conformidad con lo estatuido por el artículo 133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rsidR="003B5FEA" w:rsidRDefault="003B5FEA" w:rsidP="003B5FEA">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conforme lo dispuesto por el artículo 173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citada Ley de Justicia Administrativa para el Estado, por tratase de actuaciones judiciales, se observar que la Recaudadora de Rentas del Municipio de Oaxaca Juárez, es autoridad demandada; sin embargo, el acto impugnado y del cual se declaró su nulidad lo constituye el acta de infracción folio 26509 de 8 ocho de septiembre de 2017 dos mil diecisiete.</w:t>
      </w:r>
    </w:p>
    <w:p w:rsidR="003B5FEA" w:rsidRDefault="003B5FEA" w:rsidP="003B5FEA">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PV-47, adscrito a la Comisaría de Vialidad Municipal de Oaxaca de Juárez, Oaxaca; de donde, aun cuando la Recaudadora de Rentas, fue señalado por el actor como autoridad demandada; lo cierto es que, no cuenta con legitimación para impugnar la determinación de declarar nulo ese acto de autoridad diversa.</w:t>
      </w:r>
    </w:p>
    <w:p w:rsidR="003B5FEA" w:rsidRDefault="003B5FEA" w:rsidP="003B5FE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3B5FEA" w:rsidRDefault="003B5FEA" w:rsidP="003B5FE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PV-47, de la Comisaría de Vialidad Municipal de Oaxaca de Juárez, Oaxaca, sólo a dicha autoridad corresponde la legitimación para impugnarla en lo atinente a tal declaración de nulidad y sus efectos.</w:t>
      </w:r>
    </w:p>
    <w:p w:rsidR="003B5FEA" w:rsidRDefault="003B5FEA" w:rsidP="003B5FEA">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3B5FEA" w:rsidRDefault="003B5FEA" w:rsidP="003B5FEA">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eastAsia="Calibri" w:hAnsi="Arial" w:cs="Arial"/>
          <w:bCs/>
          <w:i/>
          <w:sz w:val="24"/>
          <w:szCs w:val="24"/>
        </w:rPr>
        <w:t>promovente</w:t>
      </w:r>
      <w:proofErr w:type="spellEnd"/>
      <w:r w:rsidRPr="00DC6CDC">
        <w:rPr>
          <w:rFonts w:ascii="Arial" w:eastAsia="Calibri" w:hAnsi="Arial" w:cs="Arial"/>
          <w:bCs/>
          <w:i/>
          <w:sz w:val="24"/>
          <w:szCs w:val="24"/>
        </w:rPr>
        <w:t xml:space="preserve"> sea autoridad, sino también que la sentencia impugnada le agravie, con lo que se justifica su interés en que sea modificada o revocada.</w:t>
      </w:r>
      <w:r>
        <w:rPr>
          <w:rFonts w:ascii="Arial" w:eastAsia="Calibri" w:hAnsi="Arial" w:cs="Arial"/>
          <w:bCs/>
          <w:sz w:val="24"/>
          <w:szCs w:val="24"/>
        </w:rPr>
        <w:t>”</w:t>
      </w:r>
    </w:p>
    <w:p w:rsidR="003B5FEA" w:rsidRPr="009632BE" w:rsidRDefault="003B5FEA" w:rsidP="003B5FEA">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3B5FEA" w:rsidRPr="00807D70" w:rsidRDefault="003B5FEA" w:rsidP="003B5FEA">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3B5FEA" w:rsidRPr="009632BE" w:rsidRDefault="003B5FEA" w:rsidP="003B5FEA">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3B5FEA" w:rsidRPr="00807D70" w:rsidRDefault="003B5FEA" w:rsidP="003B5FEA">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3B5FEA" w:rsidRDefault="003B5FEA" w:rsidP="003B5FEA">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 xml:space="preserve">con fundamento en los artículos 207 y 208 de la Ley de Justicia Administrativa para el Estado, </w:t>
      </w:r>
      <w:r>
        <w:rPr>
          <w:rFonts w:ascii="Arial" w:hAnsi="Arial" w:cs="Arial"/>
          <w:bCs/>
          <w:iCs/>
          <w:sz w:val="26"/>
          <w:szCs w:val="26"/>
        </w:rPr>
        <w:t>vigente al inicio de juicio principal</w:t>
      </w:r>
      <w:r>
        <w:rPr>
          <w:rFonts w:ascii="Arial" w:hAnsi="Arial" w:cs="Arial"/>
          <w:sz w:val="26"/>
          <w:szCs w:val="26"/>
        </w:rPr>
        <w:t>, se:</w:t>
      </w:r>
    </w:p>
    <w:p w:rsidR="003B5FEA" w:rsidRPr="003B5FEA" w:rsidRDefault="003B5FEA" w:rsidP="003B5FEA">
      <w:pPr>
        <w:pStyle w:val="Sinespaciado"/>
        <w:spacing w:before="240" w:line="360" w:lineRule="auto"/>
        <w:jc w:val="center"/>
        <w:rPr>
          <w:rFonts w:ascii="Arial" w:hAnsi="Arial" w:cs="Arial"/>
          <w:b/>
          <w:sz w:val="26"/>
          <w:szCs w:val="26"/>
        </w:rPr>
      </w:pPr>
      <w:r w:rsidRPr="003B5FEA">
        <w:rPr>
          <w:rFonts w:ascii="Arial" w:hAnsi="Arial" w:cs="Arial"/>
          <w:b/>
          <w:sz w:val="26"/>
          <w:szCs w:val="26"/>
        </w:rPr>
        <w:t>R E S U E L V E</w:t>
      </w:r>
    </w:p>
    <w:p w:rsidR="003B5FEA" w:rsidRDefault="003B5FEA" w:rsidP="003B5FEA">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3B5FEA" w:rsidRDefault="003B5FEA" w:rsidP="003B5FEA">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Cuarta Sala Unitaria de Primera Instancia de este Tribunal y en su oportunidad archívese el presente cuaderno de revisión como asunto concluido.</w:t>
      </w:r>
    </w:p>
    <w:p w:rsidR="003B5FEA" w:rsidRDefault="003B5FEA" w:rsidP="003B5FE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7D4C" w:rsidRDefault="00CB7D4C" w:rsidP="00C35063">
      <w:pPr>
        <w:spacing w:line="360" w:lineRule="auto"/>
        <w:jc w:val="both"/>
        <w:rPr>
          <w:rFonts w:ascii="Arial" w:eastAsiaTheme="minorEastAsia" w:hAnsi="Arial" w:cs="Arial"/>
          <w:sz w:val="26"/>
          <w:szCs w:val="26"/>
          <w:lang w:val="es-MX" w:eastAsia="es-MX"/>
        </w:rPr>
      </w:pPr>
    </w:p>
    <w:p w:rsidR="003B5FEA" w:rsidRDefault="003B5FEA" w:rsidP="00C35063">
      <w:pPr>
        <w:spacing w:line="360" w:lineRule="auto"/>
        <w:jc w:val="both"/>
        <w:rPr>
          <w:rFonts w:ascii="Arial" w:eastAsiaTheme="minorEastAsia" w:hAnsi="Arial" w:cs="Arial"/>
          <w:sz w:val="26"/>
          <w:szCs w:val="26"/>
          <w:lang w:val="es-MX" w:eastAsia="es-MX"/>
        </w:rPr>
      </w:pPr>
    </w:p>
    <w:p w:rsidR="003B5FEA" w:rsidRDefault="003B5FEA"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B5FEA" w:rsidRDefault="003B5FEA" w:rsidP="00C35063">
      <w:pPr>
        <w:spacing w:line="360" w:lineRule="auto"/>
        <w:rPr>
          <w:rFonts w:ascii="Arial" w:eastAsia="Calibri" w:hAnsi="Arial" w:cs="Arial"/>
          <w:sz w:val="26"/>
          <w:szCs w:val="26"/>
        </w:rPr>
      </w:pPr>
    </w:p>
    <w:p w:rsidR="00C35063" w:rsidRPr="003B5FEA" w:rsidRDefault="003B5FEA" w:rsidP="003B5FEA">
      <w:pPr>
        <w:spacing w:line="360" w:lineRule="auto"/>
        <w:jc w:val="center"/>
        <w:rPr>
          <w:rFonts w:ascii="Arial" w:eastAsia="Calibri" w:hAnsi="Arial" w:cs="Arial"/>
          <w:b/>
          <w:sz w:val="16"/>
          <w:szCs w:val="26"/>
        </w:rPr>
      </w:pPr>
      <w:r w:rsidRPr="003B5FEA">
        <w:rPr>
          <w:rFonts w:ascii="Arial" w:eastAsia="Calibri" w:hAnsi="Arial" w:cs="Arial"/>
          <w:b/>
          <w:sz w:val="16"/>
          <w:szCs w:val="26"/>
          <w:highlight w:val="yellow"/>
        </w:rPr>
        <w:t>LAS PRESENTES FIRMAS CORRESPONDEN AL RECURSO DE REVSIÓN 216/2018</w:t>
      </w: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3B5FEA" w:rsidRDefault="003B5FEA"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B7D4C" w:rsidRDefault="00CB7D4C"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26" w:rsidRDefault="00A97B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26" w:rsidRDefault="00A97B26">
    <w:pPr>
      <w:pStyle w:val="Piedepgina"/>
    </w:pPr>
    <w:r>
      <w:rPr>
        <w:noProof/>
        <w:lang w:val="es-MX" w:eastAsia="es-MX"/>
      </w:rPr>
      <w:drawing>
        <wp:anchor distT="0" distB="0" distL="114300" distR="114300" simplePos="0" relativeHeight="251673088" behindDoc="0" locked="0" layoutInCell="1" allowOverlap="1" wp14:anchorId="620B6E69" wp14:editId="6B97AFA6">
          <wp:simplePos x="0" y="0"/>
          <wp:positionH relativeFrom="column">
            <wp:posOffset>-1337056</wp:posOffset>
          </wp:positionH>
          <wp:positionV relativeFrom="paragraph">
            <wp:posOffset>-4182872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26" w:rsidRDefault="00A97B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 w:id="1">
    <w:p w:rsidR="003B5FEA" w:rsidRPr="009829E3" w:rsidRDefault="003B5FEA" w:rsidP="003B5FEA">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206.- Contra los acuerdos y resoluciones dictados por los Jueces de Primera Instancia, procede el recurso de revisión, cuyo conocimiento y resolución corresponde a la Sala Superior.</w:t>
      </w:r>
    </w:p>
    <w:p w:rsidR="003B5FEA" w:rsidRPr="009829E3" w:rsidRDefault="003B5FEA" w:rsidP="003B5FEA">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3B5FEA" w:rsidRPr="009829E3" w:rsidRDefault="003B5FEA" w:rsidP="003B5FEA">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3B5FEA" w:rsidRPr="009829E3" w:rsidRDefault="003B5FEA" w:rsidP="003B5FEA">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133.- Son partes en el juicio contencioso administrativo:</w:t>
      </w:r>
    </w:p>
    <w:p w:rsidR="003B5FEA" w:rsidRPr="009829E3" w:rsidRDefault="003B5FEA" w:rsidP="003B5FEA">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3B5FEA" w:rsidRPr="009829E3" w:rsidRDefault="003B5FEA" w:rsidP="003B5FEA">
      <w:pPr>
        <w:pStyle w:val="Sinespaciado"/>
        <w:rPr>
          <w:rFonts w:ascii="Arial" w:hAnsi="Arial" w:cs="Arial"/>
          <w:sz w:val="18"/>
          <w:szCs w:val="18"/>
        </w:rPr>
      </w:pPr>
      <w:r w:rsidRPr="009829E3">
        <w:rPr>
          <w:rFonts w:ascii="Arial" w:hAnsi="Arial" w:cs="Arial"/>
          <w:sz w:val="18"/>
          <w:szCs w:val="18"/>
        </w:rPr>
        <w:t xml:space="preserve">   …</w:t>
      </w:r>
    </w:p>
    <w:p w:rsidR="003B5FEA" w:rsidRPr="009829E3" w:rsidRDefault="003B5FEA" w:rsidP="003B5FEA">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3B5FEA" w:rsidRPr="009829E3" w:rsidRDefault="003B5FEA" w:rsidP="003B5FEA">
      <w:pPr>
        <w:pStyle w:val="Sinespaciado"/>
        <w:rPr>
          <w:rFonts w:ascii="Arial" w:hAnsi="Arial" w:cs="Arial"/>
          <w:sz w:val="18"/>
          <w:szCs w:val="18"/>
        </w:rPr>
      </w:pPr>
      <w:r w:rsidRPr="009829E3">
        <w:rPr>
          <w:rFonts w:ascii="Arial" w:hAnsi="Arial" w:cs="Arial"/>
          <w:sz w:val="18"/>
          <w:szCs w:val="18"/>
        </w:rPr>
        <w:t xml:space="preserve">   ….</w:t>
      </w:r>
    </w:p>
    <w:p w:rsidR="003B5FEA" w:rsidRPr="009829E3" w:rsidRDefault="003B5FEA" w:rsidP="003B5FEA">
      <w:pPr>
        <w:pStyle w:val="Sinespaciado"/>
        <w:rPr>
          <w:sz w:val="18"/>
          <w:szCs w:val="18"/>
        </w:rPr>
      </w:pPr>
      <w:r w:rsidRPr="009829E3">
        <w:rPr>
          <w:rFonts w:ascii="Arial" w:hAnsi="Arial" w:cs="Arial"/>
          <w:sz w:val="18"/>
          <w:szCs w:val="18"/>
        </w:rPr>
        <w:t xml:space="preserve">   III. El tercero afectado, …”</w:t>
      </w:r>
    </w:p>
  </w:footnote>
  <w:footnote w:id="3">
    <w:p w:rsidR="003B5FEA" w:rsidRDefault="003B5FEA" w:rsidP="003B5FEA">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3B5FEA" w:rsidRDefault="003B5FEA" w:rsidP="003B5FEA">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3B5FEA" w:rsidRPr="00D85145" w:rsidRDefault="003B5FEA" w:rsidP="003B5FEA">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983DAC">
          <w:rPr>
            <w:noProof/>
          </w:rPr>
          <w:t>8</w:t>
        </w:r>
        <w:r>
          <w:fldChar w:fldCharType="end"/>
        </w:r>
      </w:p>
    </w:sdtContent>
  </w:sdt>
  <w:p w:rsidR="00126798" w:rsidRDefault="00A97B26">
    <w:pPr>
      <w:pStyle w:val="Encabezado"/>
    </w:pPr>
    <w:bookmarkStart w:id="0" w:name="_GoBack"/>
    <w:r>
      <w:rPr>
        <w:noProof/>
        <w:lang w:val="es-MX" w:eastAsia="es-MX"/>
      </w:rPr>
      <w:drawing>
        <wp:anchor distT="0" distB="0" distL="114300" distR="114300" simplePos="0" relativeHeight="251681280" behindDoc="0" locked="0" layoutInCell="1" allowOverlap="1" wp14:anchorId="7DA32E84" wp14:editId="783C6EF1">
          <wp:simplePos x="0" y="0"/>
          <wp:positionH relativeFrom="column">
            <wp:posOffset>5534025</wp:posOffset>
          </wp:positionH>
          <wp:positionV relativeFrom="paragraph">
            <wp:posOffset>3434207</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983DAC">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5920" behindDoc="0" locked="0" layoutInCell="1" allowOverlap="1" wp14:anchorId="0B1E441D" wp14:editId="2327CF73">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49536" behindDoc="1" locked="0" layoutInCell="1" allowOverlap="1" wp14:anchorId="494E2A1F" wp14:editId="56B2BBB4">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26" w:rsidRDefault="00A97B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3DAC"/>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97B26"/>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39A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7BAF-D83B-4C99-A6E2-2B0B89E5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8</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395</cp:revision>
  <cp:lastPrinted>2019-02-20T16:12:00Z</cp:lastPrinted>
  <dcterms:created xsi:type="dcterms:W3CDTF">2018-05-04T17:53:00Z</dcterms:created>
  <dcterms:modified xsi:type="dcterms:W3CDTF">2019-04-08T19:53:00Z</dcterms:modified>
</cp:coreProperties>
</file>