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1D20BF" w:rsidRPr="00CB6405" w:rsidRDefault="00EA15AC" w:rsidP="001D20BF">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201</w:t>
      </w:r>
      <w:r w:rsidR="001D20BF" w:rsidRPr="00CB6405">
        <w:rPr>
          <w:rFonts w:ascii="Arial" w:hAnsi="Arial" w:cs="Arial"/>
          <w:b/>
          <w:sz w:val="26"/>
          <w:szCs w:val="26"/>
        </w:rPr>
        <w:t>/201</w:t>
      </w:r>
      <w:r>
        <w:rPr>
          <w:rFonts w:ascii="Arial" w:hAnsi="Arial" w:cs="Arial"/>
          <w:b/>
          <w:sz w:val="26"/>
          <w:szCs w:val="26"/>
        </w:rPr>
        <w:t>9</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EA15AC">
        <w:rPr>
          <w:rFonts w:ascii="Arial" w:hAnsi="Arial" w:cs="Arial"/>
          <w:b/>
          <w:sz w:val="26"/>
          <w:szCs w:val="26"/>
        </w:rPr>
        <w:t>18</w:t>
      </w:r>
      <w:r>
        <w:rPr>
          <w:rFonts w:ascii="Arial" w:hAnsi="Arial" w:cs="Arial"/>
          <w:b/>
          <w:sz w:val="26"/>
          <w:szCs w:val="26"/>
        </w:rPr>
        <w:t>/</w:t>
      </w:r>
      <w:r w:rsidRPr="00CB6405">
        <w:rPr>
          <w:rFonts w:ascii="Arial" w:hAnsi="Arial" w:cs="Arial"/>
          <w:b/>
          <w:sz w:val="26"/>
          <w:szCs w:val="26"/>
        </w:rPr>
        <w:t>201</w:t>
      </w:r>
      <w:r w:rsidR="00EA15AC">
        <w:rPr>
          <w:rFonts w:ascii="Arial" w:hAnsi="Arial" w:cs="Arial"/>
          <w:b/>
          <w:sz w:val="26"/>
          <w:szCs w:val="26"/>
        </w:rPr>
        <w:t>8</w:t>
      </w:r>
      <w:r w:rsidRPr="00CB6405">
        <w:rPr>
          <w:rFonts w:ascii="Arial" w:hAnsi="Arial" w:cs="Arial"/>
          <w:b/>
          <w:sz w:val="26"/>
          <w:szCs w:val="26"/>
        </w:rPr>
        <w:t xml:space="preserve"> </w:t>
      </w:r>
      <w:r w:rsidR="00EA15AC">
        <w:rPr>
          <w:rFonts w:ascii="Arial" w:hAnsi="Arial" w:cs="Arial"/>
          <w:b/>
          <w:sz w:val="26"/>
          <w:szCs w:val="26"/>
        </w:rPr>
        <w:t>TERCERA</w:t>
      </w:r>
      <w:r w:rsidR="008A58B7">
        <w:rPr>
          <w:rFonts w:ascii="Arial" w:hAnsi="Arial" w:cs="Arial"/>
          <w:b/>
          <w:sz w:val="26"/>
          <w:szCs w:val="26"/>
        </w:rPr>
        <w:t xml:space="preserve"> </w:t>
      </w:r>
      <w:r w:rsidRPr="00CB6405">
        <w:rPr>
          <w:rFonts w:ascii="Arial" w:hAnsi="Arial" w:cs="Arial"/>
          <w:b/>
          <w:sz w:val="26"/>
          <w:szCs w:val="26"/>
        </w:rPr>
        <w:t>SALA UNITARIA DE PRIMERA INSTANCIA</w:t>
      </w:r>
    </w:p>
    <w:p w:rsidR="001D20BF" w:rsidRPr="00CB6405" w:rsidRDefault="001D20BF" w:rsidP="001D20BF">
      <w:pPr>
        <w:spacing w:line="240" w:lineRule="auto"/>
        <w:ind w:left="2124"/>
        <w:jc w:val="both"/>
        <w:rPr>
          <w:rFonts w:ascii="Arial" w:hAnsi="Arial" w:cs="Arial"/>
          <w:b/>
          <w:sz w:val="26"/>
          <w:szCs w:val="26"/>
        </w:rPr>
      </w:pPr>
      <w:r w:rsidRPr="00CB6405">
        <w:rPr>
          <w:rFonts w:ascii="Arial" w:hAnsi="Arial" w:cs="Arial"/>
          <w:b/>
          <w:sz w:val="26"/>
          <w:szCs w:val="26"/>
        </w:rPr>
        <w:t>PONENTE: MAGI</w:t>
      </w:r>
      <w:r w:rsidR="00EA15AC">
        <w:rPr>
          <w:rFonts w:ascii="Arial" w:hAnsi="Arial" w:cs="Arial"/>
          <w:b/>
          <w:sz w:val="26"/>
          <w:szCs w:val="26"/>
        </w:rPr>
        <w:t>STRADO ABRAHAM SANTIAGO SORIANO.</w:t>
      </w:r>
    </w:p>
    <w:p w:rsidR="001D20BF" w:rsidRDefault="00166FBA" w:rsidP="001D20B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26557F">
        <w:rPr>
          <w:rFonts w:ascii="Arial" w:hAnsi="Arial" w:cs="Arial"/>
          <w:b/>
          <w:sz w:val="26"/>
          <w:szCs w:val="26"/>
        </w:rPr>
        <w:t xml:space="preserve">CINCO DE </w:t>
      </w:r>
      <w:r w:rsidR="00D75AF1">
        <w:rPr>
          <w:rFonts w:ascii="Arial" w:hAnsi="Arial" w:cs="Arial"/>
          <w:b/>
          <w:sz w:val="26"/>
          <w:szCs w:val="26"/>
        </w:rPr>
        <w:t>DI</w:t>
      </w:r>
      <w:r w:rsidR="00E852A2">
        <w:rPr>
          <w:rFonts w:ascii="Arial" w:hAnsi="Arial" w:cs="Arial"/>
          <w:b/>
          <w:sz w:val="26"/>
          <w:szCs w:val="26"/>
        </w:rPr>
        <w:t>CIEMBRE</w:t>
      </w:r>
      <w:r w:rsidR="002C61A3">
        <w:rPr>
          <w:rFonts w:ascii="Arial" w:hAnsi="Arial" w:cs="Arial"/>
          <w:b/>
          <w:sz w:val="26"/>
          <w:szCs w:val="26"/>
        </w:rPr>
        <w:t xml:space="preserve"> </w:t>
      </w:r>
      <w:r w:rsidR="001D20BF">
        <w:rPr>
          <w:rFonts w:ascii="Arial" w:hAnsi="Arial" w:cs="Arial"/>
          <w:b/>
          <w:sz w:val="26"/>
          <w:szCs w:val="26"/>
        </w:rPr>
        <w:t xml:space="preserve">DE DOS MIL DIECINUEVE. </w:t>
      </w:r>
    </w:p>
    <w:p w:rsidR="001D20BF" w:rsidRPr="00CB6405" w:rsidRDefault="001D20BF" w:rsidP="001D20BF">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00EA15AC">
        <w:rPr>
          <w:rFonts w:ascii="Arial" w:hAnsi="Arial" w:cs="Arial"/>
          <w:b/>
          <w:sz w:val="26"/>
          <w:szCs w:val="26"/>
        </w:rPr>
        <w:t>201</w:t>
      </w:r>
      <w:r w:rsidRPr="00CB6405">
        <w:rPr>
          <w:rFonts w:ascii="Arial" w:hAnsi="Arial" w:cs="Arial"/>
          <w:b/>
          <w:sz w:val="26"/>
          <w:szCs w:val="26"/>
        </w:rPr>
        <w:t>/201</w:t>
      </w:r>
      <w:r w:rsidR="00EA15AC">
        <w:rPr>
          <w:rFonts w:ascii="Arial" w:hAnsi="Arial" w:cs="Arial"/>
          <w:b/>
          <w:sz w:val="26"/>
          <w:szCs w:val="26"/>
        </w:rPr>
        <w:t>9</w:t>
      </w:r>
      <w:r w:rsidRPr="00CB6405">
        <w:rPr>
          <w:rFonts w:ascii="Arial" w:hAnsi="Arial" w:cs="Arial"/>
          <w:sz w:val="26"/>
          <w:szCs w:val="26"/>
        </w:rPr>
        <w:t xml:space="preserve">, que remite la Secretaría General de Acuerdos, con motivo del recurso de revisión interpuesto por </w:t>
      </w:r>
      <w:r>
        <w:rPr>
          <w:rFonts w:ascii="Arial" w:hAnsi="Arial" w:cs="Arial"/>
          <w:sz w:val="26"/>
          <w:szCs w:val="26"/>
        </w:rPr>
        <w:t xml:space="preserve">la </w:t>
      </w:r>
      <w:r w:rsidR="008A58B7">
        <w:rPr>
          <w:rFonts w:ascii="Arial" w:hAnsi="Arial" w:cs="Arial"/>
          <w:b/>
          <w:sz w:val="26"/>
          <w:szCs w:val="26"/>
        </w:rPr>
        <w:t>JEFA DE LA</w:t>
      </w:r>
      <w:r w:rsidR="00EA15AC">
        <w:rPr>
          <w:rFonts w:ascii="Arial" w:hAnsi="Arial" w:cs="Arial"/>
          <w:b/>
          <w:sz w:val="26"/>
          <w:szCs w:val="26"/>
        </w:rPr>
        <w:t xml:space="preserve"> UNIDAD DE RECAUDACIÓN</w:t>
      </w:r>
      <w:r w:rsidR="008A58B7">
        <w:rPr>
          <w:rFonts w:ascii="Arial" w:hAnsi="Arial" w:cs="Arial"/>
          <w:b/>
          <w:sz w:val="26"/>
          <w:szCs w:val="26"/>
        </w:rPr>
        <w:t xml:space="preserve"> DEL MUNICIPIO DE OAXACA DE </w:t>
      </w:r>
      <w:r w:rsidRPr="003E2B2E">
        <w:rPr>
          <w:rFonts w:ascii="Arial" w:hAnsi="Arial" w:cs="Arial"/>
          <w:b/>
          <w:sz w:val="26"/>
          <w:szCs w:val="26"/>
        </w:rPr>
        <w:t>JUÁREZ</w:t>
      </w:r>
      <w:r>
        <w:rPr>
          <w:rFonts w:ascii="Arial" w:hAnsi="Arial" w:cs="Arial"/>
          <w:b/>
          <w:sz w:val="26"/>
          <w:szCs w:val="26"/>
        </w:rPr>
        <w:t>, OAXACA</w:t>
      </w:r>
      <w:r w:rsidRPr="00CB6405">
        <w:rPr>
          <w:rFonts w:ascii="Arial" w:hAnsi="Arial" w:cs="Arial"/>
          <w:sz w:val="26"/>
          <w:szCs w:val="26"/>
        </w:rPr>
        <w:t>, en contra de</w:t>
      </w:r>
      <w:r>
        <w:rPr>
          <w:rFonts w:ascii="Arial" w:hAnsi="Arial" w:cs="Arial"/>
          <w:sz w:val="26"/>
          <w:szCs w:val="26"/>
        </w:rPr>
        <w:t xml:space="preserve"> la sentencia de </w:t>
      </w:r>
      <w:r w:rsidR="00EA15AC">
        <w:rPr>
          <w:rFonts w:ascii="Arial" w:hAnsi="Arial" w:cs="Arial"/>
          <w:sz w:val="26"/>
          <w:szCs w:val="26"/>
        </w:rPr>
        <w:t>veintitrés de mayo de dos mil diecinueve</w:t>
      </w:r>
      <w:r>
        <w:rPr>
          <w:rFonts w:ascii="Arial" w:hAnsi="Arial" w:cs="Arial"/>
          <w:sz w:val="26"/>
          <w:szCs w:val="26"/>
        </w:rPr>
        <w:t>, dictada</w:t>
      </w:r>
      <w:r w:rsidRPr="00CB6405">
        <w:rPr>
          <w:rFonts w:ascii="Arial" w:hAnsi="Arial" w:cs="Arial"/>
          <w:sz w:val="26"/>
          <w:szCs w:val="26"/>
        </w:rPr>
        <w:t xml:space="preserve"> en el expediente </w:t>
      </w:r>
      <w:r w:rsidR="00EA15AC">
        <w:rPr>
          <w:rFonts w:ascii="Arial" w:hAnsi="Arial" w:cs="Arial"/>
          <w:b/>
          <w:sz w:val="26"/>
          <w:szCs w:val="26"/>
        </w:rPr>
        <w:t>18</w:t>
      </w:r>
      <w:r w:rsidRPr="00CB6405">
        <w:rPr>
          <w:rFonts w:ascii="Arial" w:hAnsi="Arial" w:cs="Arial"/>
          <w:b/>
          <w:sz w:val="26"/>
          <w:szCs w:val="26"/>
        </w:rPr>
        <w:t>/201</w:t>
      </w:r>
      <w:r w:rsidR="00EA15AC">
        <w:rPr>
          <w:rFonts w:ascii="Arial" w:hAnsi="Arial" w:cs="Arial"/>
          <w:b/>
          <w:sz w:val="26"/>
          <w:szCs w:val="26"/>
        </w:rPr>
        <w:t>8</w:t>
      </w:r>
      <w:r w:rsidRPr="00CB6405">
        <w:rPr>
          <w:rFonts w:ascii="Arial" w:hAnsi="Arial" w:cs="Arial"/>
          <w:sz w:val="26"/>
          <w:szCs w:val="26"/>
        </w:rPr>
        <w:t xml:space="preserve"> de la </w:t>
      </w:r>
      <w:r w:rsidR="00EA15AC">
        <w:rPr>
          <w:rFonts w:ascii="Arial" w:hAnsi="Arial" w:cs="Arial"/>
          <w:sz w:val="26"/>
          <w:szCs w:val="26"/>
        </w:rPr>
        <w:t>Tercera</w:t>
      </w:r>
      <w:r w:rsidR="008A58B7">
        <w:rPr>
          <w:rFonts w:ascii="Arial" w:hAnsi="Arial" w:cs="Arial"/>
          <w:sz w:val="26"/>
          <w:szCs w:val="26"/>
        </w:rPr>
        <w:t xml:space="preserve">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4A5330">
        <w:rPr>
          <w:rFonts w:ascii="Arial" w:hAnsi="Arial" w:cs="Arial"/>
          <w:b/>
          <w:sz w:val="26"/>
          <w:szCs w:val="26"/>
        </w:rPr>
        <w:t>**********</w:t>
      </w:r>
      <w:r w:rsidR="00EA15AC">
        <w:rPr>
          <w:rFonts w:ascii="Arial" w:hAnsi="Arial" w:cs="Arial"/>
          <w:b/>
          <w:sz w:val="26"/>
          <w:szCs w:val="26"/>
        </w:rPr>
        <w:t>,</w:t>
      </w:r>
      <w:r w:rsidR="008A58B7">
        <w:rPr>
          <w:rFonts w:ascii="Arial" w:hAnsi="Arial" w:cs="Arial"/>
          <w:b/>
          <w:sz w:val="26"/>
          <w:szCs w:val="26"/>
        </w:rPr>
        <w:t xml:space="preserve"> </w:t>
      </w:r>
      <w:r w:rsidR="00EA15AC">
        <w:rPr>
          <w:rFonts w:ascii="Arial" w:hAnsi="Arial" w:cs="Arial"/>
          <w:b/>
          <w:sz w:val="26"/>
          <w:szCs w:val="26"/>
        </w:rPr>
        <w:t>REPRESENTANTE</w:t>
      </w:r>
      <w:r w:rsidR="008A58B7">
        <w:rPr>
          <w:rFonts w:ascii="Arial" w:hAnsi="Arial" w:cs="Arial"/>
          <w:b/>
          <w:sz w:val="26"/>
          <w:szCs w:val="26"/>
        </w:rPr>
        <w:t xml:space="preserve"> LEGAL DE</w:t>
      </w:r>
      <w:r w:rsidR="00EA15AC">
        <w:rPr>
          <w:rFonts w:ascii="Arial" w:hAnsi="Arial" w:cs="Arial"/>
          <w:b/>
          <w:sz w:val="26"/>
          <w:szCs w:val="26"/>
        </w:rPr>
        <w:t xml:space="preserve"> SERVICIOS FINANCIEROS ALTERNATIVOS,</w:t>
      </w:r>
      <w:r w:rsidR="008A58B7">
        <w:rPr>
          <w:rFonts w:ascii="Arial" w:hAnsi="Arial" w:cs="Arial"/>
          <w:b/>
          <w:sz w:val="26"/>
          <w:szCs w:val="26"/>
        </w:rPr>
        <w:t xml:space="preserve"> S.A. DE C.V.</w:t>
      </w:r>
      <w:r w:rsidRPr="00D50F7C">
        <w:rPr>
          <w:rFonts w:ascii="Arial" w:hAnsi="Arial" w:cs="Arial"/>
          <w:sz w:val="26"/>
          <w:szCs w:val="26"/>
        </w:rPr>
        <w:t>,</w:t>
      </w:r>
      <w:r>
        <w:rPr>
          <w:rFonts w:ascii="Arial" w:hAnsi="Arial" w:cs="Arial"/>
          <w:b/>
          <w:sz w:val="26"/>
          <w:szCs w:val="26"/>
        </w:rPr>
        <w:t xml:space="preserve"> </w:t>
      </w:r>
      <w:r w:rsidRPr="006B6D39">
        <w:rPr>
          <w:rFonts w:ascii="Arial" w:hAnsi="Arial" w:cs="Arial"/>
          <w:sz w:val="26"/>
          <w:szCs w:val="26"/>
        </w:rPr>
        <w:t>en contra de</w:t>
      </w:r>
      <w:r w:rsidR="008A58B7">
        <w:rPr>
          <w:rFonts w:ascii="Arial" w:hAnsi="Arial" w:cs="Arial"/>
          <w:sz w:val="26"/>
          <w:szCs w:val="26"/>
        </w:rPr>
        <w:t xml:space="preserve"> </w:t>
      </w:r>
      <w:r w:rsidRPr="006B6D39">
        <w:rPr>
          <w:rFonts w:ascii="Arial" w:hAnsi="Arial" w:cs="Arial"/>
          <w:sz w:val="26"/>
          <w:szCs w:val="26"/>
        </w:rPr>
        <w:t>l</w:t>
      </w:r>
      <w:r w:rsidR="008A58B7">
        <w:rPr>
          <w:rFonts w:ascii="Arial" w:hAnsi="Arial" w:cs="Arial"/>
          <w:sz w:val="26"/>
          <w:szCs w:val="26"/>
        </w:rPr>
        <w:t>a</w:t>
      </w:r>
      <w:r>
        <w:rPr>
          <w:rFonts w:ascii="Arial" w:hAnsi="Arial" w:cs="Arial"/>
          <w:b/>
          <w:sz w:val="26"/>
          <w:szCs w:val="26"/>
        </w:rPr>
        <w:t xml:space="preserve"> </w:t>
      </w:r>
      <w:r w:rsidR="005B7DBB">
        <w:rPr>
          <w:rFonts w:ascii="Arial" w:hAnsi="Arial" w:cs="Arial"/>
          <w:b/>
          <w:sz w:val="26"/>
          <w:szCs w:val="26"/>
        </w:rPr>
        <w:t xml:space="preserve">JEFA DE LA UNIDAD DE RECAUDACIÓN DEL MUNICIPIO DE OAXACA DE </w:t>
      </w:r>
      <w:r w:rsidR="005B7DBB" w:rsidRPr="003E2B2E">
        <w:rPr>
          <w:rFonts w:ascii="Arial" w:hAnsi="Arial" w:cs="Arial"/>
          <w:b/>
          <w:sz w:val="26"/>
          <w:szCs w:val="26"/>
        </w:rPr>
        <w:t>JUÁREZ</w:t>
      </w:r>
      <w:r w:rsidR="005B7DBB">
        <w:rPr>
          <w:rFonts w:ascii="Arial" w:hAnsi="Arial" w:cs="Arial"/>
          <w:b/>
          <w:sz w:val="26"/>
          <w:szCs w:val="26"/>
        </w:rPr>
        <w:t>,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con fundamento en los artículos 2</w:t>
      </w:r>
      <w:r>
        <w:rPr>
          <w:rFonts w:ascii="Arial" w:hAnsi="Arial" w:cs="Arial"/>
          <w:sz w:val="26"/>
          <w:szCs w:val="26"/>
        </w:rPr>
        <w:t>3</w:t>
      </w:r>
      <w:r w:rsidRPr="00CB6405">
        <w:rPr>
          <w:rFonts w:ascii="Arial" w:hAnsi="Arial" w:cs="Arial"/>
          <w:sz w:val="26"/>
          <w:szCs w:val="26"/>
        </w:rPr>
        <w:t>7 y 2</w:t>
      </w:r>
      <w:r>
        <w:rPr>
          <w:rFonts w:ascii="Arial" w:hAnsi="Arial" w:cs="Arial"/>
          <w:sz w:val="26"/>
          <w:szCs w:val="26"/>
        </w:rPr>
        <w:t>3</w:t>
      </w:r>
      <w:r w:rsidRPr="00CB6405">
        <w:rPr>
          <w:rFonts w:ascii="Arial" w:hAnsi="Arial" w:cs="Arial"/>
          <w:sz w:val="26"/>
          <w:szCs w:val="26"/>
        </w:rPr>
        <w:t xml:space="preserve">8 de la Ley de </w:t>
      </w:r>
      <w:r>
        <w:rPr>
          <w:rFonts w:ascii="Arial" w:hAnsi="Arial" w:cs="Arial"/>
          <w:sz w:val="26"/>
          <w:szCs w:val="26"/>
        </w:rPr>
        <w:t xml:space="preserve">Procedimiento y </w:t>
      </w:r>
      <w:r w:rsidRPr="00CB6405">
        <w:rPr>
          <w:rFonts w:ascii="Arial" w:hAnsi="Arial" w:cs="Arial"/>
          <w:sz w:val="26"/>
          <w:szCs w:val="26"/>
        </w:rPr>
        <w:t>Justicia Administrativa para el Estado de Oaxaca, se admite. En consecuencia, se procede a dictar resolución en los siguientes términos:</w:t>
      </w:r>
    </w:p>
    <w:p w:rsidR="001D20BF" w:rsidRPr="00CB6405" w:rsidRDefault="001D20BF" w:rsidP="001D20BF">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1D20BF" w:rsidRPr="00CB6405" w:rsidRDefault="001D20BF" w:rsidP="001D20BF">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EA15AC">
        <w:rPr>
          <w:rFonts w:ascii="Arial" w:hAnsi="Arial" w:cs="Arial"/>
          <w:sz w:val="26"/>
          <w:szCs w:val="26"/>
        </w:rPr>
        <w:t>veintitrés de mayo de 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EA15AC">
        <w:rPr>
          <w:rFonts w:ascii="Arial" w:hAnsi="Arial" w:cs="Arial"/>
          <w:sz w:val="26"/>
          <w:szCs w:val="26"/>
        </w:rPr>
        <w:t>Tercera</w:t>
      </w:r>
      <w:r w:rsidR="008A58B7">
        <w:rPr>
          <w:rFonts w:ascii="Arial" w:hAnsi="Arial" w:cs="Arial"/>
          <w:sz w:val="26"/>
          <w:szCs w:val="26"/>
        </w:rPr>
        <w:t xml:space="preserve"> </w:t>
      </w:r>
      <w:r w:rsidRPr="00CB6405">
        <w:rPr>
          <w:rFonts w:ascii="Arial" w:hAnsi="Arial" w:cs="Arial"/>
          <w:sz w:val="26"/>
          <w:szCs w:val="26"/>
        </w:rPr>
        <w:t xml:space="preserve">Sala Unitaria de Primera Instancia, </w:t>
      </w:r>
      <w:r w:rsidR="008A58B7">
        <w:rPr>
          <w:rFonts w:ascii="Arial" w:hAnsi="Arial" w:cs="Arial"/>
          <w:sz w:val="26"/>
          <w:szCs w:val="26"/>
        </w:rPr>
        <w:t xml:space="preserve">la </w:t>
      </w:r>
      <w:r w:rsidR="008A58B7">
        <w:rPr>
          <w:rFonts w:ascii="Arial" w:hAnsi="Arial" w:cs="Arial"/>
          <w:b/>
          <w:sz w:val="26"/>
          <w:szCs w:val="26"/>
        </w:rPr>
        <w:t xml:space="preserve">JEFA DE LA </w:t>
      </w:r>
      <w:r w:rsidR="00EA15AC">
        <w:rPr>
          <w:rFonts w:ascii="Arial" w:hAnsi="Arial" w:cs="Arial"/>
          <w:b/>
          <w:sz w:val="26"/>
          <w:szCs w:val="26"/>
        </w:rPr>
        <w:t xml:space="preserve">UNIDAD DE RECAUDACIÓN </w:t>
      </w:r>
      <w:r w:rsidR="008A58B7">
        <w:rPr>
          <w:rFonts w:ascii="Arial" w:hAnsi="Arial" w:cs="Arial"/>
          <w:b/>
          <w:sz w:val="26"/>
          <w:szCs w:val="26"/>
        </w:rPr>
        <w:t xml:space="preserve">DEL MUNICIPIO DE OAXACA DE </w:t>
      </w:r>
      <w:r w:rsidR="008A58B7" w:rsidRPr="003E2B2E">
        <w:rPr>
          <w:rFonts w:ascii="Arial" w:hAnsi="Arial" w:cs="Arial"/>
          <w:b/>
          <w:sz w:val="26"/>
          <w:szCs w:val="26"/>
        </w:rPr>
        <w:t>JUÁREZ</w:t>
      </w:r>
      <w:r w:rsidR="008A58B7">
        <w:rPr>
          <w:rFonts w:ascii="Arial" w:hAnsi="Arial" w:cs="Arial"/>
          <w:b/>
          <w:sz w:val="26"/>
          <w:szCs w:val="26"/>
        </w:rPr>
        <w:t>, OAXACA</w:t>
      </w:r>
      <w:r w:rsidRPr="00CB6405">
        <w:rPr>
          <w:rFonts w:ascii="Arial" w:hAnsi="Arial" w:cs="Arial"/>
          <w:sz w:val="26"/>
          <w:szCs w:val="26"/>
        </w:rPr>
        <w:t>, interpuso en su contra recurso de revisión.</w:t>
      </w:r>
    </w:p>
    <w:p w:rsidR="001D20BF" w:rsidRDefault="001D20BF" w:rsidP="001D20BF">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166FBA" w:rsidRPr="0026557F" w:rsidRDefault="001D20BF" w:rsidP="0026557F">
      <w:pPr>
        <w:widowControl w:val="0"/>
        <w:tabs>
          <w:tab w:val="left" w:pos="7938"/>
        </w:tabs>
        <w:spacing w:before="240" w:after="0"/>
        <w:ind w:left="1134" w:right="616"/>
        <w:jc w:val="both"/>
        <w:rPr>
          <w:rFonts w:ascii="Arial" w:eastAsia="Times New Roman" w:hAnsi="Arial" w:cs="Arial"/>
          <w:bCs/>
          <w:i/>
          <w:iCs/>
          <w:szCs w:val="24"/>
          <w:lang w:eastAsia="es-ES"/>
        </w:rPr>
      </w:pPr>
      <w:r w:rsidRPr="0026557F">
        <w:rPr>
          <w:rFonts w:ascii="Arial" w:eastAsia="Times New Roman" w:hAnsi="Arial" w:cs="Arial"/>
          <w:bCs/>
          <w:i/>
          <w:iCs/>
          <w:szCs w:val="24"/>
          <w:lang w:eastAsia="es-ES"/>
        </w:rPr>
        <w:t>“</w:t>
      </w:r>
      <w:r w:rsidRPr="0026557F">
        <w:rPr>
          <w:rFonts w:ascii="Arial" w:eastAsia="Times New Roman" w:hAnsi="Arial" w:cs="Arial"/>
          <w:b/>
          <w:bCs/>
          <w:i/>
          <w:iCs/>
          <w:szCs w:val="24"/>
          <w:lang w:eastAsia="es-ES"/>
        </w:rPr>
        <w:t xml:space="preserve">PRIMERO. </w:t>
      </w:r>
      <w:r w:rsidRPr="0026557F">
        <w:rPr>
          <w:rFonts w:ascii="Arial" w:eastAsia="Times New Roman" w:hAnsi="Arial" w:cs="Arial"/>
          <w:bCs/>
          <w:i/>
          <w:iCs/>
          <w:szCs w:val="24"/>
          <w:lang w:eastAsia="es-ES"/>
        </w:rPr>
        <w:t xml:space="preserve">Esta </w:t>
      </w:r>
      <w:r w:rsidR="00EA15AC" w:rsidRPr="0026557F">
        <w:rPr>
          <w:rFonts w:ascii="Arial" w:eastAsia="Times New Roman" w:hAnsi="Arial" w:cs="Arial"/>
          <w:bCs/>
          <w:i/>
          <w:iCs/>
          <w:szCs w:val="24"/>
          <w:lang w:eastAsia="es-ES"/>
        </w:rPr>
        <w:t>Tercera</w:t>
      </w:r>
      <w:r w:rsidR="008A58B7" w:rsidRPr="0026557F">
        <w:rPr>
          <w:rFonts w:ascii="Arial" w:eastAsia="Times New Roman" w:hAnsi="Arial" w:cs="Arial"/>
          <w:bCs/>
          <w:i/>
          <w:iCs/>
          <w:szCs w:val="24"/>
          <w:lang w:eastAsia="es-ES"/>
        </w:rPr>
        <w:t xml:space="preserve"> </w:t>
      </w:r>
      <w:r w:rsidRPr="0026557F">
        <w:rPr>
          <w:rFonts w:ascii="Arial" w:eastAsia="Times New Roman" w:hAnsi="Arial" w:cs="Arial"/>
          <w:bCs/>
          <w:i/>
          <w:iCs/>
          <w:szCs w:val="24"/>
          <w:lang w:eastAsia="es-ES"/>
        </w:rPr>
        <w:t xml:space="preserve">Sala </w:t>
      </w:r>
      <w:r w:rsidR="00EA15AC" w:rsidRPr="0026557F">
        <w:rPr>
          <w:rFonts w:ascii="Arial" w:eastAsia="Times New Roman" w:hAnsi="Arial" w:cs="Arial"/>
          <w:bCs/>
          <w:i/>
          <w:iCs/>
          <w:szCs w:val="24"/>
          <w:lang w:eastAsia="es-ES"/>
        </w:rPr>
        <w:t xml:space="preserve">Unitaria </w:t>
      </w:r>
      <w:r w:rsidR="008A58B7" w:rsidRPr="0026557F">
        <w:rPr>
          <w:rFonts w:ascii="Arial" w:eastAsia="Times New Roman" w:hAnsi="Arial" w:cs="Arial"/>
          <w:bCs/>
          <w:i/>
          <w:iCs/>
          <w:szCs w:val="24"/>
          <w:lang w:eastAsia="es-ES"/>
        </w:rPr>
        <w:t>de Primera Instancia d</w:t>
      </w:r>
      <w:r w:rsidRPr="0026557F">
        <w:rPr>
          <w:rFonts w:ascii="Arial" w:eastAsia="Times New Roman" w:hAnsi="Arial" w:cs="Arial"/>
          <w:bCs/>
          <w:i/>
          <w:iCs/>
          <w:szCs w:val="24"/>
          <w:lang w:eastAsia="es-ES"/>
        </w:rPr>
        <w:t>el Tribunal de Justicia Adm</w:t>
      </w:r>
      <w:r w:rsidR="00EA15AC" w:rsidRPr="0026557F">
        <w:rPr>
          <w:rFonts w:ascii="Arial" w:eastAsia="Times New Roman" w:hAnsi="Arial" w:cs="Arial"/>
          <w:bCs/>
          <w:i/>
          <w:iCs/>
          <w:szCs w:val="24"/>
          <w:lang w:eastAsia="es-ES"/>
        </w:rPr>
        <w:t>inistrativa del Estado, fue</w:t>
      </w:r>
      <w:r w:rsidR="008A58B7" w:rsidRPr="0026557F">
        <w:rPr>
          <w:rFonts w:ascii="Arial" w:eastAsia="Times New Roman" w:hAnsi="Arial" w:cs="Arial"/>
          <w:bCs/>
          <w:i/>
          <w:iCs/>
          <w:szCs w:val="24"/>
          <w:lang w:eastAsia="es-ES"/>
        </w:rPr>
        <w:t xml:space="preserve"> </w:t>
      </w:r>
      <w:r w:rsidRPr="0026557F">
        <w:rPr>
          <w:rFonts w:ascii="Arial" w:eastAsia="Times New Roman" w:hAnsi="Arial" w:cs="Arial"/>
          <w:bCs/>
          <w:i/>
          <w:iCs/>
          <w:szCs w:val="24"/>
          <w:lang w:eastAsia="es-ES"/>
        </w:rPr>
        <w:t xml:space="preserve">competente para conocer y resolver el presente </w:t>
      </w:r>
      <w:r w:rsidR="00EA15AC" w:rsidRPr="0026557F">
        <w:rPr>
          <w:rFonts w:ascii="Arial" w:eastAsia="Times New Roman" w:hAnsi="Arial" w:cs="Arial"/>
          <w:bCs/>
          <w:i/>
          <w:iCs/>
          <w:szCs w:val="24"/>
          <w:lang w:eastAsia="es-ES"/>
        </w:rPr>
        <w:t>asunto. -</w:t>
      </w:r>
      <w:r w:rsidRPr="0026557F">
        <w:rPr>
          <w:rFonts w:ascii="Arial" w:eastAsia="Times New Roman" w:hAnsi="Arial" w:cs="Arial"/>
          <w:bCs/>
          <w:i/>
          <w:iCs/>
          <w:szCs w:val="24"/>
          <w:lang w:eastAsia="es-ES"/>
        </w:rPr>
        <w:t xml:space="preserve"> - </w:t>
      </w:r>
      <w:r w:rsidR="00EA15AC" w:rsidRPr="0026557F">
        <w:rPr>
          <w:rFonts w:ascii="Arial" w:eastAsia="Times New Roman" w:hAnsi="Arial" w:cs="Arial"/>
          <w:bCs/>
          <w:i/>
          <w:iCs/>
          <w:szCs w:val="24"/>
          <w:lang w:eastAsia="es-ES"/>
        </w:rPr>
        <w:t>-</w:t>
      </w:r>
      <w:r w:rsidR="0026557F">
        <w:rPr>
          <w:rFonts w:ascii="Arial" w:eastAsia="Times New Roman" w:hAnsi="Arial" w:cs="Arial"/>
          <w:bCs/>
          <w:i/>
          <w:iCs/>
          <w:szCs w:val="24"/>
          <w:lang w:eastAsia="es-ES"/>
        </w:rPr>
        <w:t xml:space="preserve"> - - - - - - - - - - - - -  </w:t>
      </w:r>
      <w:r w:rsidR="00EA15AC" w:rsidRPr="0026557F">
        <w:rPr>
          <w:rFonts w:ascii="Arial" w:eastAsia="Times New Roman" w:hAnsi="Arial" w:cs="Arial"/>
          <w:bCs/>
          <w:i/>
          <w:iCs/>
          <w:szCs w:val="24"/>
          <w:lang w:eastAsia="es-ES"/>
        </w:rPr>
        <w:t xml:space="preserve"> </w:t>
      </w:r>
      <w:r w:rsidRPr="0026557F">
        <w:rPr>
          <w:rFonts w:ascii="Arial" w:eastAsia="Times New Roman" w:hAnsi="Arial" w:cs="Arial"/>
          <w:b/>
          <w:bCs/>
          <w:i/>
          <w:iCs/>
          <w:szCs w:val="24"/>
          <w:lang w:eastAsia="es-ES"/>
        </w:rPr>
        <w:t xml:space="preserve">SEGUNDO. </w:t>
      </w:r>
      <w:r w:rsidR="00EA15AC" w:rsidRPr="0026557F">
        <w:rPr>
          <w:rFonts w:ascii="Arial" w:eastAsia="Times New Roman" w:hAnsi="Arial" w:cs="Arial"/>
          <w:bCs/>
          <w:i/>
          <w:iCs/>
          <w:szCs w:val="24"/>
          <w:lang w:eastAsia="es-ES"/>
        </w:rPr>
        <w:t>La personalidad de las partes, quedó acreditada en autos. - - - - - - - - - - - - - - - - - - - - - - - - - - - - - - - - - - - - -</w:t>
      </w:r>
      <w:r w:rsidR="00EA15AC" w:rsidRPr="0026557F">
        <w:rPr>
          <w:rFonts w:ascii="Arial" w:eastAsia="Times New Roman" w:hAnsi="Arial" w:cs="Arial"/>
          <w:b/>
          <w:bCs/>
          <w:i/>
          <w:iCs/>
          <w:szCs w:val="24"/>
          <w:lang w:eastAsia="es-ES"/>
        </w:rPr>
        <w:t xml:space="preserve"> </w:t>
      </w:r>
      <w:r w:rsidR="0026557F" w:rsidRPr="0026557F">
        <w:rPr>
          <w:rFonts w:ascii="Arial" w:eastAsia="Times New Roman" w:hAnsi="Arial" w:cs="Arial"/>
          <w:bCs/>
          <w:i/>
          <w:iCs/>
          <w:szCs w:val="24"/>
          <w:lang w:eastAsia="es-ES"/>
        </w:rPr>
        <w:t>- - - -</w:t>
      </w:r>
      <w:r w:rsidR="0026557F">
        <w:rPr>
          <w:rFonts w:ascii="Arial" w:eastAsia="Times New Roman" w:hAnsi="Arial" w:cs="Arial"/>
          <w:b/>
          <w:bCs/>
          <w:i/>
          <w:iCs/>
          <w:szCs w:val="24"/>
          <w:lang w:eastAsia="es-ES"/>
        </w:rPr>
        <w:t xml:space="preserve"> </w:t>
      </w:r>
      <w:r w:rsidRPr="0026557F">
        <w:rPr>
          <w:rFonts w:ascii="Arial" w:eastAsia="Times New Roman" w:hAnsi="Arial" w:cs="Arial"/>
          <w:b/>
          <w:bCs/>
          <w:i/>
          <w:iCs/>
          <w:szCs w:val="24"/>
          <w:lang w:eastAsia="es-ES"/>
        </w:rPr>
        <w:t xml:space="preserve">TERCERO. </w:t>
      </w:r>
      <w:r w:rsidR="00EA15AC" w:rsidRPr="0026557F">
        <w:rPr>
          <w:rFonts w:ascii="Arial" w:eastAsia="Times New Roman" w:hAnsi="Arial" w:cs="Arial"/>
          <w:bCs/>
          <w:i/>
          <w:iCs/>
          <w:szCs w:val="24"/>
          <w:lang w:eastAsia="es-ES"/>
        </w:rPr>
        <w:t xml:space="preserve">Se declara </w:t>
      </w:r>
      <w:r w:rsidR="00EA15AC" w:rsidRPr="0026557F">
        <w:rPr>
          <w:rFonts w:ascii="Arial" w:eastAsia="Times New Roman" w:hAnsi="Arial" w:cs="Arial"/>
          <w:b/>
          <w:bCs/>
          <w:i/>
          <w:iCs/>
          <w:szCs w:val="24"/>
          <w:lang w:eastAsia="es-ES"/>
        </w:rPr>
        <w:t>LA</w:t>
      </w:r>
      <w:r w:rsidR="00C873BB" w:rsidRPr="0026557F">
        <w:rPr>
          <w:rFonts w:ascii="Arial" w:eastAsia="Times New Roman" w:hAnsi="Arial" w:cs="Arial"/>
          <w:b/>
          <w:bCs/>
          <w:i/>
          <w:iCs/>
          <w:szCs w:val="24"/>
          <w:lang w:eastAsia="es-ES"/>
        </w:rPr>
        <w:t xml:space="preserve"> NULIDAD</w:t>
      </w:r>
      <w:r w:rsidR="00EA15AC" w:rsidRPr="0026557F">
        <w:rPr>
          <w:rFonts w:ascii="Arial" w:eastAsia="Times New Roman" w:hAnsi="Arial" w:cs="Arial"/>
          <w:b/>
          <w:bCs/>
          <w:i/>
          <w:iCs/>
          <w:szCs w:val="24"/>
          <w:lang w:eastAsia="es-ES"/>
        </w:rPr>
        <w:t xml:space="preserve"> LISA Y LLANA</w:t>
      </w:r>
      <w:r w:rsidR="00EA15AC" w:rsidRPr="0026557F">
        <w:rPr>
          <w:rFonts w:ascii="Arial" w:eastAsia="Times New Roman" w:hAnsi="Arial" w:cs="Arial"/>
          <w:bCs/>
          <w:i/>
          <w:iCs/>
          <w:szCs w:val="24"/>
          <w:lang w:eastAsia="es-ES"/>
        </w:rPr>
        <w:t xml:space="preserve"> del oficio n</w:t>
      </w:r>
      <w:r w:rsidR="007371F2" w:rsidRPr="0026557F">
        <w:rPr>
          <w:rFonts w:ascii="Arial" w:eastAsia="Times New Roman" w:hAnsi="Arial" w:cs="Arial"/>
          <w:bCs/>
          <w:i/>
          <w:iCs/>
          <w:szCs w:val="24"/>
          <w:lang w:eastAsia="es-ES"/>
        </w:rPr>
        <w:t xml:space="preserve">úmero </w:t>
      </w:r>
      <w:r w:rsidR="004A5330">
        <w:rPr>
          <w:rFonts w:ascii="Arial" w:hAnsi="Arial" w:cs="Arial"/>
          <w:b/>
          <w:sz w:val="26"/>
          <w:szCs w:val="26"/>
        </w:rPr>
        <w:t xml:space="preserve">********** </w:t>
      </w:r>
      <w:r w:rsidR="007371F2" w:rsidRPr="0026557F">
        <w:rPr>
          <w:rFonts w:ascii="Arial" w:eastAsia="Times New Roman" w:hAnsi="Arial" w:cs="Arial"/>
          <w:bCs/>
          <w:i/>
          <w:iCs/>
          <w:szCs w:val="24"/>
          <w:lang w:eastAsia="es-ES"/>
        </w:rPr>
        <w:t>d</w:t>
      </w:r>
      <w:r w:rsidR="00EA15AC" w:rsidRPr="0026557F">
        <w:rPr>
          <w:rFonts w:ascii="Arial" w:eastAsia="Times New Roman" w:hAnsi="Arial" w:cs="Arial"/>
          <w:bCs/>
          <w:i/>
          <w:iCs/>
          <w:szCs w:val="24"/>
          <w:lang w:eastAsia="es-ES"/>
        </w:rPr>
        <w:t>e</w:t>
      </w:r>
      <w:r w:rsidR="007371F2" w:rsidRPr="0026557F">
        <w:rPr>
          <w:rFonts w:ascii="Arial" w:eastAsia="Times New Roman" w:hAnsi="Arial" w:cs="Arial"/>
          <w:bCs/>
          <w:i/>
          <w:iCs/>
          <w:szCs w:val="24"/>
          <w:lang w:eastAsia="es-ES"/>
        </w:rPr>
        <w:t xml:space="preserve"> </w:t>
      </w:r>
      <w:r w:rsidR="00EA15AC" w:rsidRPr="0026557F">
        <w:rPr>
          <w:rFonts w:ascii="Arial" w:eastAsia="Times New Roman" w:hAnsi="Arial" w:cs="Arial"/>
          <w:bCs/>
          <w:i/>
          <w:iCs/>
          <w:szCs w:val="24"/>
          <w:lang w:eastAsia="es-ES"/>
        </w:rPr>
        <w:t xml:space="preserve">fecha 11 once de septiembre de 2017 dos mil </w:t>
      </w:r>
      <w:r w:rsidR="007371F2" w:rsidRPr="0026557F">
        <w:rPr>
          <w:rFonts w:ascii="Arial" w:eastAsia="Times New Roman" w:hAnsi="Arial" w:cs="Arial"/>
          <w:bCs/>
          <w:i/>
          <w:iCs/>
          <w:szCs w:val="24"/>
          <w:lang w:eastAsia="es-ES"/>
        </w:rPr>
        <w:t>diecisiete</w:t>
      </w:r>
      <w:r w:rsidR="00EA15AC" w:rsidRPr="0026557F">
        <w:rPr>
          <w:rFonts w:ascii="Arial" w:eastAsia="Times New Roman" w:hAnsi="Arial" w:cs="Arial"/>
          <w:bCs/>
          <w:i/>
          <w:iCs/>
          <w:szCs w:val="24"/>
          <w:lang w:eastAsia="es-ES"/>
        </w:rPr>
        <w:t xml:space="preserve">, emitida por la </w:t>
      </w:r>
      <w:r w:rsidR="007371F2" w:rsidRPr="0026557F">
        <w:rPr>
          <w:rFonts w:ascii="Arial" w:eastAsia="Times New Roman" w:hAnsi="Arial" w:cs="Arial"/>
          <w:bCs/>
          <w:i/>
          <w:iCs/>
          <w:szCs w:val="24"/>
          <w:lang w:eastAsia="es-ES"/>
        </w:rPr>
        <w:t>ciudadana</w:t>
      </w:r>
      <w:r w:rsidR="00EA15AC" w:rsidRPr="0026557F">
        <w:rPr>
          <w:rFonts w:ascii="Arial" w:eastAsia="Times New Roman" w:hAnsi="Arial" w:cs="Arial"/>
          <w:bCs/>
          <w:i/>
          <w:iCs/>
          <w:szCs w:val="24"/>
          <w:lang w:eastAsia="es-ES"/>
        </w:rPr>
        <w:t xml:space="preserve"> JEFA DE LA UNIDAD DE RECAUDACIÓN de esta municipalidad, por el que le multa con recargos y gastos de </w:t>
      </w:r>
      <w:r w:rsidR="007371F2" w:rsidRPr="0026557F">
        <w:rPr>
          <w:rFonts w:ascii="Arial" w:eastAsia="Times New Roman" w:hAnsi="Arial" w:cs="Arial"/>
          <w:bCs/>
          <w:i/>
          <w:iCs/>
          <w:szCs w:val="24"/>
          <w:lang w:eastAsia="es-ES"/>
        </w:rPr>
        <w:t>ejecución</w:t>
      </w:r>
      <w:r w:rsidR="00EA15AC" w:rsidRPr="0026557F">
        <w:rPr>
          <w:rFonts w:ascii="Arial" w:eastAsia="Times New Roman" w:hAnsi="Arial" w:cs="Arial"/>
          <w:bCs/>
          <w:i/>
          <w:iCs/>
          <w:szCs w:val="24"/>
          <w:lang w:eastAsia="es-ES"/>
        </w:rPr>
        <w:t xml:space="preserve"> la cantidad de $</w:t>
      </w:r>
      <w:r w:rsidR="004A5330">
        <w:rPr>
          <w:rFonts w:ascii="Arial" w:hAnsi="Arial" w:cs="Arial"/>
          <w:b/>
          <w:sz w:val="26"/>
          <w:szCs w:val="26"/>
        </w:rPr>
        <w:t>**********</w:t>
      </w:r>
      <w:r w:rsidR="004A5330" w:rsidRPr="0026557F">
        <w:rPr>
          <w:rFonts w:ascii="Arial" w:eastAsia="Times New Roman" w:hAnsi="Arial" w:cs="Arial"/>
          <w:bCs/>
          <w:i/>
          <w:iCs/>
          <w:szCs w:val="24"/>
          <w:lang w:eastAsia="es-ES"/>
        </w:rPr>
        <w:t xml:space="preserve"> </w:t>
      </w:r>
      <w:r w:rsidR="00EA15AC" w:rsidRPr="0026557F">
        <w:rPr>
          <w:rFonts w:ascii="Arial" w:eastAsia="Times New Roman" w:hAnsi="Arial" w:cs="Arial"/>
          <w:bCs/>
          <w:i/>
          <w:iCs/>
          <w:szCs w:val="24"/>
          <w:lang w:eastAsia="es-ES"/>
        </w:rPr>
        <w:t xml:space="preserve">(CIENTO </w:t>
      </w:r>
      <w:r w:rsidR="004A5330">
        <w:rPr>
          <w:rFonts w:ascii="Arial" w:hAnsi="Arial" w:cs="Arial"/>
          <w:b/>
          <w:sz w:val="26"/>
          <w:szCs w:val="26"/>
        </w:rPr>
        <w:lastRenderedPageBreak/>
        <w:t>**********</w:t>
      </w:r>
      <w:r w:rsidR="00EA15AC" w:rsidRPr="0026557F">
        <w:rPr>
          <w:rFonts w:ascii="Arial" w:eastAsia="Times New Roman" w:hAnsi="Arial" w:cs="Arial"/>
          <w:bCs/>
          <w:i/>
          <w:iCs/>
          <w:szCs w:val="24"/>
          <w:lang w:eastAsia="es-ES"/>
        </w:rPr>
        <w:t xml:space="preserve">, MONEDA NACIONAL), por concepto de la </w:t>
      </w:r>
      <w:r w:rsidR="007371F2" w:rsidRPr="0026557F">
        <w:rPr>
          <w:rFonts w:ascii="Arial" w:eastAsia="Times New Roman" w:hAnsi="Arial" w:cs="Arial"/>
          <w:bCs/>
          <w:i/>
          <w:iCs/>
          <w:szCs w:val="24"/>
          <w:lang w:eastAsia="es-ES"/>
        </w:rPr>
        <w:t>actualización</w:t>
      </w:r>
      <w:r w:rsidR="00EA15AC" w:rsidRPr="0026557F">
        <w:rPr>
          <w:rFonts w:ascii="Arial" w:eastAsia="Times New Roman" w:hAnsi="Arial" w:cs="Arial"/>
          <w:bCs/>
          <w:i/>
          <w:iCs/>
          <w:szCs w:val="24"/>
          <w:lang w:eastAsia="es-ES"/>
        </w:rPr>
        <w:t xml:space="preserve"> de la licencia de funcionamiento 2016-2017.</w:t>
      </w:r>
      <w:r w:rsidR="00AB71A5" w:rsidRPr="0026557F">
        <w:rPr>
          <w:rFonts w:ascii="Arial" w:eastAsia="Times New Roman" w:hAnsi="Arial" w:cs="Arial"/>
          <w:bCs/>
          <w:i/>
          <w:iCs/>
          <w:szCs w:val="24"/>
          <w:lang w:eastAsia="es-ES"/>
        </w:rPr>
        <w:t xml:space="preserve"> - - </w:t>
      </w:r>
      <w:r w:rsidR="0026557F">
        <w:rPr>
          <w:rFonts w:ascii="Arial" w:eastAsia="Times New Roman" w:hAnsi="Arial" w:cs="Arial"/>
          <w:bCs/>
          <w:i/>
          <w:iCs/>
          <w:szCs w:val="24"/>
          <w:lang w:eastAsia="es-ES"/>
        </w:rPr>
        <w:t>-</w:t>
      </w:r>
      <w:r w:rsidR="007371F2" w:rsidRPr="0026557F">
        <w:rPr>
          <w:rFonts w:ascii="Arial" w:eastAsia="Times New Roman" w:hAnsi="Arial" w:cs="Arial"/>
          <w:bCs/>
          <w:i/>
          <w:iCs/>
          <w:szCs w:val="24"/>
          <w:lang w:eastAsia="es-ES"/>
        </w:rPr>
        <w:t xml:space="preserve"> </w:t>
      </w:r>
      <w:r w:rsidR="0026557F">
        <w:rPr>
          <w:rFonts w:ascii="Arial" w:eastAsia="Times New Roman" w:hAnsi="Arial" w:cs="Arial"/>
          <w:bCs/>
          <w:i/>
          <w:iCs/>
          <w:szCs w:val="24"/>
          <w:lang w:eastAsia="es-ES"/>
        </w:rPr>
        <w:t xml:space="preserve">- - - - - - - - - - - - - </w:t>
      </w:r>
      <w:r w:rsidRPr="0026557F">
        <w:rPr>
          <w:rFonts w:ascii="Arial" w:eastAsia="Times New Roman" w:hAnsi="Arial" w:cs="Arial"/>
          <w:b/>
          <w:bCs/>
          <w:i/>
          <w:iCs/>
          <w:szCs w:val="24"/>
          <w:lang w:eastAsia="es-ES"/>
        </w:rPr>
        <w:t xml:space="preserve">CUARTO. </w:t>
      </w:r>
      <w:r w:rsidRPr="0026557F">
        <w:rPr>
          <w:rFonts w:ascii="Arial" w:eastAsia="Times New Roman" w:hAnsi="Arial" w:cs="Arial"/>
          <w:bCs/>
          <w:i/>
          <w:iCs/>
          <w:szCs w:val="24"/>
          <w:lang w:eastAsia="es-ES"/>
        </w:rPr>
        <w:t xml:space="preserve">Conforme a lo dispuesto en </w:t>
      </w:r>
      <w:r w:rsidR="007371F2" w:rsidRPr="0026557F">
        <w:rPr>
          <w:rFonts w:ascii="Arial" w:eastAsia="Times New Roman" w:hAnsi="Arial" w:cs="Arial"/>
          <w:bCs/>
          <w:i/>
          <w:iCs/>
          <w:szCs w:val="24"/>
          <w:lang w:eastAsia="es-ES"/>
        </w:rPr>
        <w:t>los</w:t>
      </w:r>
      <w:r w:rsidRPr="0026557F">
        <w:rPr>
          <w:rFonts w:ascii="Arial" w:eastAsia="Times New Roman" w:hAnsi="Arial" w:cs="Arial"/>
          <w:bCs/>
          <w:i/>
          <w:iCs/>
          <w:szCs w:val="24"/>
          <w:lang w:eastAsia="es-ES"/>
        </w:rPr>
        <w:t xml:space="preserve"> artículo</w:t>
      </w:r>
      <w:r w:rsidR="007371F2" w:rsidRPr="0026557F">
        <w:rPr>
          <w:rFonts w:ascii="Arial" w:eastAsia="Times New Roman" w:hAnsi="Arial" w:cs="Arial"/>
          <w:bCs/>
          <w:i/>
          <w:iCs/>
          <w:szCs w:val="24"/>
          <w:lang w:eastAsia="es-ES"/>
        </w:rPr>
        <w:t>s</w:t>
      </w:r>
      <w:r w:rsidRPr="0026557F">
        <w:rPr>
          <w:rFonts w:ascii="Arial" w:eastAsia="Times New Roman" w:hAnsi="Arial" w:cs="Arial"/>
          <w:bCs/>
          <w:i/>
          <w:iCs/>
          <w:szCs w:val="24"/>
          <w:lang w:eastAsia="es-ES"/>
        </w:rPr>
        <w:t xml:space="preserve"> 172</w:t>
      </w:r>
      <w:r w:rsidR="007371F2" w:rsidRPr="0026557F">
        <w:rPr>
          <w:rFonts w:ascii="Arial" w:eastAsia="Times New Roman" w:hAnsi="Arial" w:cs="Arial"/>
          <w:bCs/>
          <w:i/>
          <w:iCs/>
          <w:szCs w:val="24"/>
          <w:lang w:eastAsia="es-ES"/>
        </w:rPr>
        <w:t>,</w:t>
      </w:r>
      <w:r w:rsidRPr="0026557F">
        <w:rPr>
          <w:rFonts w:ascii="Arial" w:eastAsia="Times New Roman" w:hAnsi="Arial" w:cs="Arial"/>
          <w:bCs/>
          <w:i/>
          <w:iCs/>
          <w:szCs w:val="24"/>
          <w:lang w:eastAsia="es-ES"/>
        </w:rPr>
        <w:t xml:space="preserve"> </w:t>
      </w:r>
      <w:r w:rsidR="00C873BB" w:rsidRPr="0026557F">
        <w:rPr>
          <w:rFonts w:ascii="Arial" w:eastAsia="Times New Roman" w:hAnsi="Arial" w:cs="Arial"/>
          <w:bCs/>
          <w:i/>
          <w:iCs/>
          <w:szCs w:val="24"/>
          <w:lang w:eastAsia="es-ES"/>
        </w:rPr>
        <w:t xml:space="preserve">fracción I </w:t>
      </w:r>
      <w:r w:rsidRPr="0026557F">
        <w:rPr>
          <w:rFonts w:ascii="Arial" w:eastAsia="Times New Roman" w:hAnsi="Arial" w:cs="Arial"/>
          <w:bCs/>
          <w:i/>
          <w:iCs/>
          <w:szCs w:val="24"/>
          <w:lang w:eastAsia="es-ES"/>
        </w:rPr>
        <w:t>y 173</w:t>
      </w:r>
      <w:r w:rsidR="007371F2" w:rsidRPr="0026557F">
        <w:rPr>
          <w:rFonts w:ascii="Arial" w:eastAsia="Times New Roman" w:hAnsi="Arial" w:cs="Arial"/>
          <w:bCs/>
          <w:i/>
          <w:iCs/>
          <w:szCs w:val="24"/>
          <w:lang w:eastAsia="es-ES"/>
        </w:rPr>
        <w:t>,</w:t>
      </w:r>
      <w:r w:rsidR="00C873BB" w:rsidRPr="0026557F">
        <w:rPr>
          <w:rFonts w:ascii="Arial" w:eastAsia="Times New Roman" w:hAnsi="Arial" w:cs="Arial"/>
          <w:bCs/>
          <w:i/>
          <w:iCs/>
          <w:szCs w:val="24"/>
          <w:lang w:eastAsia="es-ES"/>
        </w:rPr>
        <w:t xml:space="preserve"> fracciones I y II, </w:t>
      </w:r>
      <w:r w:rsidRPr="0026557F">
        <w:rPr>
          <w:rFonts w:ascii="Arial" w:eastAsia="Times New Roman" w:hAnsi="Arial" w:cs="Arial"/>
          <w:bCs/>
          <w:i/>
          <w:iCs/>
          <w:szCs w:val="24"/>
          <w:lang w:eastAsia="es-ES"/>
        </w:rPr>
        <w:t>de la Ley de Procedimiento y Justicia Adminis</w:t>
      </w:r>
      <w:r w:rsidR="007371F2" w:rsidRPr="0026557F">
        <w:rPr>
          <w:rFonts w:ascii="Arial" w:eastAsia="Times New Roman" w:hAnsi="Arial" w:cs="Arial"/>
          <w:bCs/>
          <w:i/>
          <w:iCs/>
          <w:szCs w:val="24"/>
          <w:lang w:eastAsia="es-ES"/>
        </w:rPr>
        <w:t>trativa para el Estado</w:t>
      </w:r>
      <w:r w:rsidRPr="0026557F">
        <w:rPr>
          <w:rFonts w:ascii="Arial" w:eastAsia="Times New Roman" w:hAnsi="Arial" w:cs="Arial"/>
          <w:bCs/>
          <w:i/>
          <w:iCs/>
          <w:szCs w:val="24"/>
          <w:lang w:eastAsia="es-ES"/>
        </w:rPr>
        <w:t xml:space="preserve">, </w:t>
      </w:r>
      <w:r w:rsidRPr="0026557F">
        <w:rPr>
          <w:rFonts w:ascii="Arial" w:eastAsia="Times New Roman" w:hAnsi="Arial" w:cs="Arial"/>
          <w:b/>
          <w:bCs/>
          <w:i/>
          <w:iCs/>
          <w:szCs w:val="24"/>
          <w:lang w:eastAsia="es-ES"/>
        </w:rPr>
        <w:t xml:space="preserve">NOTIFÍQUESE </w:t>
      </w:r>
      <w:r w:rsidR="002B19FE" w:rsidRPr="0026557F">
        <w:rPr>
          <w:rFonts w:ascii="Arial" w:eastAsia="Times New Roman" w:hAnsi="Arial" w:cs="Arial"/>
          <w:b/>
          <w:bCs/>
          <w:i/>
          <w:iCs/>
          <w:szCs w:val="24"/>
          <w:lang w:eastAsia="es-ES"/>
        </w:rPr>
        <w:t xml:space="preserve">PERSONALMENTE A LA PARTE ACTORA Y POR OFICIO A LA AUTORIDAD DEMANDADA. </w:t>
      </w:r>
      <w:r w:rsidRPr="0026557F">
        <w:rPr>
          <w:rFonts w:ascii="Arial" w:eastAsia="Times New Roman" w:hAnsi="Arial" w:cs="Arial"/>
          <w:b/>
          <w:bCs/>
          <w:i/>
          <w:iCs/>
          <w:szCs w:val="24"/>
          <w:lang w:eastAsia="es-ES"/>
        </w:rPr>
        <w:t>CÚMPLASE</w:t>
      </w:r>
      <w:r w:rsidR="007371F2" w:rsidRPr="0026557F">
        <w:rPr>
          <w:rFonts w:ascii="Arial" w:eastAsia="Times New Roman" w:hAnsi="Arial" w:cs="Arial"/>
          <w:bCs/>
          <w:i/>
          <w:iCs/>
          <w:szCs w:val="24"/>
          <w:lang w:eastAsia="es-ES"/>
        </w:rPr>
        <w:t>.</w:t>
      </w:r>
      <w:r w:rsidRPr="0026557F">
        <w:rPr>
          <w:rFonts w:ascii="Arial" w:eastAsia="Times New Roman" w:hAnsi="Arial" w:cs="Arial"/>
          <w:bCs/>
          <w:i/>
          <w:iCs/>
          <w:szCs w:val="24"/>
          <w:lang w:eastAsia="es-ES"/>
        </w:rPr>
        <w:t>”</w:t>
      </w:r>
      <w:r w:rsidR="0026557F">
        <w:rPr>
          <w:rFonts w:ascii="Arial" w:eastAsia="Times New Roman" w:hAnsi="Arial" w:cs="Arial"/>
          <w:bCs/>
          <w:i/>
          <w:iCs/>
          <w:szCs w:val="24"/>
          <w:lang w:eastAsia="es-ES"/>
        </w:rPr>
        <w:t>- - - - - - - - - - - - - - - - - - - - - - - - - - -</w:t>
      </w:r>
    </w:p>
    <w:p w:rsidR="001D20BF" w:rsidRPr="00CB6405" w:rsidRDefault="001D20BF" w:rsidP="001D20BF">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1D20BF" w:rsidRPr="00CB6405" w:rsidRDefault="001D20BF" w:rsidP="001D20BF">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w:t>
      </w:r>
      <w:r w:rsidR="005B7DBB">
        <w:rPr>
          <w:rFonts w:ascii="Arial" w:hAnsi="Arial" w:cs="Arial"/>
          <w:bCs/>
          <w:iCs/>
          <w:sz w:val="26"/>
          <w:szCs w:val="26"/>
        </w:rPr>
        <w:t>23, 24 fracción I, 25 fracción I, 26 y 27 de la Ley Orgánica del Tribunal de Justicia Administrativa del Estado de Oaxaca, publicada en el Periódico Oficial del Estado de Oaxaca, el 7 siete de noviembre de 2019 dos mil diecinueve</w:t>
      </w:r>
      <w:r w:rsidR="00A43B80">
        <w:rPr>
          <w:rFonts w:ascii="Arial" w:hAnsi="Arial" w:cs="Arial"/>
          <w:bCs/>
          <w:iCs/>
          <w:sz w:val="26"/>
          <w:szCs w:val="26"/>
        </w:rPr>
        <w:t>;</w:t>
      </w:r>
      <w:r w:rsidR="00A43B80">
        <w:rPr>
          <w:rFonts w:ascii="Arial" w:hAnsi="Arial" w:cs="Arial"/>
          <w:bCs/>
          <w:iCs/>
          <w:sz w:val="26"/>
          <w:szCs w:val="26"/>
          <w:lang w:eastAsia="es-ES"/>
        </w:rPr>
        <w:t xml:space="preserve"> </w:t>
      </w:r>
      <w:r>
        <w:rPr>
          <w:rFonts w:ascii="Arial" w:hAnsi="Arial" w:cs="Arial"/>
          <w:bCs/>
          <w:iCs/>
          <w:sz w:val="26"/>
          <w:szCs w:val="26"/>
          <w:lang w:eastAsia="es-ES"/>
        </w:rPr>
        <w:t>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sidR="00AB71A5">
        <w:rPr>
          <w:rFonts w:ascii="Arial" w:hAnsi="Arial" w:cs="Arial"/>
          <w:bCs/>
          <w:iCs/>
          <w:sz w:val="26"/>
          <w:szCs w:val="26"/>
        </w:rPr>
        <w:t xml:space="preserve"> la sentencia de veintitrés de mayo de dos mil diecinueve</w:t>
      </w:r>
      <w:r>
        <w:rPr>
          <w:rFonts w:ascii="Arial" w:hAnsi="Arial" w:cs="Arial"/>
          <w:bCs/>
          <w:iCs/>
          <w:sz w:val="26"/>
          <w:szCs w:val="26"/>
        </w:rPr>
        <w:t xml:space="preserve">, dictada </w:t>
      </w:r>
      <w:r w:rsidRPr="00CB6405">
        <w:rPr>
          <w:rFonts w:ascii="Arial" w:hAnsi="Arial" w:cs="Arial"/>
          <w:bCs/>
          <w:iCs/>
          <w:sz w:val="26"/>
          <w:szCs w:val="26"/>
        </w:rPr>
        <w:t xml:space="preserve">por la </w:t>
      </w:r>
      <w:r w:rsidR="00AB71A5">
        <w:rPr>
          <w:rFonts w:ascii="Arial" w:hAnsi="Arial" w:cs="Arial"/>
          <w:bCs/>
          <w:iCs/>
          <w:sz w:val="26"/>
          <w:szCs w:val="26"/>
        </w:rPr>
        <w:t>Tercera</w:t>
      </w:r>
      <w:r w:rsidR="0069577F">
        <w:rPr>
          <w:rFonts w:ascii="Arial" w:hAnsi="Arial" w:cs="Arial"/>
          <w:bCs/>
          <w:iCs/>
          <w:sz w:val="26"/>
          <w:szCs w:val="26"/>
        </w:rPr>
        <w:t xml:space="preserve"> </w:t>
      </w:r>
      <w:r w:rsidRPr="00CB6405">
        <w:rPr>
          <w:rFonts w:ascii="Arial" w:hAnsi="Arial" w:cs="Arial"/>
          <w:bCs/>
          <w:iCs/>
          <w:sz w:val="26"/>
          <w:szCs w:val="26"/>
        </w:rPr>
        <w:t xml:space="preserve">Sala Unitaria de Primera Instancia de este Tribunal, en el expediente </w:t>
      </w:r>
      <w:r w:rsidR="00AB71A5">
        <w:rPr>
          <w:rFonts w:ascii="Arial" w:hAnsi="Arial" w:cs="Arial"/>
          <w:b/>
          <w:bCs/>
          <w:iCs/>
          <w:sz w:val="26"/>
          <w:szCs w:val="26"/>
        </w:rPr>
        <w:t>18/2018</w:t>
      </w:r>
      <w:r w:rsidRPr="00CB6405">
        <w:rPr>
          <w:rFonts w:ascii="Arial" w:hAnsi="Arial" w:cs="Arial"/>
          <w:sz w:val="26"/>
          <w:szCs w:val="26"/>
        </w:rPr>
        <w:t>.</w:t>
      </w:r>
    </w:p>
    <w:p w:rsidR="00AB71A5" w:rsidRDefault="0069577F" w:rsidP="00AB71A5">
      <w:pPr>
        <w:spacing w:after="0" w:line="360" w:lineRule="auto"/>
        <w:ind w:right="49" w:firstLine="708"/>
        <w:jc w:val="both"/>
        <w:rPr>
          <w:rFonts w:ascii="Arial" w:eastAsiaTheme="minorEastAsia" w:hAnsi="Arial" w:cs="Arial"/>
          <w:lang w:val="es-MX" w:eastAsia="es-MX"/>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bookmarkStart w:id="0" w:name="_GoBack"/>
      <w:bookmarkEnd w:id="0"/>
      <w:r w:rsidR="00AB71A5" w:rsidRPr="00FC5C60">
        <w:rPr>
          <w:rFonts w:ascii="Arial" w:eastAsia="Calibri" w:hAnsi="Arial" w:cs="Arial"/>
          <w:bCs/>
          <w:sz w:val="26"/>
          <w:szCs w:val="26"/>
          <w:lang w:val="es-MX" w:eastAsia="es-MX"/>
        </w:rPr>
        <w:t>Se invoca en</w:t>
      </w:r>
      <w:r w:rsidR="00AB71A5">
        <w:rPr>
          <w:rFonts w:ascii="Arial" w:eastAsia="Calibri" w:hAnsi="Arial" w:cs="Arial"/>
          <w:bCs/>
          <w:sz w:val="26"/>
          <w:szCs w:val="26"/>
          <w:lang w:val="es-MX" w:eastAsia="es-MX"/>
        </w:rPr>
        <w:t xml:space="preserve"> apoyo, la Tesis</w:t>
      </w:r>
      <w:r w:rsidR="00AB71A5" w:rsidRPr="00FC5C60">
        <w:rPr>
          <w:rFonts w:ascii="Arial" w:eastAsia="Calibri" w:hAnsi="Arial" w:cs="Arial"/>
          <w:bCs/>
          <w:sz w:val="26"/>
          <w:szCs w:val="26"/>
          <w:lang w:val="es-MX" w:eastAsia="es-MX"/>
        </w:rPr>
        <w:t xml:space="preserve"> publicada en la Gaceta del Semanario Judicial de la Federación, Vo</w:t>
      </w:r>
      <w:r w:rsidR="00AB71A5">
        <w:rPr>
          <w:rFonts w:ascii="Arial" w:eastAsia="Calibri" w:hAnsi="Arial" w:cs="Arial"/>
          <w:bCs/>
          <w:sz w:val="26"/>
          <w:szCs w:val="26"/>
          <w:lang w:val="es-MX" w:eastAsia="es-MX"/>
        </w:rPr>
        <w:t xml:space="preserve">lumen 81, Sexta Parte, Séptima </w:t>
      </w:r>
      <w:r w:rsidR="00AB71A5" w:rsidRPr="00FC5C60">
        <w:rPr>
          <w:rFonts w:ascii="Arial" w:eastAsia="Calibri" w:hAnsi="Arial" w:cs="Arial"/>
          <w:bCs/>
          <w:sz w:val="26"/>
          <w:szCs w:val="26"/>
          <w:lang w:val="es-MX" w:eastAsia="es-MX"/>
        </w:rPr>
        <w:t>Época, pagina 23, bajo el rubro y texto siguiente</w:t>
      </w:r>
      <w:r w:rsidR="00AB71A5" w:rsidRPr="00FC5C60">
        <w:rPr>
          <w:rFonts w:ascii="Arial" w:eastAsiaTheme="minorEastAsia" w:hAnsi="Arial" w:cs="Arial"/>
          <w:lang w:val="es-MX" w:eastAsia="es-MX"/>
        </w:rPr>
        <w:t>:</w:t>
      </w:r>
    </w:p>
    <w:p w:rsidR="0069577F" w:rsidRPr="00AB71A5" w:rsidRDefault="00AB71A5" w:rsidP="00AB71A5">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 xml:space="preserve"> “</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008D0ECF">
        <w:rPr>
          <w:rFonts w:ascii="Arial" w:eastAsia="Times New Roman" w:hAnsi="Arial" w:cs="Arial"/>
          <w:lang w:val="es-MX" w:eastAsia="es-MX"/>
        </w:rPr>
        <w:t xml:space="preserve"> </w:t>
      </w:r>
    </w:p>
    <w:p w:rsidR="004F7F05" w:rsidRDefault="0069577F" w:rsidP="005E763E">
      <w:pPr>
        <w:spacing w:line="360" w:lineRule="auto"/>
        <w:ind w:firstLine="709"/>
        <w:jc w:val="both"/>
        <w:rPr>
          <w:rFonts w:ascii="Arial" w:eastAsia="Calibri" w:hAnsi="Arial" w:cs="Arial"/>
          <w:bCs/>
          <w:sz w:val="26"/>
          <w:szCs w:val="26"/>
        </w:rPr>
      </w:pPr>
      <w:r>
        <w:rPr>
          <w:rFonts w:ascii="Arial" w:eastAsia="Calibri" w:hAnsi="Arial" w:cs="Arial"/>
          <w:b/>
          <w:bCs/>
          <w:sz w:val="26"/>
          <w:szCs w:val="26"/>
        </w:rPr>
        <w:t>TERCERO</w:t>
      </w:r>
      <w:r>
        <w:rPr>
          <w:rFonts w:ascii="Arial" w:eastAsia="Calibri" w:hAnsi="Arial" w:cs="Arial"/>
          <w:bCs/>
          <w:sz w:val="26"/>
          <w:szCs w:val="26"/>
        </w:rPr>
        <w:t xml:space="preserve">. </w:t>
      </w:r>
      <w:r w:rsidR="00AA5B15">
        <w:rPr>
          <w:rFonts w:ascii="Arial" w:eastAsia="Calibri" w:hAnsi="Arial" w:cs="Arial"/>
          <w:bCs/>
          <w:sz w:val="26"/>
          <w:szCs w:val="26"/>
        </w:rPr>
        <w:t>Argumenta</w:t>
      </w:r>
      <w:r w:rsidR="00424406">
        <w:rPr>
          <w:rFonts w:ascii="Arial" w:eastAsia="Calibri" w:hAnsi="Arial" w:cs="Arial"/>
          <w:bCs/>
          <w:sz w:val="26"/>
          <w:szCs w:val="26"/>
        </w:rPr>
        <w:t xml:space="preserve"> </w:t>
      </w:r>
      <w:r w:rsidR="008D0ECF">
        <w:rPr>
          <w:rFonts w:ascii="Arial" w:eastAsia="Calibri" w:hAnsi="Arial" w:cs="Arial"/>
          <w:bCs/>
          <w:sz w:val="26"/>
          <w:szCs w:val="26"/>
        </w:rPr>
        <w:t xml:space="preserve">la recurrente </w:t>
      </w:r>
      <w:r w:rsidR="001D20BF">
        <w:rPr>
          <w:rFonts w:ascii="Arial" w:eastAsia="Calibri" w:hAnsi="Arial" w:cs="Arial"/>
          <w:bCs/>
          <w:sz w:val="26"/>
          <w:szCs w:val="26"/>
        </w:rPr>
        <w:t xml:space="preserve">que la sentencia alzada viola lo dispuesto por los artículos 14 y 16 de la Constitución Política de los Estados Unidos </w:t>
      </w:r>
      <w:r w:rsidR="008D0ECF">
        <w:rPr>
          <w:rFonts w:ascii="Arial" w:eastAsia="Calibri" w:hAnsi="Arial" w:cs="Arial"/>
          <w:bCs/>
          <w:sz w:val="26"/>
          <w:szCs w:val="26"/>
        </w:rPr>
        <w:t>Mexicanos; así como el diverso 207 fracción II</w:t>
      </w:r>
      <w:r w:rsidR="001D20BF">
        <w:rPr>
          <w:rFonts w:ascii="Arial" w:eastAsia="Calibri" w:hAnsi="Arial" w:cs="Arial"/>
          <w:bCs/>
          <w:sz w:val="26"/>
          <w:szCs w:val="26"/>
        </w:rPr>
        <w:t xml:space="preserve">, de la Ley de </w:t>
      </w:r>
      <w:r w:rsidR="008D0ECF">
        <w:rPr>
          <w:rFonts w:ascii="Arial" w:eastAsia="Calibri" w:hAnsi="Arial" w:cs="Arial"/>
          <w:bCs/>
          <w:sz w:val="26"/>
          <w:szCs w:val="26"/>
        </w:rPr>
        <w:t xml:space="preserve">Procedimiento y </w:t>
      </w:r>
      <w:r w:rsidR="001D20BF">
        <w:rPr>
          <w:rFonts w:ascii="Arial" w:eastAsia="Calibri" w:hAnsi="Arial" w:cs="Arial"/>
          <w:bCs/>
          <w:sz w:val="26"/>
          <w:szCs w:val="26"/>
        </w:rPr>
        <w:t xml:space="preserve">Justicia Administrativa para el Estado de Oaxaca, al no encontrarse emitida en forma congruente con el acto impugnado, porque quedó debidamente acreditada su correcta fundamentación y </w:t>
      </w:r>
      <w:r w:rsidR="001D20BF">
        <w:rPr>
          <w:rFonts w:ascii="Arial" w:eastAsia="Calibri" w:hAnsi="Arial" w:cs="Arial"/>
          <w:bCs/>
          <w:sz w:val="26"/>
          <w:szCs w:val="26"/>
        </w:rPr>
        <w:lastRenderedPageBreak/>
        <w:t>motivación y con ello la va</w:t>
      </w:r>
      <w:r w:rsidR="005E763E">
        <w:rPr>
          <w:rFonts w:ascii="Arial" w:eastAsia="Calibri" w:hAnsi="Arial" w:cs="Arial"/>
          <w:bCs/>
          <w:sz w:val="26"/>
          <w:szCs w:val="26"/>
        </w:rPr>
        <w:t>lidez del mismo; es así, porque</w:t>
      </w:r>
      <w:r w:rsidR="00424406">
        <w:rPr>
          <w:rFonts w:ascii="Arial" w:eastAsia="Calibri" w:hAnsi="Arial" w:cs="Arial"/>
          <w:bCs/>
          <w:sz w:val="26"/>
          <w:szCs w:val="26"/>
        </w:rPr>
        <w:t xml:space="preserve"> se </w:t>
      </w:r>
      <w:r w:rsidR="005E763E">
        <w:rPr>
          <w:rFonts w:ascii="Arial" w:eastAsia="Calibri" w:hAnsi="Arial" w:cs="Arial"/>
          <w:bCs/>
          <w:sz w:val="26"/>
          <w:szCs w:val="26"/>
        </w:rPr>
        <w:t>señalaron los hechos que motivaron la emisión del crédito fiscal, así como los fundamentos jurídicos que sirvieron de sustento a la Autoridad para emitirla, previstos en la Constitución Local, Ley Orgánica Municipal para el Estado de Oaxaca y el Código Fiscal Municipal del Estado de Oaxaca</w:t>
      </w:r>
      <w:r w:rsidR="00832803">
        <w:rPr>
          <w:rFonts w:ascii="Arial" w:eastAsia="Calibri" w:hAnsi="Arial" w:cs="Arial"/>
          <w:bCs/>
          <w:sz w:val="26"/>
          <w:szCs w:val="26"/>
        </w:rPr>
        <w:t>; agrega,</w:t>
      </w:r>
      <w:r w:rsidR="005E763E">
        <w:rPr>
          <w:rFonts w:ascii="Arial" w:eastAsia="Calibri" w:hAnsi="Arial" w:cs="Arial"/>
          <w:bCs/>
          <w:sz w:val="26"/>
          <w:szCs w:val="26"/>
        </w:rPr>
        <w:t xml:space="preserve"> la obligación de fundar y motivar se satisface </w:t>
      </w:r>
      <w:r w:rsidR="00832803">
        <w:rPr>
          <w:rFonts w:ascii="Arial" w:eastAsia="Calibri" w:hAnsi="Arial" w:cs="Arial"/>
          <w:bCs/>
          <w:sz w:val="26"/>
          <w:szCs w:val="26"/>
        </w:rPr>
        <w:t xml:space="preserve">cuando se expresan las normas legales aplicables y los hechos que nacen que en caso encaje en las hipótesis normativas, sin que pueda </w:t>
      </w:r>
      <w:r w:rsidR="004F7F05">
        <w:rPr>
          <w:rFonts w:ascii="Arial" w:eastAsia="Calibri" w:hAnsi="Arial" w:cs="Arial"/>
          <w:bCs/>
          <w:sz w:val="26"/>
          <w:szCs w:val="26"/>
        </w:rPr>
        <w:t>exigir</w:t>
      </w:r>
      <w:r w:rsidR="00832803">
        <w:rPr>
          <w:rFonts w:ascii="Arial" w:eastAsia="Calibri" w:hAnsi="Arial" w:cs="Arial"/>
          <w:bCs/>
          <w:sz w:val="26"/>
          <w:szCs w:val="26"/>
        </w:rPr>
        <w:t>se</w:t>
      </w:r>
      <w:r w:rsidR="004F7F05">
        <w:rPr>
          <w:rFonts w:ascii="Arial" w:eastAsia="Calibri" w:hAnsi="Arial" w:cs="Arial"/>
          <w:bCs/>
          <w:sz w:val="26"/>
          <w:szCs w:val="26"/>
        </w:rPr>
        <w:t xml:space="preserve"> una</w:t>
      </w:r>
      <w:r w:rsidR="005E763E">
        <w:rPr>
          <w:rFonts w:ascii="Arial" w:eastAsia="Calibri" w:hAnsi="Arial" w:cs="Arial"/>
          <w:bCs/>
          <w:sz w:val="26"/>
          <w:szCs w:val="26"/>
        </w:rPr>
        <w:t xml:space="preserve"> amplitud o abundancia</w:t>
      </w:r>
      <w:r w:rsidR="004F7F05">
        <w:rPr>
          <w:rFonts w:ascii="Arial" w:eastAsia="Calibri" w:hAnsi="Arial" w:cs="Arial"/>
          <w:bCs/>
          <w:sz w:val="26"/>
          <w:szCs w:val="26"/>
        </w:rPr>
        <w:t>, al ser suficiente lo estrictamente necesario para explicar, justificar y posibilitar la defen</w:t>
      </w:r>
      <w:r w:rsidR="00832803">
        <w:rPr>
          <w:rFonts w:ascii="Arial" w:eastAsia="Calibri" w:hAnsi="Arial" w:cs="Arial"/>
          <w:bCs/>
          <w:sz w:val="26"/>
          <w:szCs w:val="26"/>
        </w:rPr>
        <w:t>sa.</w:t>
      </w:r>
    </w:p>
    <w:p w:rsidR="001D20BF" w:rsidRPr="00F45D0A" w:rsidRDefault="004F7F05" w:rsidP="001D20BF">
      <w:pPr>
        <w:spacing w:line="360" w:lineRule="auto"/>
        <w:ind w:firstLine="709"/>
        <w:jc w:val="both"/>
        <w:rPr>
          <w:rFonts w:ascii="Arial" w:eastAsia="Calibri" w:hAnsi="Arial" w:cs="Arial"/>
          <w:bCs/>
          <w:sz w:val="24"/>
          <w:szCs w:val="24"/>
        </w:rPr>
      </w:pPr>
      <w:r>
        <w:rPr>
          <w:rFonts w:ascii="Arial" w:eastAsia="Calibri" w:hAnsi="Arial" w:cs="Arial"/>
          <w:bCs/>
          <w:sz w:val="26"/>
          <w:szCs w:val="26"/>
        </w:rPr>
        <w:t xml:space="preserve">También arguye, </w:t>
      </w:r>
      <w:r w:rsidR="001D20BF">
        <w:rPr>
          <w:rFonts w:ascii="Arial" w:eastAsia="Calibri" w:hAnsi="Arial" w:cs="Arial"/>
          <w:bCs/>
          <w:sz w:val="26"/>
          <w:szCs w:val="26"/>
        </w:rPr>
        <w:t xml:space="preserve">que </w:t>
      </w:r>
      <w:r w:rsidR="00F855D2">
        <w:rPr>
          <w:rFonts w:ascii="Arial" w:eastAsia="Calibri" w:hAnsi="Arial" w:cs="Arial"/>
          <w:bCs/>
          <w:sz w:val="26"/>
          <w:szCs w:val="26"/>
        </w:rPr>
        <w:t>al haber sido emitida la resoluci</w:t>
      </w:r>
      <w:r w:rsidR="00AA5B15">
        <w:rPr>
          <w:rFonts w:ascii="Arial" w:eastAsia="Calibri" w:hAnsi="Arial" w:cs="Arial"/>
          <w:bCs/>
          <w:sz w:val="26"/>
          <w:szCs w:val="26"/>
        </w:rPr>
        <w:t xml:space="preserve">ón impugnada </w:t>
      </w:r>
      <w:r w:rsidR="00F855D2">
        <w:rPr>
          <w:rFonts w:ascii="Arial" w:eastAsia="Calibri" w:hAnsi="Arial" w:cs="Arial"/>
          <w:bCs/>
          <w:sz w:val="26"/>
          <w:szCs w:val="26"/>
        </w:rPr>
        <w:t>por una autoridad que carece de competencia</w:t>
      </w:r>
      <w:r w:rsidR="001D20BF">
        <w:rPr>
          <w:rFonts w:ascii="Arial" w:eastAsia="Calibri" w:hAnsi="Arial" w:cs="Arial"/>
          <w:bCs/>
          <w:sz w:val="26"/>
          <w:szCs w:val="26"/>
        </w:rPr>
        <w:t>, trae como consecuencia la nulidad para efectos y no lisa y llana, porque la fundamentación que se llevó a cabo es la correcta, sin que se dejará al administrado en estado de indefensión, por lo que</w:t>
      </w:r>
      <w:r w:rsidR="00AA5B15">
        <w:rPr>
          <w:rFonts w:ascii="Arial" w:eastAsia="Calibri" w:hAnsi="Arial" w:cs="Arial"/>
          <w:bCs/>
          <w:sz w:val="26"/>
          <w:szCs w:val="26"/>
        </w:rPr>
        <w:t>,</w:t>
      </w:r>
      <w:r w:rsidR="001D20BF">
        <w:rPr>
          <w:rFonts w:ascii="Arial" w:eastAsia="Calibri" w:hAnsi="Arial" w:cs="Arial"/>
          <w:bCs/>
          <w:sz w:val="26"/>
          <w:szCs w:val="26"/>
        </w:rPr>
        <w:t xml:space="preserve"> de considerar</w:t>
      </w:r>
      <w:r w:rsidR="00AA5B15">
        <w:rPr>
          <w:rFonts w:ascii="Arial" w:eastAsia="Calibri" w:hAnsi="Arial" w:cs="Arial"/>
          <w:bCs/>
          <w:sz w:val="26"/>
          <w:szCs w:val="26"/>
        </w:rPr>
        <w:t>se la falta de motivación se debió declarar</w:t>
      </w:r>
      <w:r w:rsidR="001D20BF">
        <w:rPr>
          <w:rFonts w:ascii="Arial" w:eastAsia="Calibri" w:hAnsi="Arial" w:cs="Arial"/>
          <w:bCs/>
          <w:sz w:val="26"/>
          <w:szCs w:val="26"/>
        </w:rPr>
        <w:t xml:space="preserve"> la nulidad para efecto de subs</w:t>
      </w:r>
      <w:r w:rsidR="000015F8">
        <w:rPr>
          <w:rFonts w:ascii="Arial" w:eastAsia="Calibri" w:hAnsi="Arial" w:cs="Arial"/>
          <w:bCs/>
          <w:sz w:val="26"/>
          <w:szCs w:val="26"/>
        </w:rPr>
        <w:t>anar la omisión. Cita</w:t>
      </w:r>
      <w:r w:rsidR="001D20BF">
        <w:rPr>
          <w:rFonts w:ascii="Arial" w:eastAsia="Calibri" w:hAnsi="Arial" w:cs="Arial"/>
          <w:bCs/>
          <w:sz w:val="26"/>
          <w:szCs w:val="26"/>
        </w:rPr>
        <w:t xml:space="preserve"> los criterios de rubros: </w:t>
      </w:r>
      <w:r w:rsidR="001D20BF" w:rsidRPr="00F45D0A">
        <w:rPr>
          <w:rFonts w:ascii="Arial" w:eastAsia="Calibri" w:hAnsi="Arial" w:cs="Arial"/>
          <w:bCs/>
          <w:sz w:val="24"/>
          <w:szCs w:val="24"/>
        </w:rPr>
        <w:t>“</w:t>
      </w:r>
      <w:r w:rsidR="001D20BF" w:rsidRPr="00F45D0A">
        <w:rPr>
          <w:rFonts w:ascii="Arial" w:eastAsia="Calibri" w:hAnsi="Arial" w:cs="Arial"/>
          <w:bCs/>
          <w:i/>
          <w:sz w:val="24"/>
          <w:szCs w:val="24"/>
        </w:rPr>
        <w:t>NULIDAD. REGLAS PARA SU DETERMINACIÓN EN EL JUICIO CONTENCIOSO ADMINISTRATIVO EN EL DISTRITO FEDERAL.</w:t>
      </w:r>
      <w:r w:rsidR="00F855D2" w:rsidRPr="00F45D0A">
        <w:rPr>
          <w:rFonts w:ascii="Arial" w:eastAsia="Calibri" w:hAnsi="Arial" w:cs="Arial"/>
          <w:bCs/>
          <w:sz w:val="24"/>
          <w:szCs w:val="24"/>
        </w:rPr>
        <w:t xml:space="preserve">” </w:t>
      </w:r>
      <w:r w:rsidR="001D20BF" w:rsidRPr="00F45D0A">
        <w:rPr>
          <w:rFonts w:ascii="Arial" w:eastAsia="Calibri" w:hAnsi="Arial" w:cs="Arial"/>
          <w:bCs/>
          <w:sz w:val="24"/>
          <w:szCs w:val="24"/>
        </w:rPr>
        <w:t xml:space="preserve"> “</w:t>
      </w:r>
      <w:r w:rsidR="001D20BF" w:rsidRPr="00F45D0A">
        <w:rPr>
          <w:rFonts w:ascii="Arial" w:eastAsia="Calibri" w:hAnsi="Arial" w:cs="Arial"/>
          <w:bCs/>
          <w:i/>
          <w:sz w:val="24"/>
          <w:szCs w:val="24"/>
        </w:rPr>
        <w:t>FUNDAMENTACIÓN Y MOTIVACIÓN, FALTA O INDEBIDA. EN CUANTO SON DISTINTAS, UNAS GENERAN NULIDAD LISA Y LLANA Y OT</w:t>
      </w:r>
      <w:r w:rsidR="00225936" w:rsidRPr="00F45D0A">
        <w:rPr>
          <w:rFonts w:ascii="Arial" w:eastAsia="Calibri" w:hAnsi="Arial" w:cs="Arial"/>
          <w:bCs/>
          <w:i/>
          <w:sz w:val="24"/>
          <w:szCs w:val="24"/>
        </w:rPr>
        <w:t>R</w:t>
      </w:r>
      <w:r w:rsidR="001D20BF" w:rsidRPr="00F45D0A">
        <w:rPr>
          <w:rFonts w:ascii="Arial" w:eastAsia="Calibri" w:hAnsi="Arial" w:cs="Arial"/>
          <w:bCs/>
          <w:i/>
          <w:sz w:val="24"/>
          <w:szCs w:val="24"/>
        </w:rPr>
        <w:t>AS PARA EFECTOS.</w:t>
      </w:r>
      <w:r w:rsidR="001D20BF" w:rsidRPr="00F45D0A">
        <w:rPr>
          <w:rFonts w:ascii="Arial" w:eastAsia="Calibri" w:hAnsi="Arial" w:cs="Arial"/>
          <w:bCs/>
          <w:sz w:val="24"/>
          <w:szCs w:val="24"/>
        </w:rPr>
        <w:t>”</w:t>
      </w:r>
      <w:r w:rsidR="00F855D2" w:rsidRPr="00F45D0A">
        <w:rPr>
          <w:rFonts w:ascii="Arial" w:eastAsia="Calibri" w:hAnsi="Arial" w:cs="Arial"/>
          <w:bCs/>
          <w:sz w:val="24"/>
          <w:szCs w:val="24"/>
        </w:rPr>
        <w:t xml:space="preserve"> y “</w:t>
      </w:r>
      <w:r w:rsidR="00F855D2" w:rsidRPr="00F45D0A">
        <w:rPr>
          <w:rFonts w:ascii="Arial" w:eastAsia="Calibri" w:hAnsi="Arial" w:cs="Arial"/>
          <w:bCs/>
          <w:i/>
          <w:sz w:val="24"/>
          <w:szCs w:val="24"/>
        </w:rPr>
        <w:t>SENTENCIAS DEL TRIBUNAL FEDERAL DE JUSTICIA FISCAL Y ADMINISTRATIVA. SUS EFECTOS CUANDO LA AUTORIDAD OMITE FUNDAR SU COMPETENCIA Y CUANDO DEL ESTUDIO DE FONDO SE ADVIERTE QUE CARECE DE ELLA</w:t>
      </w:r>
      <w:r w:rsidR="00F855D2" w:rsidRPr="00F45D0A">
        <w:rPr>
          <w:rFonts w:ascii="Arial" w:eastAsia="Calibri" w:hAnsi="Arial" w:cs="Arial"/>
          <w:bCs/>
          <w:sz w:val="24"/>
          <w:szCs w:val="24"/>
        </w:rPr>
        <w:t>”.</w:t>
      </w:r>
    </w:p>
    <w:p w:rsidR="00F45D0A" w:rsidRDefault="004D0D6E" w:rsidP="00F45D0A">
      <w:pPr>
        <w:spacing w:line="360" w:lineRule="auto"/>
        <w:jc w:val="both"/>
        <w:rPr>
          <w:rFonts w:ascii="Arial" w:hAnsi="Arial" w:cs="Arial"/>
          <w:sz w:val="26"/>
          <w:szCs w:val="26"/>
        </w:rPr>
      </w:pPr>
      <w:r>
        <w:rPr>
          <w:rFonts w:ascii="Arial" w:eastAsia="Calibri" w:hAnsi="Arial" w:cs="Arial"/>
          <w:bCs/>
          <w:sz w:val="26"/>
          <w:szCs w:val="26"/>
        </w:rPr>
        <w:t xml:space="preserve">     </w:t>
      </w:r>
      <w:r w:rsidR="00AA5B15">
        <w:rPr>
          <w:rFonts w:ascii="Arial" w:eastAsia="Calibri" w:hAnsi="Arial" w:cs="Arial"/>
          <w:bCs/>
          <w:sz w:val="26"/>
          <w:szCs w:val="26"/>
        </w:rPr>
        <w:t>Estos argumentos</w:t>
      </w:r>
      <w:r w:rsidR="006F2B61">
        <w:rPr>
          <w:rFonts w:ascii="Arial" w:eastAsia="Calibri" w:hAnsi="Arial" w:cs="Arial"/>
          <w:bCs/>
          <w:sz w:val="26"/>
          <w:szCs w:val="26"/>
        </w:rPr>
        <w:t xml:space="preserve"> son </w:t>
      </w:r>
      <w:r w:rsidR="006F2B61" w:rsidRPr="00010B3B">
        <w:rPr>
          <w:rFonts w:ascii="Arial" w:eastAsia="Calibri" w:hAnsi="Arial" w:cs="Arial"/>
          <w:b/>
          <w:bCs/>
          <w:sz w:val="26"/>
          <w:szCs w:val="26"/>
        </w:rPr>
        <w:t>in</w:t>
      </w:r>
      <w:r w:rsidR="006F2B61">
        <w:rPr>
          <w:rFonts w:ascii="Arial" w:eastAsia="Calibri" w:hAnsi="Arial" w:cs="Arial"/>
          <w:b/>
          <w:bCs/>
          <w:sz w:val="26"/>
          <w:szCs w:val="26"/>
        </w:rPr>
        <w:t>operantes</w:t>
      </w:r>
      <w:r w:rsidR="006F2B61" w:rsidRPr="00010B3B">
        <w:rPr>
          <w:rFonts w:ascii="Arial" w:eastAsia="Calibri" w:hAnsi="Arial" w:cs="Arial"/>
          <w:bCs/>
          <w:sz w:val="26"/>
          <w:szCs w:val="26"/>
        </w:rPr>
        <w:t xml:space="preserve">, </w:t>
      </w:r>
      <w:r w:rsidR="00AA5B15">
        <w:rPr>
          <w:rFonts w:ascii="Arial" w:eastAsia="Calibri" w:hAnsi="Arial" w:cs="Arial"/>
          <w:bCs/>
          <w:sz w:val="26"/>
          <w:szCs w:val="26"/>
        </w:rPr>
        <w:t xml:space="preserve">porque la </w:t>
      </w:r>
      <w:r>
        <w:rPr>
          <w:rFonts w:ascii="Arial" w:eastAsia="Calibri" w:hAnsi="Arial" w:cs="Arial"/>
          <w:bCs/>
          <w:sz w:val="26"/>
          <w:szCs w:val="26"/>
        </w:rPr>
        <w:t xml:space="preserve">autoridad </w:t>
      </w:r>
      <w:r w:rsidR="00AA5B15">
        <w:rPr>
          <w:rFonts w:ascii="Arial" w:eastAsia="Calibri" w:hAnsi="Arial" w:cs="Arial"/>
          <w:bCs/>
          <w:sz w:val="26"/>
          <w:szCs w:val="26"/>
        </w:rPr>
        <w:t>recurrente</w:t>
      </w:r>
      <w:r w:rsidR="00716DA1">
        <w:rPr>
          <w:rFonts w:ascii="Arial" w:eastAsia="Calibri" w:hAnsi="Arial" w:cs="Arial"/>
          <w:bCs/>
          <w:sz w:val="26"/>
          <w:szCs w:val="26"/>
        </w:rPr>
        <w:t xml:space="preserve"> </w:t>
      </w:r>
      <w:r w:rsidR="006F2B61">
        <w:rPr>
          <w:rFonts w:ascii="Arial" w:eastAsia="Calibri" w:hAnsi="Arial" w:cs="Arial"/>
          <w:bCs/>
          <w:sz w:val="26"/>
          <w:szCs w:val="26"/>
        </w:rPr>
        <w:t>no combat</w:t>
      </w:r>
      <w:r w:rsidR="00716DA1">
        <w:rPr>
          <w:rFonts w:ascii="Arial" w:eastAsia="Calibri" w:hAnsi="Arial" w:cs="Arial"/>
          <w:bCs/>
          <w:sz w:val="26"/>
          <w:szCs w:val="26"/>
        </w:rPr>
        <w:t>e</w:t>
      </w:r>
      <w:r w:rsidR="006F2B61">
        <w:rPr>
          <w:rFonts w:ascii="Arial" w:eastAsia="Calibri" w:hAnsi="Arial" w:cs="Arial"/>
          <w:bCs/>
          <w:sz w:val="26"/>
          <w:szCs w:val="26"/>
        </w:rPr>
        <w:t xml:space="preserve"> </w:t>
      </w:r>
      <w:r w:rsidR="001575E0">
        <w:rPr>
          <w:rFonts w:ascii="Arial" w:eastAsia="Calibri" w:hAnsi="Arial" w:cs="Arial"/>
          <w:bCs/>
          <w:sz w:val="26"/>
          <w:szCs w:val="26"/>
        </w:rPr>
        <w:t xml:space="preserve">eficazmente </w:t>
      </w:r>
      <w:r w:rsidR="006F2B61">
        <w:rPr>
          <w:rFonts w:ascii="Arial" w:eastAsia="Calibri" w:hAnsi="Arial" w:cs="Arial"/>
          <w:bCs/>
          <w:sz w:val="26"/>
          <w:szCs w:val="26"/>
        </w:rPr>
        <w:t>las consideraci</w:t>
      </w:r>
      <w:r w:rsidR="00716DA1">
        <w:rPr>
          <w:rFonts w:ascii="Arial" w:eastAsia="Calibri" w:hAnsi="Arial" w:cs="Arial"/>
          <w:bCs/>
          <w:sz w:val="26"/>
          <w:szCs w:val="26"/>
        </w:rPr>
        <w:t xml:space="preserve">ones </w:t>
      </w:r>
      <w:r w:rsidR="006F2B61">
        <w:rPr>
          <w:rFonts w:ascii="Arial" w:eastAsia="Calibri" w:hAnsi="Arial" w:cs="Arial"/>
          <w:bCs/>
          <w:sz w:val="26"/>
          <w:szCs w:val="26"/>
        </w:rPr>
        <w:t>toral</w:t>
      </w:r>
      <w:r w:rsidR="00716DA1">
        <w:rPr>
          <w:rFonts w:ascii="Arial" w:eastAsia="Calibri" w:hAnsi="Arial" w:cs="Arial"/>
          <w:bCs/>
          <w:sz w:val="26"/>
          <w:szCs w:val="26"/>
        </w:rPr>
        <w:t>es</w:t>
      </w:r>
      <w:r w:rsidR="006F2B61">
        <w:rPr>
          <w:rFonts w:ascii="Arial" w:eastAsia="Calibri" w:hAnsi="Arial" w:cs="Arial"/>
          <w:bCs/>
          <w:sz w:val="26"/>
          <w:szCs w:val="26"/>
        </w:rPr>
        <w:t xml:space="preserve"> de la Primera Instancia para declara</w:t>
      </w:r>
      <w:r w:rsidR="00184ECE">
        <w:rPr>
          <w:rFonts w:ascii="Arial" w:eastAsia="Calibri" w:hAnsi="Arial" w:cs="Arial"/>
          <w:bCs/>
          <w:sz w:val="26"/>
          <w:szCs w:val="26"/>
        </w:rPr>
        <w:t xml:space="preserve">r la nulidad </w:t>
      </w:r>
      <w:r w:rsidR="00F45D0A">
        <w:rPr>
          <w:rFonts w:ascii="Arial" w:eastAsia="Calibri" w:hAnsi="Arial" w:cs="Arial"/>
          <w:bCs/>
          <w:sz w:val="26"/>
          <w:szCs w:val="26"/>
        </w:rPr>
        <w:t xml:space="preserve">lisa y llana </w:t>
      </w:r>
      <w:r w:rsidR="00184ECE">
        <w:rPr>
          <w:rFonts w:ascii="Arial" w:eastAsia="Calibri" w:hAnsi="Arial" w:cs="Arial"/>
          <w:bCs/>
          <w:sz w:val="26"/>
          <w:szCs w:val="26"/>
        </w:rPr>
        <w:t>del acto impugnado</w:t>
      </w:r>
      <w:r>
        <w:rPr>
          <w:rFonts w:ascii="Arial" w:eastAsia="Calibri" w:hAnsi="Arial" w:cs="Arial"/>
          <w:bCs/>
          <w:sz w:val="26"/>
          <w:szCs w:val="26"/>
        </w:rPr>
        <w:t>, consistentes en:</w:t>
      </w:r>
      <w:r w:rsidR="00665BC8">
        <w:rPr>
          <w:rFonts w:ascii="Arial" w:hAnsi="Arial" w:cs="Arial"/>
          <w:sz w:val="26"/>
          <w:szCs w:val="26"/>
        </w:rPr>
        <w:t xml:space="preserve"> </w:t>
      </w:r>
    </w:p>
    <w:p w:rsidR="00AA5B15" w:rsidRPr="0026557F" w:rsidRDefault="00AA5B15" w:rsidP="0026557F">
      <w:pPr>
        <w:ind w:left="426" w:right="474"/>
        <w:jc w:val="both"/>
        <w:rPr>
          <w:rFonts w:ascii="Arial" w:eastAsia="Calibri" w:hAnsi="Arial" w:cs="Arial"/>
          <w:bCs/>
          <w:sz w:val="24"/>
          <w:szCs w:val="26"/>
        </w:rPr>
      </w:pPr>
      <w:r w:rsidRPr="0026557F">
        <w:rPr>
          <w:rFonts w:ascii="Arial" w:eastAsia="Calibri" w:hAnsi="Arial" w:cs="Arial"/>
          <w:bCs/>
          <w:i/>
          <w:szCs w:val="24"/>
        </w:rPr>
        <w:t xml:space="preserve">“El </w:t>
      </w:r>
      <w:r w:rsidR="004D0D6E" w:rsidRPr="0026557F">
        <w:rPr>
          <w:rFonts w:ascii="Arial" w:eastAsia="Calibri" w:hAnsi="Arial" w:cs="Arial"/>
          <w:bCs/>
          <w:i/>
          <w:szCs w:val="24"/>
        </w:rPr>
        <w:t>artículo</w:t>
      </w:r>
      <w:r w:rsidRPr="0026557F">
        <w:rPr>
          <w:rFonts w:ascii="Arial" w:eastAsia="Calibri" w:hAnsi="Arial" w:cs="Arial"/>
          <w:bCs/>
          <w:i/>
          <w:szCs w:val="24"/>
        </w:rPr>
        <w:t xml:space="preserve"> 156 de la citada Ley de </w:t>
      </w:r>
      <w:r w:rsidR="004D0D6E" w:rsidRPr="0026557F">
        <w:rPr>
          <w:rFonts w:ascii="Arial" w:eastAsia="Calibri" w:hAnsi="Arial" w:cs="Arial"/>
          <w:bCs/>
          <w:i/>
          <w:szCs w:val="24"/>
        </w:rPr>
        <w:t>Ingresos</w:t>
      </w:r>
      <w:r w:rsidRPr="0026557F">
        <w:rPr>
          <w:rFonts w:ascii="Arial" w:eastAsia="Calibri" w:hAnsi="Arial" w:cs="Arial"/>
          <w:bCs/>
          <w:i/>
          <w:szCs w:val="24"/>
        </w:rPr>
        <w:t xml:space="preserve">, en efecto, señala una tabla de pago de derechos por actualización del </w:t>
      </w:r>
      <w:r w:rsidR="004D0D6E" w:rsidRPr="0026557F">
        <w:rPr>
          <w:rFonts w:ascii="Arial" w:eastAsia="Calibri" w:hAnsi="Arial" w:cs="Arial"/>
          <w:bCs/>
          <w:i/>
          <w:szCs w:val="24"/>
        </w:rPr>
        <w:t>Padrón</w:t>
      </w:r>
      <w:r w:rsidRPr="0026557F">
        <w:rPr>
          <w:rFonts w:ascii="Arial" w:eastAsia="Calibri" w:hAnsi="Arial" w:cs="Arial"/>
          <w:bCs/>
          <w:i/>
          <w:szCs w:val="24"/>
        </w:rPr>
        <w:t xml:space="preserve"> Fiscal Municipal, sin embargo, en el documento que hoy se impugna</w:t>
      </w:r>
      <w:r w:rsidR="00037605" w:rsidRPr="0026557F">
        <w:rPr>
          <w:rFonts w:ascii="Arial" w:eastAsia="Calibri" w:hAnsi="Arial" w:cs="Arial"/>
          <w:bCs/>
          <w:i/>
          <w:szCs w:val="24"/>
        </w:rPr>
        <w:t xml:space="preserve">, no se refiere la actualización del registro del padrón fiscal municipal como establecimiento  comercial de giro blanco, lo que se conoce de acuerdo  al Reglamento de Establecimientos Comerciales, como la continuidad de operaciones; sino también refiere: </w:t>
      </w:r>
      <w:r w:rsidR="00037605" w:rsidRPr="0026557F">
        <w:rPr>
          <w:rFonts w:ascii="Arial" w:eastAsia="Calibri" w:hAnsi="Arial" w:cs="Arial"/>
          <w:b/>
          <w:bCs/>
          <w:i/>
          <w:szCs w:val="24"/>
        </w:rPr>
        <w:t xml:space="preserve">En virtud de encontrarse inscrito en el Registro Fiscal Municipal de giros blancos y ya que a la fecha no ha cubierto el pago por concepto de </w:t>
      </w:r>
      <w:r w:rsidR="004D0D6E" w:rsidRPr="0026557F">
        <w:rPr>
          <w:rFonts w:ascii="Arial" w:eastAsia="Calibri" w:hAnsi="Arial" w:cs="Arial"/>
          <w:b/>
          <w:bCs/>
          <w:i/>
          <w:szCs w:val="24"/>
        </w:rPr>
        <w:t>Actualización</w:t>
      </w:r>
      <w:r w:rsidR="00037605" w:rsidRPr="0026557F">
        <w:rPr>
          <w:rFonts w:ascii="Arial" w:eastAsia="Calibri" w:hAnsi="Arial" w:cs="Arial"/>
          <w:b/>
          <w:bCs/>
          <w:i/>
          <w:szCs w:val="24"/>
        </w:rPr>
        <w:t xml:space="preserve"> de </w:t>
      </w:r>
      <w:r w:rsidR="00037605" w:rsidRPr="0026557F">
        <w:rPr>
          <w:rFonts w:ascii="Arial" w:eastAsia="Calibri" w:hAnsi="Arial" w:cs="Arial"/>
          <w:b/>
          <w:bCs/>
          <w:i/>
          <w:szCs w:val="24"/>
          <w:u w:val="single"/>
        </w:rPr>
        <w:t>Licencia de Funcionamiento</w:t>
      </w:r>
      <w:r w:rsidR="00037605" w:rsidRPr="0026557F">
        <w:rPr>
          <w:rFonts w:ascii="Arial" w:eastAsia="Calibri" w:hAnsi="Arial" w:cs="Arial"/>
          <w:b/>
          <w:bCs/>
          <w:i/>
          <w:szCs w:val="24"/>
        </w:rPr>
        <w:t xml:space="preserve"> de su </w:t>
      </w:r>
      <w:r w:rsidR="004D0D6E" w:rsidRPr="0026557F">
        <w:rPr>
          <w:rFonts w:ascii="Arial" w:eastAsia="Calibri" w:hAnsi="Arial" w:cs="Arial"/>
          <w:b/>
          <w:bCs/>
          <w:i/>
          <w:szCs w:val="24"/>
        </w:rPr>
        <w:t>establecimiento</w:t>
      </w:r>
      <w:r w:rsidR="00037605" w:rsidRPr="0026557F">
        <w:rPr>
          <w:rFonts w:ascii="Arial" w:eastAsia="Calibri" w:hAnsi="Arial" w:cs="Arial"/>
          <w:b/>
          <w:bCs/>
          <w:i/>
          <w:szCs w:val="24"/>
        </w:rPr>
        <w:t xml:space="preserve"> comercial…</w:t>
      </w:r>
      <w:r w:rsidR="00037605" w:rsidRPr="0026557F">
        <w:rPr>
          <w:rFonts w:ascii="Arial" w:eastAsia="Calibri" w:hAnsi="Arial" w:cs="Arial"/>
          <w:bCs/>
          <w:i/>
          <w:szCs w:val="24"/>
        </w:rPr>
        <w:t>.”</w:t>
      </w:r>
      <w:r w:rsidR="004D0D6E" w:rsidRPr="0026557F">
        <w:rPr>
          <w:rFonts w:ascii="Arial" w:eastAsia="Calibri" w:hAnsi="Arial" w:cs="Arial"/>
          <w:bCs/>
          <w:i/>
          <w:szCs w:val="24"/>
        </w:rPr>
        <w:t xml:space="preserve"> No señala qu</w:t>
      </w:r>
      <w:r w:rsidR="00037605" w:rsidRPr="0026557F">
        <w:rPr>
          <w:rFonts w:ascii="Arial" w:eastAsia="Calibri" w:hAnsi="Arial" w:cs="Arial"/>
          <w:bCs/>
          <w:i/>
          <w:szCs w:val="24"/>
        </w:rPr>
        <w:t>é tipo de li</w:t>
      </w:r>
      <w:r w:rsidR="004D0D6E" w:rsidRPr="0026557F">
        <w:rPr>
          <w:rFonts w:ascii="Arial" w:eastAsia="Calibri" w:hAnsi="Arial" w:cs="Arial"/>
          <w:bCs/>
          <w:i/>
          <w:szCs w:val="24"/>
        </w:rPr>
        <w:t>cencia, debido a que de acuerdo</w:t>
      </w:r>
      <w:r w:rsidR="00037605" w:rsidRPr="0026557F">
        <w:rPr>
          <w:rFonts w:ascii="Arial" w:eastAsia="Calibri" w:hAnsi="Arial" w:cs="Arial"/>
          <w:bCs/>
          <w:i/>
          <w:szCs w:val="24"/>
        </w:rPr>
        <w:t xml:space="preserve"> al </w:t>
      </w:r>
      <w:r w:rsidR="004D0D6E" w:rsidRPr="0026557F">
        <w:rPr>
          <w:rFonts w:ascii="Arial" w:eastAsia="Calibri" w:hAnsi="Arial" w:cs="Arial"/>
          <w:bCs/>
          <w:i/>
          <w:szCs w:val="24"/>
        </w:rPr>
        <w:t>artículo</w:t>
      </w:r>
      <w:r w:rsidR="00037605" w:rsidRPr="0026557F">
        <w:rPr>
          <w:rFonts w:ascii="Arial" w:eastAsia="Calibri" w:hAnsi="Arial" w:cs="Arial"/>
          <w:bCs/>
          <w:i/>
          <w:szCs w:val="24"/>
        </w:rPr>
        <w:t xml:space="preserve"> 7 del Reglamento para el Funcionamiento de </w:t>
      </w:r>
      <w:r w:rsidR="004D0D6E" w:rsidRPr="0026557F">
        <w:rPr>
          <w:rFonts w:ascii="Arial" w:eastAsia="Calibri" w:hAnsi="Arial" w:cs="Arial"/>
          <w:bCs/>
          <w:i/>
          <w:szCs w:val="24"/>
        </w:rPr>
        <w:t>Establecimientos</w:t>
      </w:r>
      <w:r w:rsidR="00037605" w:rsidRPr="0026557F">
        <w:rPr>
          <w:rFonts w:ascii="Arial" w:eastAsia="Calibri" w:hAnsi="Arial" w:cs="Arial"/>
          <w:bCs/>
          <w:i/>
          <w:szCs w:val="24"/>
        </w:rPr>
        <w:t xml:space="preserve"> Comerciales en el Municipio de Oaxaca de </w:t>
      </w:r>
      <w:r w:rsidR="004D0D6E" w:rsidRPr="0026557F">
        <w:rPr>
          <w:rFonts w:ascii="Arial" w:eastAsia="Calibri" w:hAnsi="Arial" w:cs="Arial"/>
          <w:bCs/>
          <w:i/>
          <w:szCs w:val="24"/>
        </w:rPr>
        <w:t>Juárez</w:t>
      </w:r>
      <w:r w:rsidR="00037605" w:rsidRPr="0026557F">
        <w:rPr>
          <w:rFonts w:ascii="Arial" w:eastAsia="Calibri" w:hAnsi="Arial" w:cs="Arial"/>
          <w:bCs/>
          <w:i/>
          <w:szCs w:val="24"/>
        </w:rPr>
        <w:t>, (actualmente el 9 reformado en el 2015), se señala una diferencia de establecimientos, los de control especial</w:t>
      </w:r>
      <w:r w:rsidR="004D0D6E" w:rsidRPr="0026557F">
        <w:rPr>
          <w:rFonts w:ascii="Arial" w:eastAsia="Calibri" w:hAnsi="Arial" w:cs="Arial"/>
          <w:bCs/>
          <w:i/>
          <w:szCs w:val="24"/>
        </w:rPr>
        <w:t xml:space="preserve"> </w:t>
      </w:r>
      <w:r w:rsidR="00037605" w:rsidRPr="0026557F">
        <w:rPr>
          <w:rFonts w:ascii="Arial" w:eastAsia="Calibri" w:hAnsi="Arial" w:cs="Arial"/>
          <w:bCs/>
          <w:i/>
          <w:szCs w:val="24"/>
        </w:rPr>
        <w:t xml:space="preserve">y de control normal, </w:t>
      </w:r>
      <w:r w:rsidR="004D0D6E" w:rsidRPr="0026557F">
        <w:rPr>
          <w:rFonts w:ascii="Arial" w:eastAsia="Calibri" w:hAnsi="Arial" w:cs="Arial"/>
          <w:bCs/>
          <w:i/>
          <w:szCs w:val="24"/>
        </w:rPr>
        <w:t>entendiéndose</w:t>
      </w:r>
      <w:r w:rsidR="00037605" w:rsidRPr="0026557F">
        <w:rPr>
          <w:rFonts w:ascii="Arial" w:eastAsia="Calibri" w:hAnsi="Arial" w:cs="Arial"/>
          <w:bCs/>
          <w:i/>
          <w:szCs w:val="24"/>
        </w:rPr>
        <w:t xml:space="preserve"> por los primeros aquellos que requieren forzosamente de licencia o permiso </w:t>
      </w:r>
      <w:r w:rsidR="00037605" w:rsidRPr="0026557F">
        <w:rPr>
          <w:rFonts w:ascii="Arial" w:eastAsia="Calibri" w:hAnsi="Arial" w:cs="Arial"/>
          <w:bCs/>
          <w:i/>
          <w:szCs w:val="24"/>
        </w:rPr>
        <w:lastRenderedPageBreak/>
        <w:t xml:space="preserve">para funcionar y por los segundos aquellos que solo requieren  registro al </w:t>
      </w:r>
      <w:r w:rsidR="004D0D6E" w:rsidRPr="0026557F">
        <w:rPr>
          <w:rFonts w:ascii="Arial" w:eastAsia="Calibri" w:hAnsi="Arial" w:cs="Arial"/>
          <w:bCs/>
          <w:i/>
          <w:szCs w:val="24"/>
        </w:rPr>
        <w:t>padrón</w:t>
      </w:r>
      <w:r w:rsidR="00037605" w:rsidRPr="0026557F">
        <w:rPr>
          <w:rFonts w:ascii="Arial" w:eastAsia="Calibri" w:hAnsi="Arial" w:cs="Arial"/>
          <w:bCs/>
          <w:i/>
          <w:szCs w:val="24"/>
        </w:rPr>
        <w:t xml:space="preserve"> fiscal municipal (inicio de operaciones). En los artículos 10 y 11 del mismo </w:t>
      </w:r>
      <w:r w:rsidR="004D0D6E" w:rsidRPr="0026557F">
        <w:rPr>
          <w:rFonts w:ascii="Arial" w:eastAsia="Calibri" w:hAnsi="Arial" w:cs="Arial"/>
          <w:bCs/>
          <w:i/>
          <w:szCs w:val="24"/>
        </w:rPr>
        <w:t>reglamento</w:t>
      </w:r>
      <w:r w:rsidR="00037605" w:rsidRPr="0026557F">
        <w:rPr>
          <w:rFonts w:ascii="Arial" w:eastAsia="Calibri" w:hAnsi="Arial" w:cs="Arial"/>
          <w:bCs/>
          <w:i/>
          <w:szCs w:val="24"/>
        </w:rPr>
        <w:t xml:space="preserve"> vigente, señale que: (transcribe texto).</w:t>
      </w:r>
    </w:p>
    <w:p w:rsidR="00037605" w:rsidRPr="0026557F" w:rsidRDefault="00037605" w:rsidP="0026557F">
      <w:pPr>
        <w:ind w:left="426" w:right="474" w:firstLine="426"/>
        <w:jc w:val="both"/>
        <w:rPr>
          <w:rFonts w:ascii="Arial" w:eastAsia="Calibri" w:hAnsi="Arial" w:cs="Arial"/>
          <w:bCs/>
          <w:i/>
          <w:szCs w:val="24"/>
        </w:rPr>
      </w:pPr>
      <w:r w:rsidRPr="0026557F">
        <w:rPr>
          <w:rFonts w:ascii="Arial" w:eastAsia="Calibri" w:hAnsi="Arial" w:cs="Arial"/>
          <w:bCs/>
          <w:i/>
          <w:szCs w:val="24"/>
        </w:rPr>
        <w:t xml:space="preserve">Con esa normatividad vigente, la autoridad emisora del acto </w:t>
      </w:r>
      <w:r w:rsidR="004D0D6E" w:rsidRPr="0026557F">
        <w:rPr>
          <w:rFonts w:ascii="Arial" w:eastAsia="Calibri" w:hAnsi="Arial" w:cs="Arial"/>
          <w:bCs/>
          <w:i/>
          <w:szCs w:val="24"/>
        </w:rPr>
        <w:t>combatido</w:t>
      </w:r>
      <w:r w:rsidRPr="0026557F">
        <w:rPr>
          <w:rFonts w:ascii="Arial" w:eastAsia="Calibri" w:hAnsi="Arial" w:cs="Arial"/>
          <w:bCs/>
          <w:i/>
          <w:szCs w:val="24"/>
        </w:rPr>
        <w:t xml:space="preserve"> en este juicio, debió fundarse en el reglame</w:t>
      </w:r>
      <w:r w:rsidR="004D0D6E" w:rsidRPr="0026557F">
        <w:rPr>
          <w:rFonts w:ascii="Arial" w:eastAsia="Calibri" w:hAnsi="Arial" w:cs="Arial"/>
          <w:bCs/>
          <w:i/>
          <w:szCs w:val="24"/>
        </w:rPr>
        <w:t>nto</w:t>
      </w:r>
      <w:r w:rsidRPr="0026557F">
        <w:rPr>
          <w:rFonts w:ascii="Arial" w:eastAsia="Calibri" w:hAnsi="Arial" w:cs="Arial"/>
          <w:bCs/>
          <w:i/>
          <w:szCs w:val="24"/>
        </w:rPr>
        <w:t xml:space="preserve"> de donde nace la obligación a contar con una licencia de funcionamiento, para </w:t>
      </w:r>
      <w:r w:rsidR="004D0D6E" w:rsidRPr="0026557F">
        <w:rPr>
          <w:rFonts w:ascii="Arial" w:eastAsia="Calibri" w:hAnsi="Arial" w:cs="Arial"/>
          <w:bCs/>
          <w:i/>
          <w:szCs w:val="24"/>
        </w:rPr>
        <w:t>saber de</w:t>
      </w:r>
      <w:r w:rsidRPr="0026557F">
        <w:rPr>
          <w:rFonts w:ascii="Arial" w:eastAsia="Calibri" w:hAnsi="Arial" w:cs="Arial"/>
          <w:bCs/>
          <w:i/>
          <w:szCs w:val="24"/>
        </w:rPr>
        <w:t xml:space="preserve"> qué licencia refiere, debido a que el </w:t>
      </w:r>
      <w:r w:rsidR="004D0D6E" w:rsidRPr="0026557F">
        <w:rPr>
          <w:rFonts w:ascii="Arial" w:eastAsia="Calibri" w:hAnsi="Arial" w:cs="Arial"/>
          <w:bCs/>
          <w:i/>
          <w:szCs w:val="24"/>
        </w:rPr>
        <w:t>artículo</w:t>
      </w:r>
      <w:r w:rsidRPr="0026557F">
        <w:rPr>
          <w:rFonts w:ascii="Arial" w:eastAsia="Calibri" w:hAnsi="Arial" w:cs="Arial"/>
          <w:bCs/>
          <w:i/>
          <w:szCs w:val="24"/>
        </w:rPr>
        <w:t xml:space="preserve"> 10 del reglamento</w:t>
      </w:r>
      <w:r w:rsidR="004D0D6E" w:rsidRPr="0026557F">
        <w:rPr>
          <w:rFonts w:ascii="Arial" w:eastAsia="Calibri" w:hAnsi="Arial" w:cs="Arial"/>
          <w:bCs/>
          <w:i/>
          <w:szCs w:val="24"/>
        </w:rPr>
        <w:t xml:space="preserve"> </w:t>
      </w:r>
      <w:r w:rsidRPr="0026557F">
        <w:rPr>
          <w:rFonts w:ascii="Arial" w:eastAsia="Calibri" w:hAnsi="Arial" w:cs="Arial"/>
          <w:bCs/>
          <w:i/>
          <w:szCs w:val="24"/>
        </w:rPr>
        <w:t xml:space="preserve">en estudio, es deficiente, virtud de que no sólo esos </w:t>
      </w:r>
      <w:r w:rsidR="004D0D6E" w:rsidRPr="0026557F">
        <w:rPr>
          <w:rFonts w:ascii="Arial" w:eastAsia="Calibri" w:hAnsi="Arial" w:cs="Arial"/>
          <w:bCs/>
          <w:i/>
          <w:szCs w:val="24"/>
        </w:rPr>
        <w:t>giros</w:t>
      </w:r>
      <w:r w:rsidRPr="0026557F">
        <w:rPr>
          <w:rFonts w:ascii="Arial" w:eastAsia="Calibri" w:hAnsi="Arial" w:cs="Arial"/>
          <w:bCs/>
          <w:i/>
          <w:szCs w:val="24"/>
        </w:rPr>
        <w:t xml:space="preserve"> necesitan licencia, también </w:t>
      </w:r>
      <w:r w:rsidR="004D0D6E" w:rsidRPr="0026557F">
        <w:rPr>
          <w:rFonts w:ascii="Arial" w:eastAsia="Calibri" w:hAnsi="Arial" w:cs="Arial"/>
          <w:bCs/>
          <w:i/>
          <w:szCs w:val="24"/>
        </w:rPr>
        <w:t>todos</w:t>
      </w:r>
      <w:r w:rsidRPr="0026557F">
        <w:rPr>
          <w:rFonts w:ascii="Arial" w:eastAsia="Calibri" w:hAnsi="Arial" w:cs="Arial"/>
          <w:bCs/>
          <w:i/>
          <w:szCs w:val="24"/>
        </w:rPr>
        <w:t xml:space="preserve"> aquellos </w:t>
      </w:r>
      <w:r w:rsidR="004D0D6E" w:rsidRPr="0026557F">
        <w:rPr>
          <w:rFonts w:ascii="Arial" w:eastAsia="Calibri" w:hAnsi="Arial" w:cs="Arial"/>
          <w:bCs/>
          <w:i/>
          <w:szCs w:val="24"/>
        </w:rPr>
        <w:t>establecimientos que vendan</w:t>
      </w:r>
      <w:r w:rsidR="003475A9" w:rsidRPr="0026557F">
        <w:rPr>
          <w:rFonts w:ascii="Arial" w:eastAsia="Calibri" w:hAnsi="Arial" w:cs="Arial"/>
          <w:bCs/>
          <w:i/>
          <w:szCs w:val="24"/>
        </w:rPr>
        <w:t xml:space="preserve"> sustancias inflamables, o </w:t>
      </w:r>
      <w:r w:rsidR="004D0D6E" w:rsidRPr="0026557F">
        <w:rPr>
          <w:rFonts w:ascii="Arial" w:eastAsia="Calibri" w:hAnsi="Arial" w:cs="Arial"/>
          <w:bCs/>
          <w:i/>
          <w:szCs w:val="24"/>
        </w:rPr>
        <w:t>generen</w:t>
      </w:r>
      <w:r w:rsidR="003475A9" w:rsidRPr="0026557F">
        <w:rPr>
          <w:rFonts w:ascii="Arial" w:eastAsia="Calibri" w:hAnsi="Arial" w:cs="Arial"/>
          <w:bCs/>
          <w:i/>
          <w:szCs w:val="24"/>
        </w:rPr>
        <w:t xml:space="preserve"> ruido al exterior. Sin embargo, la deficiencia de la reglamentación, no es obstáculo para que la autoridad indique si es de giro normal o especial, incluso lo califica giro blanco, o es de aquellos que requieran una licencia de funcionamiento de otra entidad pública, por razón distinta.</w:t>
      </w:r>
    </w:p>
    <w:p w:rsidR="003475A9" w:rsidRPr="0026557F" w:rsidRDefault="003475A9" w:rsidP="0026557F">
      <w:pPr>
        <w:ind w:left="426" w:right="474" w:firstLine="426"/>
        <w:jc w:val="both"/>
        <w:rPr>
          <w:rFonts w:ascii="Arial" w:eastAsia="Calibri" w:hAnsi="Arial" w:cs="Arial"/>
          <w:bCs/>
          <w:i/>
          <w:szCs w:val="24"/>
        </w:rPr>
      </w:pPr>
      <w:r w:rsidRPr="0026557F">
        <w:rPr>
          <w:rFonts w:ascii="Arial" w:eastAsia="Calibri" w:hAnsi="Arial" w:cs="Arial"/>
          <w:bCs/>
          <w:i/>
          <w:szCs w:val="24"/>
        </w:rPr>
        <w:t xml:space="preserve">No escapa a esta juzgadora que la empresa actora en este juicio, </w:t>
      </w:r>
      <w:r w:rsidR="004D0D6E" w:rsidRPr="0026557F">
        <w:rPr>
          <w:rFonts w:ascii="Arial" w:eastAsia="Calibri" w:hAnsi="Arial" w:cs="Arial"/>
          <w:bCs/>
          <w:i/>
          <w:szCs w:val="24"/>
        </w:rPr>
        <w:t>realiza</w:t>
      </w:r>
      <w:r w:rsidRPr="0026557F">
        <w:rPr>
          <w:rFonts w:ascii="Arial" w:eastAsia="Calibri" w:hAnsi="Arial" w:cs="Arial"/>
          <w:bCs/>
          <w:i/>
          <w:szCs w:val="24"/>
        </w:rPr>
        <w:t xml:space="preserve"> actividades financieras, aún cuando lo niegue, incluso su denominación social está precedida de la frase FINANCIERA POPULAR. Y que el Ayuntamiento no </w:t>
      </w:r>
      <w:r w:rsidR="004D0D6E" w:rsidRPr="0026557F">
        <w:rPr>
          <w:rFonts w:ascii="Arial" w:eastAsia="Calibri" w:hAnsi="Arial" w:cs="Arial"/>
          <w:bCs/>
          <w:i/>
          <w:szCs w:val="24"/>
        </w:rPr>
        <w:t>tiene</w:t>
      </w:r>
      <w:r w:rsidRPr="0026557F">
        <w:rPr>
          <w:rFonts w:ascii="Arial" w:eastAsia="Calibri" w:hAnsi="Arial" w:cs="Arial"/>
          <w:bCs/>
          <w:i/>
          <w:szCs w:val="24"/>
        </w:rPr>
        <w:t xml:space="preserve"> facultades </w:t>
      </w:r>
      <w:r w:rsidR="004D0D6E" w:rsidRPr="0026557F">
        <w:rPr>
          <w:rFonts w:ascii="Arial" w:eastAsia="Calibri" w:hAnsi="Arial" w:cs="Arial"/>
          <w:bCs/>
          <w:i/>
          <w:szCs w:val="24"/>
        </w:rPr>
        <w:t>para</w:t>
      </w:r>
      <w:r w:rsidRPr="0026557F">
        <w:rPr>
          <w:rFonts w:ascii="Arial" w:eastAsia="Calibri" w:hAnsi="Arial" w:cs="Arial"/>
          <w:bCs/>
          <w:i/>
          <w:szCs w:val="24"/>
        </w:rPr>
        <w:t xml:space="preserve"> autorizar ninguna actividad financiera de </w:t>
      </w:r>
      <w:r w:rsidR="004D0D6E" w:rsidRPr="0026557F">
        <w:rPr>
          <w:rFonts w:ascii="Arial" w:eastAsia="Calibri" w:hAnsi="Arial" w:cs="Arial"/>
          <w:bCs/>
          <w:i/>
          <w:szCs w:val="24"/>
        </w:rPr>
        <w:t>ahorro y crediticia, porque</w:t>
      </w:r>
      <w:r w:rsidRPr="0026557F">
        <w:rPr>
          <w:rFonts w:ascii="Arial" w:eastAsia="Calibri" w:hAnsi="Arial" w:cs="Arial"/>
          <w:bCs/>
          <w:i/>
          <w:szCs w:val="24"/>
        </w:rPr>
        <w:t xml:space="preserve"> usurparía las funciones de la Secretaría de Hacienda y </w:t>
      </w:r>
      <w:r w:rsidR="004D0D6E" w:rsidRPr="0026557F">
        <w:rPr>
          <w:rFonts w:ascii="Arial" w:eastAsia="Calibri" w:hAnsi="Arial" w:cs="Arial"/>
          <w:bCs/>
          <w:i/>
          <w:szCs w:val="24"/>
        </w:rPr>
        <w:t>Crédito</w:t>
      </w:r>
      <w:r w:rsidRPr="0026557F">
        <w:rPr>
          <w:rFonts w:ascii="Arial" w:eastAsia="Calibri" w:hAnsi="Arial" w:cs="Arial"/>
          <w:bCs/>
          <w:i/>
          <w:szCs w:val="24"/>
        </w:rPr>
        <w:t xml:space="preserve"> Público del Gobierno Federal que otorga a través </w:t>
      </w:r>
      <w:r w:rsidR="004D0D6E" w:rsidRPr="0026557F">
        <w:rPr>
          <w:rFonts w:ascii="Arial" w:eastAsia="Calibri" w:hAnsi="Arial" w:cs="Arial"/>
          <w:bCs/>
          <w:i/>
          <w:szCs w:val="24"/>
        </w:rPr>
        <w:t>de la Comisión</w:t>
      </w:r>
      <w:r w:rsidRPr="0026557F">
        <w:rPr>
          <w:rFonts w:ascii="Arial" w:eastAsia="Calibri" w:hAnsi="Arial" w:cs="Arial"/>
          <w:bCs/>
          <w:i/>
          <w:szCs w:val="24"/>
        </w:rPr>
        <w:t xml:space="preserve"> Nacional, </w:t>
      </w:r>
      <w:r w:rsidR="004D0D6E" w:rsidRPr="0026557F">
        <w:rPr>
          <w:rFonts w:ascii="Arial" w:eastAsia="Calibri" w:hAnsi="Arial" w:cs="Arial"/>
          <w:bCs/>
          <w:i/>
          <w:szCs w:val="24"/>
        </w:rPr>
        <w:t>Bancaria</w:t>
      </w:r>
      <w:r w:rsidRPr="0026557F">
        <w:rPr>
          <w:rFonts w:ascii="Arial" w:eastAsia="Calibri" w:hAnsi="Arial" w:cs="Arial"/>
          <w:bCs/>
          <w:i/>
          <w:szCs w:val="24"/>
        </w:rPr>
        <w:t xml:space="preserve"> y de Valores</w:t>
      </w:r>
      <w:r w:rsidR="001D68B6" w:rsidRPr="0026557F">
        <w:rPr>
          <w:rFonts w:ascii="Arial" w:eastAsia="Calibri" w:hAnsi="Arial" w:cs="Arial"/>
          <w:bCs/>
          <w:i/>
          <w:szCs w:val="24"/>
        </w:rPr>
        <w:t xml:space="preserve">, para este tipo de actividades. Mismas que son </w:t>
      </w:r>
      <w:r w:rsidR="004D0D6E" w:rsidRPr="0026557F">
        <w:rPr>
          <w:rFonts w:ascii="Arial" w:eastAsia="Calibri" w:hAnsi="Arial" w:cs="Arial"/>
          <w:bCs/>
          <w:i/>
          <w:szCs w:val="24"/>
        </w:rPr>
        <w:t>reguladas</w:t>
      </w:r>
      <w:r w:rsidR="001D68B6" w:rsidRPr="0026557F">
        <w:rPr>
          <w:rFonts w:ascii="Arial" w:eastAsia="Calibri" w:hAnsi="Arial" w:cs="Arial"/>
          <w:bCs/>
          <w:i/>
          <w:szCs w:val="24"/>
        </w:rPr>
        <w:t xml:space="preserve"> por la Ley de Ahorro y </w:t>
      </w:r>
      <w:r w:rsidR="004D0D6E" w:rsidRPr="0026557F">
        <w:rPr>
          <w:rFonts w:ascii="Arial" w:eastAsia="Calibri" w:hAnsi="Arial" w:cs="Arial"/>
          <w:bCs/>
          <w:i/>
          <w:szCs w:val="24"/>
        </w:rPr>
        <w:t>Crédito Popular y las disposiciones</w:t>
      </w:r>
      <w:r w:rsidR="001D68B6" w:rsidRPr="0026557F">
        <w:rPr>
          <w:rFonts w:ascii="Arial" w:eastAsia="Calibri" w:hAnsi="Arial" w:cs="Arial"/>
          <w:bCs/>
          <w:i/>
          <w:szCs w:val="24"/>
        </w:rPr>
        <w:t xml:space="preserve"> de carácter general aplicables a las Entidades de Ahorro y Crédito Popular. Así, el Ayuntamiento en sus funciones de vigilante del cumplimiento de las leyes, federal, estatales y municipales, dentro de su territorio, debe requirir (sic) para la inscripción en el padrón fiscal municipal, los </w:t>
      </w:r>
      <w:r w:rsidR="004D0D6E" w:rsidRPr="0026557F">
        <w:rPr>
          <w:rFonts w:ascii="Arial" w:eastAsia="Calibri" w:hAnsi="Arial" w:cs="Arial"/>
          <w:bCs/>
          <w:i/>
          <w:szCs w:val="24"/>
        </w:rPr>
        <w:t>documentos</w:t>
      </w:r>
      <w:r w:rsidR="001D68B6" w:rsidRPr="0026557F">
        <w:rPr>
          <w:rFonts w:ascii="Arial" w:eastAsia="Calibri" w:hAnsi="Arial" w:cs="Arial"/>
          <w:bCs/>
          <w:i/>
          <w:szCs w:val="24"/>
        </w:rPr>
        <w:t xml:space="preserve"> </w:t>
      </w:r>
      <w:r w:rsidR="004D0D6E" w:rsidRPr="0026557F">
        <w:rPr>
          <w:rFonts w:ascii="Arial" w:eastAsia="Calibri" w:hAnsi="Arial" w:cs="Arial"/>
          <w:bCs/>
          <w:i/>
          <w:szCs w:val="24"/>
        </w:rPr>
        <w:t>necesarios</w:t>
      </w:r>
      <w:r w:rsidR="001D68B6" w:rsidRPr="0026557F">
        <w:rPr>
          <w:rFonts w:ascii="Arial" w:eastAsia="Calibri" w:hAnsi="Arial" w:cs="Arial"/>
          <w:bCs/>
          <w:i/>
          <w:szCs w:val="24"/>
        </w:rPr>
        <w:t xml:space="preserve"> para calificar el giro, y no asuma funciones del gobierno federal para darle </w:t>
      </w:r>
      <w:r w:rsidR="00962C46" w:rsidRPr="0026557F">
        <w:rPr>
          <w:rFonts w:ascii="Arial" w:eastAsia="Calibri" w:hAnsi="Arial" w:cs="Arial"/>
          <w:bCs/>
          <w:i/>
          <w:szCs w:val="24"/>
        </w:rPr>
        <w:t xml:space="preserve">una licencia de funcionamiento a una empresa que </w:t>
      </w:r>
      <w:r w:rsidR="004D0D6E" w:rsidRPr="0026557F">
        <w:rPr>
          <w:rFonts w:ascii="Arial" w:eastAsia="Calibri" w:hAnsi="Arial" w:cs="Arial"/>
          <w:bCs/>
          <w:i/>
          <w:szCs w:val="24"/>
        </w:rPr>
        <w:t>realiza</w:t>
      </w:r>
      <w:r w:rsidR="00962C46" w:rsidRPr="0026557F">
        <w:rPr>
          <w:rFonts w:ascii="Arial" w:eastAsia="Calibri" w:hAnsi="Arial" w:cs="Arial"/>
          <w:bCs/>
          <w:i/>
          <w:szCs w:val="24"/>
        </w:rPr>
        <w:t xml:space="preserve"> </w:t>
      </w:r>
      <w:r w:rsidR="004D0D6E" w:rsidRPr="0026557F">
        <w:rPr>
          <w:rFonts w:ascii="Arial" w:eastAsia="Calibri" w:hAnsi="Arial" w:cs="Arial"/>
          <w:bCs/>
          <w:i/>
          <w:szCs w:val="24"/>
        </w:rPr>
        <w:t>actividades</w:t>
      </w:r>
      <w:r w:rsidR="00962C46" w:rsidRPr="0026557F">
        <w:rPr>
          <w:rFonts w:ascii="Arial" w:eastAsia="Calibri" w:hAnsi="Arial" w:cs="Arial"/>
          <w:bCs/>
          <w:i/>
          <w:szCs w:val="24"/>
        </w:rPr>
        <w:t xml:space="preserve"> </w:t>
      </w:r>
      <w:r w:rsidR="004D0D6E" w:rsidRPr="0026557F">
        <w:rPr>
          <w:rFonts w:ascii="Arial" w:eastAsia="Calibri" w:hAnsi="Arial" w:cs="Arial"/>
          <w:bCs/>
          <w:i/>
          <w:szCs w:val="24"/>
        </w:rPr>
        <w:t>financieras</w:t>
      </w:r>
      <w:r w:rsidR="00962C46" w:rsidRPr="0026557F">
        <w:rPr>
          <w:rFonts w:ascii="Arial" w:eastAsia="Calibri" w:hAnsi="Arial" w:cs="Arial"/>
          <w:bCs/>
          <w:i/>
          <w:szCs w:val="24"/>
        </w:rPr>
        <w:t>.</w:t>
      </w:r>
    </w:p>
    <w:p w:rsidR="00962C46" w:rsidRPr="0026557F" w:rsidRDefault="00962C46" w:rsidP="0026557F">
      <w:pPr>
        <w:ind w:left="426" w:right="474" w:firstLine="426"/>
        <w:jc w:val="both"/>
        <w:rPr>
          <w:rFonts w:ascii="Arial" w:eastAsia="Calibri" w:hAnsi="Arial" w:cs="Arial"/>
          <w:bCs/>
          <w:i/>
          <w:szCs w:val="24"/>
        </w:rPr>
      </w:pPr>
      <w:r w:rsidRPr="0026557F">
        <w:rPr>
          <w:rFonts w:ascii="Arial" w:eastAsia="Calibri" w:hAnsi="Arial" w:cs="Arial"/>
          <w:bCs/>
          <w:i/>
          <w:szCs w:val="24"/>
        </w:rPr>
        <w:t xml:space="preserve">En estas </w:t>
      </w:r>
      <w:r w:rsidR="004D0D6E" w:rsidRPr="0026557F">
        <w:rPr>
          <w:rFonts w:ascii="Arial" w:eastAsia="Calibri" w:hAnsi="Arial" w:cs="Arial"/>
          <w:bCs/>
          <w:i/>
          <w:szCs w:val="24"/>
        </w:rPr>
        <w:t>condiciones</w:t>
      </w:r>
      <w:r w:rsidRPr="0026557F">
        <w:rPr>
          <w:rFonts w:ascii="Arial" w:eastAsia="Calibri" w:hAnsi="Arial" w:cs="Arial"/>
          <w:bCs/>
          <w:i/>
          <w:szCs w:val="24"/>
        </w:rPr>
        <w:t xml:space="preserve"> le asiste razón a la empresa actora de la inexacta fundamentación y motivación del acto </w:t>
      </w:r>
      <w:r w:rsidR="004D0D6E" w:rsidRPr="0026557F">
        <w:rPr>
          <w:rFonts w:ascii="Arial" w:eastAsia="Calibri" w:hAnsi="Arial" w:cs="Arial"/>
          <w:bCs/>
          <w:i/>
          <w:szCs w:val="24"/>
        </w:rPr>
        <w:t>impugnado</w:t>
      </w:r>
      <w:r w:rsidRPr="0026557F">
        <w:rPr>
          <w:rFonts w:ascii="Arial" w:eastAsia="Calibri" w:hAnsi="Arial" w:cs="Arial"/>
          <w:bCs/>
          <w:i/>
          <w:szCs w:val="24"/>
        </w:rPr>
        <w:t xml:space="preserve">, pues deja en total estado de inseguridad, sobre el concepto de los derechos que se le reclaman, que </w:t>
      </w:r>
      <w:r w:rsidR="004D0D6E" w:rsidRPr="0026557F">
        <w:rPr>
          <w:rFonts w:ascii="Arial" w:eastAsia="Calibri" w:hAnsi="Arial" w:cs="Arial"/>
          <w:bCs/>
          <w:i/>
          <w:szCs w:val="24"/>
        </w:rPr>
        <w:t>afectan</w:t>
      </w:r>
      <w:r w:rsidRPr="0026557F">
        <w:rPr>
          <w:rFonts w:ascii="Arial" w:eastAsia="Calibri" w:hAnsi="Arial" w:cs="Arial"/>
          <w:bCs/>
          <w:i/>
          <w:szCs w:val="24"/>
        </w:rPr>
        <w:t xml:space="preserve"> la </w:t>
      </w:r>
      <w:r w:rsidR="004D0D6E" w:rsidRPr="0026557F">
        <w:rPr>
          <w:rFonts w:ascii="Arial" w:eastAsia="Calibri" w:hAnsi="Arial" w:cs="Arial"/>
          <w:bCs/>
          <w:i/>
          <w:szCs w:val="24"/>
        </w:rPr>
        <w:t>defensa</w:t>
      </w:r>
      <w:r w:rsidRPr="0026557F">
        <w:rPr>
          <w:rFonts w:ascii="Arial" w:eastAsia="Calibri" w:hAnsi="Arial" w:cs="Arial"/>
          <w:bCs/>
          <w:i/>
          <w:szCs w:val="24"/>
        </w:rPr>
        <w:t xml:space="preserve"> del particular trascendiendo a la resolución impugnada al no </w:t>
      </w:r>
      <w:r w:rsidR="004D0D6E" w:rsidRPr="0026557F">
        <w:rPr>
          <w:rFonts w:ascii="Arial" w:eastAsia="Calibri" w:hAnsi="Arial" w:cs="Arial"/>
          <w:bCs/>
          <w:i/>
          <w:szCs w:val="24"/>
        </w:rPr>
        <w:t>tener claro</w:t>
      </w:r>
      <w:r w:rsidRPr="0026557F">
        <w:rPr>
          <w:rFonts w:ascii="Arial" w:eastAsia="Calibri" w:hAnsi="Arial" w:cs="Arial"/>
          <w:bCs/>
          <w:i/>
          <w:szCs w:val="24"/>
        </w:rPr>
        <w:t xml:space="preserve"> el </w:t>
      </w:r>
      <w:r w:rsidR="004D0D6E" w:rsidRPr="0026557F">
        <w:rPr>
          <w:rFonts w:ascii="Arial" w:eastAsia="Calibri" w:hAnsi="Arial" w:cs="Arial"/>
          <w:bCs/>
          <w:i/>
          <w:szCs w:val="24"/>
        </w:rPr>
        <w:t>concepto del</w:t>
      </w:r>
      <w:r w:rsidRPr="0026557F">
        <w:rPr>
          <w:rFonts w:ascii="Arial" w:eastAsia="Calibri" w:hAnsi="Arial" w:cs="Arial"/>
          <w:bCs/>
          <w:i/>
          <w:szCs w:val="24"/>
        </w:rPr>
        <w:t xml:space="preserve"> cobro que se le realiza. Lo que no impide corregir y </w:t>
      </w:r>
      <w:r w:rsidR="004D0D6E" w:rsidRPr="0026557F">
        <w:rPr>
          <w:rFonts w:ascii="Arial" w:eastAsia="Calibri" w:hAnsi="Arial" w:cs="Arial"/>
          <w:bCs/>
          <w:i/>
          <w:szCs w:val="24"/>
        </w:rPr>
        <w:t>realizar</w:t>
      </w:r>
      <w:r w:rsidRPr="0026557F">
        <w:rPr>
          <w:rFonts w:ascii="Arial" w:eastAsia="Calibri" w:hAnsi="Arial" w:cs="Arial"/>
          <w:bCs/>
          <w:i/>
          <w:szCs w:val="24"/>
        </w:rPr>
        <w:t xml:space="preserve"> el cobro correcto nuevamente para el fiel </w:t>
      </w:r>
      <w:r w:rsidR="004D0D6E" w:rsidRPr="0026557F">
        <w:rPr>
          <w:rFonts w:ascii="Arial" w:eastAsia="Calibri" w:hAnsi="Arial" w:cs="Arial"/>
          <w:bCs/>
          <w:i/>
          <w:szCs w:val="24"/>
        </w:rPr>
        <w:t>cumplimiento</w:t>
      </w:r>
      <w:r w:rsidRPr="0026557F">
        <w:rPr>
          <w:rFonts w:ascii="Arial" w:eastAsia="Calibri" w:hAnsi="Arial" w:cs="Arial"/>
          <w:bCs/>
          <w:i/>
          <w:szCs w:val="24"/>
        </w:rPr>
        <w:t xml:space="preserve"> de la ley. So pena de una responsabilidad administrativa para tratarse de un asunto de interés público</w:t>
      </w:r>
      <w:r w:rsidR="004D0D6E" w:rsidRPr="0026557F">
        <w:rPr>
          <w:rFonts w:ascii="Arial" w:eastAsia="Calibri" w:hAnsi="Arial" w:cs="Arial"/>
          <w:bCs/>
          <w:i/>
          <w:szCs w:val="24"/>
        </w:rPr>
        <w:t xml:space="preserve"> </w:t>
      </w:r>
      <w:r w:rsidRPr="0026557F">
        <w:rPr>
          <w:rFonts w:ascii="Arial" w:eastAsia="Calibri" w:hAnsi="Arial" w:cs="Arial"/>
          <w:bCs/>
          <w:i/>
          <w:szCs w:val="24"/>
        </w:rPr>
        <w:t xml:space="preserve">la recaudación al fisco </w:t>
      </w:r>
      <w:r w:rsidR="004D0D6E" w:rsidRPr="0026557F">
        <w:rPr>
          <w:rFonts w:ascii="Arial" w:eastAsia="Calibri" w:hAnsi="Arial" w:cs="Arial"/>
          <w:bCs/>
          <w:i/>
          <w:szCs w:val="24"/>
        </w:rPr>
        <w:t>municipal</w:t>
      </w:r>
      <w:r w:rsidRPr="0026557F">
        <w:rPr>
          <w:rFonts w:ascii="Arial" w:eastAsia="Calibri" w:hAnsi="Arial" w:cs="Arial"/>
          <w:bCs/>
          <w:i/>
          <w:szCs w:val="24"/>
        </w:rPr>
        <w:t>, pero siempre y cuando esté apegada a derecho.</w:t>
      </w:r>
    </w:p>
    <w:p w:rsidR="00962C46" w:rsidRPr="0026557F" w:rsidRDefault="00962C46" w:rsidP="0026557F">
      <w:pPr>
        <w:ind w:left="426" w:right="474" w:firstLine="426"/>
        <w:jc w:val="both"/>
        <w:rPr>
          <w:rFonts w:ascii="Arial" w:eastAsia="Calibri" w:hAnsi="Arial" w:cs="Arial"/>
          <w:bCs/>
          <w:sz w:val="24"/>
          <w:szCs w:val="26"/>
        </w:rPr>
      </w:pPr>
      <w:r w:rsidRPr="0026557F">
        <w:rPr>
          <w:rFonts w:ascii="Arial" w:eastAsia="Calibri" w:hAnsi="Arial" w:cs="Arial"/>
          <w:bCs/>
          <w:i/>
          <w:szCs w:val="24"/>
        </w:rPr>
        <w:t xml:space="preserve">Por las anteriores razones, y con fundamento en el </w:t>
      </w:r>
      <w:r w:rsidR="004D0D6E" w:rsidRPr="0026557F">
        <w:rPr>
          <w:rFonts w:ascii="Arial" w:eastAsia="Calibri" w:hAnsi="Arial" w:cs="Arial"/>
          <w:bCs/>
          <w:i/>
          <w:szCs w:val="24"/>
        </w:rPr>
        <w:t>artículo</w:t>
      </w:r>
      <w:r w:rsidRPr="0026557F">
        <w:rPr>
          <w:rFonts w:ascii="Arial" w:eastAsia="Calibri" w:hAnsi="Arial" w:cs="Arial"/>
          <w:bCs/>
          <w:i/>
          <w:szCs w:val="24"/>
        </w:rPr>
        <w:t xml:space="preserve"> 17 </w:t>
      </w:r>
      <w:r w:rsidR="004D0D6E" w:rsidRPr="0026557F">
        <w:rPr>
          <w:rFonts w:ascii="Arial" w:eastAsia="Calibri" w:hAnsi="Arial" w:cs="Arial"/>
          <w:bCs/>
          <w:i/>
          <w:szCs w:val="24"/>
        </w:rPr>
        <w:t>fracción</w:t>
      </w:r>
      <w:r w:rsidRPr="0026557F">
        <w:rPr>
          <w:rFonts w:ascii="Arial" w:eastAsia="Calibri" w:hAnsi="Arial" w:cs="Arial"/>
          <w:bCs/>
          <w:i/>
          <w:szCs w:val="24"/>
        </w:rPr>
        <w:t xml:space="preserve"> V en </w:t>
      </w:r>
      <w:r w:rsidR="004D0D6E" w:rsidRPr="0026557F">
        <w:rPr>
          <w:rFonts w:ascii="Arial" w:eastAsia="Calibri" w:hAnsi="Arial" w:cs="Arial"/>
          <w:bCs/>
          <w:i/>
          <w:szCs w:val="24"/>
        </w:rPr>
        <w:t>relación</w:t>
      </w:r>
      <w:r w:rsidRPr="0026557F">
        <w:rPr>
          <w:rFonts w:ascii="Arial" w:eastAsia="Calibri" w:hAnsi="Arial" w:cs="Arial"/>
          <w:bCs/>
          <w:i/>
          <w:szCs w:val="24"/>
        </w:rPr>
        <w:t xml:space="preserve"> con el 208 </w:t>
      </w:r>
      <w:r w:rsidR="004D0D6E" w:rsidRPr="0026557F">
        <w:rPr>
          <w:rFonts w:ascii="Arial" w:eastAsia="Calibri" w:hAnsi="Arial" w:cs="Arial"/>
          <w:bCs/>
          <w:i/>
          <w:szCs w:val="24"/>
        </w:rPr>
        <w:t>fracción</w:t>
      </w:r>
      <w:r w:rsidRPr="0026557F">
        <w:rPr>
          <w:rFonts w:ascii="Arial" w:eastAsia="Calibri" w:hAnsi="Arial" w:cs="Arial"/>
          <w:bCs/>
          <w:i/>
          <w:szCs w:val="24"/>
        </w:rPr>
        <w:t xml:space="preserve"> II de la Ley de </w:t>
      </w:r>
      <w:r w:rsidR="004D0D6E" w:rsidRPr="0026557F">
        <w:rPr>
          <w:rFonts w:ascii="Arial" w:eastAsia="Calibri" w:hAnsi="Arial" w:cs="Arial"/>
          <w:bCs/>
          <w:i/>
          <w:szCs w:val="24"/>
        </w:rPr>
        <w:t>Procedimiento</w:t>
      </w:r>
      <w:r w:rsidRPr="0026557F">
        <w:rPr>
          <w:rFonts w:ascii="Arial" w:eastAsia="Calibri" w:hAnsi="Arial" w:cs="Arial"/>
          <w:bCs/>
          <w:i/>
          <w:szCs w:val="24"/>
        </w:rPr>
        <w:t xml:space="preserve"> y Justicia Administrativa para el Estado; se decreta </w:t>
      </w:r>
      <w:r w:rsidRPr="0026557F">
        <w:rPr>
          <w:rFonts w:ascii="Arial" w:eastAsia="Calibri" w:hAnsi="Arial" w:cs="Arial"/>
          <w:b/>
          <w:bCs/>
          <w:i/>
          <w:szCs w:val="24"/>
        </w:rPr>
        <w:t>LA NULIDAD LISA Y LLANA</w:t>
      </w:r>
      <w:r w:rsidRPr="0026557F">
        <w:rPr>
          <w:rFonts w:ascii="Arial" w:eastAsia="Calibri" w:hAnsi="Arial" w:cs="Arial"/>
          <w:bCs/>
          <w:i/>
          <w:szCs w:val="24"/>
        </w:rPr>
        <w:t xml:space="preserve"> del oficio n</w:t>
      </w:r>
      <w:r w:rsidR="004D0D6E" w:rsidRPr="0026557F">
        <w:rPr>
          <w:rFonts w:ascii="Arial" w:eastAsia="Calibri" w:hAnsi="Arial" w:cs="Arial"/>
          <w:bCs/>
          <w:i/>
          <w:szCs w:val="24"/>
        </w:rPr>
        <w:t xml:space="preserve">úmero </w:t>
      </w:r>
      <w:r w:rsidR="004A5330">
        <w:rPr>
          <w:rFonts w:ascii="Arial" w:hAnsi="Arial" w:cs="Arial"/>
          <w:b/>
          <w:sz w:val="26"/>
          <w:szCs w:val="26"/>
        </w:rPr>
        <w:t>**********</w:t>
      </w:r>
      <w:r w:rsidR="004D0D6E" w:rsidRPr="0026557F">
        <w:rPr>
          <w:rFonts w:ascii="Arial" w:eastAsia="Calibri" w:hAnsi="Arial" w:cs="Arial"/>
          <w:bCs/>
          <w:i/>
          <w:szCs w:val="24"/>
        </w:rPr>
        <w:t xml:space="preserve"> d</w:t>
      </w:r>
      <w:r w:rsidRPr="0026557F">
        <w:rPr>
          <w:rFonts w:ascii="Arial" w:eastAsia="Calibri" w:hAnsi="Arial" w:cs="Arial"/>
          <w:bCs/>
          <w:i/>
          <w:szCs w:val="24"/>
        </w:rPr>
        <w:t>e</w:t>
      </w:r>
      <w:r w:rsidR="004D0D6E" w:rsidRPr="0026557F">
        <w:rPr>
          <w:rFonts w:ascii="Arial" w:eastAsia="Calibri" w:hAnsi="Arial" w:cs="Arial"/>
          <w:bCs/>
          <w:i/>
          <w:szCs w:val="24"/>
        </w:rPr>
        <w:t xml:space="preserve"> </w:t>
      </w:r>
      <w:r w:rsidRPr="0026557F">
        <w:rPr>
          <w:rFonts w:ascii="Arial" w:eastAsia="Calibri" w:hAnsi="Arial" w:cs="Arial"/>
          <w:bCs/>
          <w:i/>
          <w:szCs w:val="24"/>
        </w:rPr>
        <w:t xml:space="preserve">fecha 11 once de septiembre de 2017 dos mil diecisiete, emitida por la </w:t>
      </w:r>
      <w:r w:rsidR="004D0D6E" w:rsidRPr="0026557F">
        <w:rPr>
          <w:rFonts w:ascii="Arial" w:eastAsia="Calibri" w:hAnsi="Arial" w:cs="Arial"/>
          <w:bCs/>
          <w:i/>
          <w:szCs w:val="24"/>
        </w:rPr>
        <w:t>ciudadana</w:t>
      </w:r>
      <w:r w:rsidRPr="0026557F">
        <w:rPr>
          <w:rFonts w:ascii="Arial" w:eastAsia="Calibri" w:hAnsi="Arial" w:cs="Arial"/>
          <w:bCs/>
          <w:i/>
          <w:szCs w:val="24"/>
        </w:rPr>
        <w:t xml:space="preserve"> JEFA DE LA UNIDAD DE RECAUDACIÓN  de esta municipalidad, por el que le (sic) multa con recargos y gastos de </w:t>
      </w:r>
      <w:r w:rsidR="004D0D6E" w:rsidRPr="0026557F">
        <w:rPr>
          <w:rFonts w:ascii="Arial" w:eastAsia="Calibri" w:hAnsi="Arial" w:cs="Arial"/>
          <w:bCs/>
          <w:i/>
          <w:szCs w:val="24"/>
        </w:rPr>
        <w:t>ejecución</w:t>
      </w:r>
      <w:r w:rsidRPr="0026557F">
        <w:rPr>
          <w:rFonts w:ascii="Arial" w:eastAsia="Calibri" w:hAnsi="Arial" w:cs="Arial"/>
          <w:bCs/>
          <w:i/>
          <w:szCs w:val="24"/>
        </w:rPr>
        <w:t xml:space="preserve"> la cantidad de $</w:t>
      </w:r>
      <w:r w:rsidR="004A5330">
        <w:rPr>
          <w:rFonts w:ascii="Arial" w:hAnsi="Arial" w:cs="Arial"/>
          <w:b/>
          <w:sz w:val="26"/>
          <w:szCs w:val="26"/>
        </w:rPr>
        <w:t>**********</w:t>
      </w:r>
      <w:r w:rsidR="004A5330" w:rsidRPr="0026557F">
        <w:rPr>
          <w:rFonts w:ascii="Arial" w:eastAsia="Calibri" w:hAnsi="Arial" w:cs="Arial"/>
          <w:bCs/>
          <w:i/>
          <w:szCs w:val="24"/>
        </w:rPr>
        <w:t xml:space="preserve"> </w:t>
      </w:r>
      <w:r w:rsidR="004A5330">
        <w:rPr>
          <w:rFonts w:ascii="Arial" w:eastAsia="Calibri" w:hAnsi="Arial" w:cs="Arial"/>
          <w:bCs/>
          <w:i/>
          <w:szCs w:val="24"/>
        </w:rPr>
        <w:t xml:space="preserve"> </w:t>
      </w:r>
      <w:r w:rsidRPr="0026557F">
        <w:rPr>
          <w:rFonts w:ascii="Arial" w:eastAsia="Calibri" w:hAnsi="Arial" w:cs="Arial"/>
          <w:bCs/>
          <w:i/>
          <w:szCs w:val="24"/>
        </w:rPr>
        <w:t>(</w:t>
      </w:r>
      <w:r w:rsidR="004A5330">
        <w:rPr>
          <w:rFonts w:ascii="Arial" w:hAnsi="Arial" w:cs="Arial"/>
          <w:b/>
          <w:sz w:val="26"/>
          <w:szCs w:val="26"/>
        </w:rPr>
        <w:t>**********</w:t>
      </w:r>
      <w:r w:rsidRPr="0026557F">
        <w:rPr>
          <w:rFonts w:ascii="Arial" w:eastAsia="Calibri" w:hAnsi="Arial" w:cs="Arial"/>
          <w:bCs/>
          <w:i/>
          <w:szCs w:val="24"/>
        </w:rPr>
        <w:t xml:space="preserve">, MONEDA NACIONAL), </w:t>
      </w:r>
      <w:r w:rsidR="00CB4078" w:rsidRPr="0026557F">
        <w:rPr>
          <w:rFonts w:ascii="Arial" w:eastAsia="Calibri" w:hAnsi="Arial" w:cs="Arial"/>
          <w:bCs/>
          <w:i/>
          <w:szCs w:val="24"/>
        </w:rPr>
        <w:t xml:space="preserve"> </w:t>
      </w:r>
      <w:r w:rsidR="004D0D6E" w:rsidRPr="0026557F">
        <w:rPr>
          <w:rFonts w:ascii="Arial" w:eastAsia="Calibri" w:hAnsi="Arial" w:cs="Arial"/>
          <w:bCs/>
          <w:i/>
          <w:szCs w:val="24"/>
        </w:rPr>
        <w:t>por concepto de la actualización de la licencia de funcionamiento 2016-2017”.</w:t>
      </w:r>
    </w:p>
    <w:p w:rsidR="004D0D6E" w:rsidRPr="00B4295F" w:rsidRDefault="004D0D6E" w:rsidP="00B4295F">
      <w:pPr>
        <w:spacing w:line="360" w:lineRule="auto"/>
        <w:jc w:val="both"/>
        <w:rPr>
          <w:rFonts w:ascii="Arial" w:eastAsia="Calibri" w:hAnsi="Arial" w:cs="Arial"/>
          <w:bCs/>
          <w:sz w:val="26"/>
          <w:szCs w:val="26"/>
        </w:rPr>
      </w:pPr>
      <w:r>
        <w:rPr>
          <w:rFonts w:ascii="Arial" w:hAnsi="Arial" w:cs="Arial"/>
          <w:sz w:val="26"/>
          <w:szCs w:val="26"/>
        </w:rPr>
        <w:t xml:space="preserve">      Por lo que</w:t>
      </w:r>
      <w:r w:rsidR="00F45D0A">
        <w:rPr>
          <w:rFonts w:ascii="Arial" w:hAnsi="Arial" w:cs="Arial"/>
          <w:sz w:val="26"/>
          <w:szCs w:val="26"/>
        </w:rPr>
        <w:t>,</w:t>
      </w:r>
      <w:r>
        <w:rPr>
          <w:rFonts w:ascii="Arial" w:eastAsia="Calibri" w:hAnsi="Arial" w:cs="Arial"/>
          <w:bCs/>
          <w:sz w:val="26"/>
          <w:szCs w:val="26"/>
        </w:rPr>
        <w:t xml:space="preserve"> </w:t>
      </w:r>
      <w:r>
        <w:rPr>
          <w:rFonts w:ascii="Arial" w:hAnsi="Arial" w:cs="Arial"/>
          <w:bCs/>
          <w:sz w:val="24"/>
          <w:szCs w:val="24"/>
          <w:lang w:val="es-MX"/>
        </w:rPr>
        <w:t>debe tomarse en cuenta que un verdadero agravio, de acuerdo a la técnica procesal debe contener la expresión de la parte del acto que le agravia</w:t>
      </w:r>
      <w:r w:rsidR="00B4295F">
        <w:rPr>
          <w:rFonts w:ascii="Arial" w:hAnsi="Arial" w:cs="Arial"/>
          <w:bCs/>
          <w:sz w:val="24"/>
          <w:szCs w:val="24"/>
          <w:lang w:val="es-MX"/>
        </w:rPr>
        <w:t>,</w:t>
      </w:r>
      <w:r>
        <w:rPr>
          <w:rFonts w:ascii="Arial" w:hAnsi="Arial" w:cs="Arial"/>
          <w:bCs/>
          <w:sz w:val="24"/>
          <w:szCs w:val="24"/>
          <w:lang w:val="es-MX"/>
        </w:rPr>
        <w:t xml:space="preserve"> pero además debe explicar en qué consiste la lesión sufrida con la actuación de la juzgadora, sin que sea posible establecer que de modo </w:t>
      </w:r>
      <w:r w:rsidR="000015F8">
        <w:rPr>
          <w:rFonts w:ascii="Arial" w:hAnsi="Arial" w:cs="Arial"/>
          <w:bCs/>
          <w:sz w:val="24"/>
          <w:szCs w:val="24"/>
          <w:lang w:val="es-MX"/>
        </w:rPr>
        <w:t>general la</w:t>
      </w:r>
      <w:r>
        <w:rPr>
          <w:rFonts w:ascii="Arial" w:hAnsi="Arial" w:cs="Arial"/>
          <w:bCs/>
          <w:sz w:val="24"/>
          <w:szCs w:val="24"/>
          <w:lang w:val="es-MX"/>
        </w:rPr>
        <w:t xml:space="preserve"> resolución le agravia, siendo necesario </w:t>
      </w:r>
      <w:r w:rsidR="00F45D0A">
        <w:rPr>
          <w:rFonts w:ascii="Arial" w:hAnsi="Arial" w:cs="Arial"/>
          <w:bCs/>
          <w:sz w:val="24"/>
          <w:szCs w:val="24"/>
          <w:lang w:val="es-MX"/>
        </w:rPr>
        <w:t>señalar</w:t>
      </w:r>
      <w:r w:rsidR="000015F8">
        <w:rPr>
          <w:rFonts w:ascii="Arial" w:hAnsi="Arial" w:cs="Arial"/>
          <w:bCs/>
          <w:sz w:val="24"/>
          <w:szCs w:val="24"/>
          <w:lang w:val="es-MX"/>
        </w:rPr>
        <w:t xml:space="preserve"> </w:t>
      </w:r>
      <w:r>
        <w:rPr>
          <w:rFonts w:ascii="Arial" w:hAnsi="Arial" w:cs="Arial"/>
          <w:bCs/>
          <w:sz w:val="24"/>
          <w:szCs w:val="24"/>
          <w:lang w:val="es-MX"/>
        </w:rPr>
        <w:t>cómo y porqué le agravia</w:t>
      </w:r>
      <w:r w:rsidR="000015F8">
        <w:rPr>
          <w:rFonts w:ascii="Arial" w:hAnsi="Arial" w:cs="Arial"/>
          <w:bCs/>
          <w:sz w:val="24"/>
          <w:szCs w:val="24"/>
          <w:lang w:val="es-MX"/>
        </w:rPr>
        <w:t>,</w:t>
      </w:r>
      <w:r>
        <w:rPr>
          <w:rFonts w:ascii="Arial" w:hAnsi="Arial" w:cs="Arial"/>
          <w:bCs/>
          <w:sz w:val="24"/>
          <w:szCs w:val="24"/>
          <w:lang w:val="es-MX"/>
        </w:rPr>
        <w:t xml:space="preserve"> para que sea</w:t>
      </w:r>
      <w:r w:rsidR="00B4295F">
        <w:rPr>
          <w:rFonts w:ascii="Arial" w:hAnsi="Arial" w:cs="Arial"/>
          <w:bCs/>
          <w:sz w:val="24"/>
          <w:szCs w:val="24"/>
          <w:lang w:val="es-MX"/>
        </w:rPr>
        <w:t xml:space="preserve"> atendido su argumento; </w:t>
      </w:r>
      <w:r w:rsidR="000015F8">
        <w:rPr>
          <w:rFonts w:ascii="Arial" w:hAnsi="Arial" w:cs="Arial"/>
          <w:bCs/>
          <w:sz w:val="24"/>
          <w:szCs w:val="24"/>
          <w:lang w:val="es-MX"/>
        </w:rPr>
        <w:t xml:space="preserve">por tales motivos, </w:t>
      </w:r>
      <w:r w:rsidR="00F45D0A">
        <w:rPr>
          <w:rFonts w:ascii="Arial" w:hAnsi="Arial" w:cs="Arial"/>
          <w:bCs/>
          <w:sz w:val="24"/>
          <w:szCs w:val="24"/>
          <w:lang w:val="es-MX"/>
        </w:rPr>
        <w:t>también se impide abordar el análisis de las Jurisprudencias invocadas para sustentar el fondo de sus argumentos.</w:t>
      </w:r>
    </w:p>
    <w:p w:rsidR="006F2B61" w:rsidRPr="002B506D" w:rsidRDefault="006F2B61" w:rsidP="006F2B61">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lastRenderedPageBreak/>
        <w:t xml:space="preserve">Sirve de apoyo a lo anterior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6F2B61" w:rsidRPr="0026557F" w:rsidRDefault="006F2B61" w:rsidP="0026557F">
      <w:pPr>
        <w:ind w:left="1134" w:right="709"/>
        <w:jc w:val="both"/>
        <w:rPr>
          <w:rFonts w:ascii="Arial" w:eastAsia="Times New Roman" w:hAnsi="Arial"/>
          <w:i/>
          <w:color w:val="000000" w:themeColor="text1"/>
          <w:szCs w:val="24"/>
          <w:lang w:val="es-MX"/>
        </w:rPr>
      </w:pPr>
      <w:r w:rsidRPr="0026557F">
        <w:rPr>
          <w:rFonts w:ascii="Arial" w:eastAsia="Times New Roman" w:hAnsi="Arial"/>
          <w:i/>
          <w:color w:val="000000" w:themeColor="text1"/>
          <w:szCs w:val="24"/>
          <w:lang w:val="es-MX"/>
        </w:rPr>
        <w:t>“</w:t>
      </w:r>
      <w:r w:rsidRPr="0026557F">
        <w:rPr>
          <w:rFonts w:ascii="Arial" w:eastAsia="Times New Roman" w:hAnsi="Arial"/>
          <w:b/>
          <w:i/>
          <w:color w:val="000000" w:themeColor="text1"/>
          <w:szCs w:val="24"/>
          <w:lang w:val="es-MX"/>
        </w:rPr>
        <w:t xml:space="preserve">AGRAVIOS. DEBEN DE IMPUGNAR LA ILEGALIDAD DEL FALLO RECURRIDO. </w:t>
      </w:r>
      <w:r w:rsidRPr="0026557F">
        <w:rPr>
          <w:rFonts w:ascii="Arial" w:eastAsia="Times New Roman" w:hAnsi="Arial"/>
          <w:i/>
          <w:color w:val="000000" w:themeColor="text1"/>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4295F" w:rsidRDefault="00B4295F" w:rsidP="00B4295F">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Ante tal situación, se advierte que </w:t>
      </w:r>
      <w:r w:rsidR="00516B2B">
        <w:rPr>
          <w:rFonts w:ascii="Arial" w:eastAsia="Calibri" w:hAnsi="Arial" w:cs="Arial"/>
          <w:bCs/>
          <w:sz w:val="26"/>
          <w:szCs w:val="26"/>
        </w:rPr>
        <w:t>los recurrentes con sus manifestaciones no destruyen</w:t>
      </w:r>
      <w:r>
        <w:rPr>
          <w:rFonts w:ascii="Arial" w:eastAsia="Calibri" w:hAnsi="Arial" w:cs="Arial"/>
          <w:bCs/>
          <w:sz w:val="26"/>
          <w:szCs w:val="26"/>
        </w:rPr>
        <w:t xml:space="preserve"> esas consideraciones, lo que era necesario, para que esta Sala Superior analizara su agravio de fondo.  </w:t>
      </w:r>
    </w:p>
    <w:p w:rsidR="00B4295F" w:rsidRPr="0051369F" w:rsidRDefault="00516B2B" w:rsidP="00B4295F">
      <w:pPr>
        <w:spacing w:before="240" w:line="360" w:lineRule="auto"/>
        <w:ind w:firstLine="708"/>
        <w:jc w:val="both"/>
        <w:rPr>
          <w:rFonts w:ascii="Arial" w:hAnsi="Arial" w:cs="Arial"/>
          <w:bCs/>
          <w:color w:val="000000"/>
          <w:sz w:val="26"/>
          <w:szCs w:val="26"/>
        </w:rPr>
      </w:pPr>
      <w:r>
        <w:rPr>
          <w:rFonts w:ascii="Arial" w:eastAsia="Calibri" w:hAnsi="Arial" w:cs="Arial"/>
          <w:bCs/>
          <w:sz w:val="26"/>
          <w:szCs w:val="26"/>
        </w:rPr>
        <w:t>También t</w:t>
      </w:r>
      <w:r w:rsidR="00B4295F">
        <w:rPr>
          <w:rFonts w:ascii="Arial" w:eastAsia="Calibri" w:hAnsi="Arial" w:cs="Arial"/>
          <w:bCs/>
          <w:sz w:val="26"/>
          <w:szCs w:val="26"/>
        </w:rPr>
        <w:t xml:space="preserve">iene aplicación la Jurisprudencia XXI.3o./J/2, publicada en el Semanario Judicial de la Federación y su Gaceta, Tomo XIV, Septiembre de 2001, visible a página 1120, Instancia: Tribunales Colegidos de Circuito, Novena </w:t>
      </w:r>
      <w:r w:rsidR="00B4295F" w:rsidRPr="00550202">
        <w:rPr>
          <w:rFonts w:ascii="Arial" w:hAnsi="Arial" w:cs="Arial"/>
          <w:bCs/>
          <w:color w:val="000000"/>
          <w:sz w:val="26"/>
          <w:szCs w:val="26"/>
        </w:rPr>
        <w:t>Época, Materia Común, baj</w:t>
      </w:r>
      <w:r w:rsidR="00B4295F">
        <w:rPr>
          <w:rFonts w:ascii="Arial" w:hAnsi="Arial" w:cs="Arial"/>
          <w:bCs/>
          <w:color w:val="000000"/>
          <w:sz w:val="26"/>
          <w:szCs w:val="26"/>
        </w:rPr>
        <w:t xml:space="preserve">o el rubro y texto siguientes: </w:t>
      </w:r>
    </w:p>
    <w:p w:rsidR="00B4295F" w:rsidRDefault="00B4295F" w:rsidP="005B7DBB">
      <w:pPr>
        <w:tabs>
          <w:tab w:val="left" w:pos="2410"/>
        </w:tabs>
        <w:spacing w:after="0" w:line="240" w:lineRule="auto"/>
        <w:ind w:left="709" w:right="900"/>
        <w:jc w:val="both"/>
        <w:rPr>
          <w:rFonts w:ascii="Arial" w:eastAsia="Times New Roman" w:hAnsi="Arial" w:cs="Arial"/>
          <w:i/>
          <w:color w:val="000000"/>
          <w:lang w:val="es-MX" w:eastAsia="es-MX"/>
        </w:rPr>
      </w:pPr>
      <w:r w:rsidRPr="007F0B31">
        <w:rPr>
          <w:rFonts w:ascii="Arial" w:eastAsia="Times New Roman" w:hAnsi="Arial" w:cs="Arial"/>
          <w:b/>
          <w:bCs/>
          <w:i/>
          <w:color w:val="000000"/>
          <w:lang w:val="es-MX" w:eastAsia="es-MX"/>
        </w:rPr>
        <w:t xml:space="preserve">“AGRAVIOS EN LA RECLAMACIÓN. SON INOPERANTES CUANDO NO CONTROVIERTEN LAS CONSIDERACIONES QUE RIGEN EL AUTO COMBATIDO. </w:t>
      </w:r>
      <w:r w:rsidRPr="007F0B31">
        <w:rPr>
          <w:rFonts w:ascii="Arial" w:eastAsia="Times New Roman" w:hAnsi="Arial" w:cs="Arial"/>
          <w:i/>
          <w:color w:val="000000"/>
          <w:lang w:val="es-MX" w:eastAsia="es-MX"/>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F45D0A" w:rsidRPr="0051369F" w:rsidRDefault="00F45D0A" w:rsidP="00F45D0A">
      <w:pPr>
        <w:spacing w:before="240" w:line="360" w:lineRule="auto"/>
        <w:ind w:firstLine="708"/>
        <w:jc w:val="both"/>
        <w:rPr>
          <w:rFonts w:ascii="Arial" w:hAnsi="Arial" w:cs="Arial"/>
          <w:bCs/>
          <w:color w:val="000000"/>
          <w:sz w:val="26"/>
          <w:szCs w:val="26"/>
        </w:rPr>
      </w:pPr>
      <w:r>
        <w:rPr>
          <w:rFonts w:ascii="Arial" w:eastAsia="Calibri" w:hAnsi="Arial" w:cs="Arial"/>
          <w:bCs/>
          <w:sz w:val="26"/>
          <w:szCs w:val="26"/>
        </w:rPr>
        <w:t xml:space="preserve">Asimismo, para sustentar el impedimento de esta Sala de alzada  para abordar el análisis de las </w:t>
      </w:r>
      <w:r w:rsidR="00561EA5">
        <w:rPr>
          <w:rFonts w:ascii="Arial" w:eastAsia="Calibri" w:hAnsi="Arial" w:cs="Arial"/>
          <w:bCs/>
          <w:sz w:val="26"/>
          <w:szCs w:val="26"/>
        </w:rPr>
        <w:t>jurisprudencias</w:t>
      </w:r>
      <w:r>
        <w:rPr>
          <w:rFonts w:ascii="Arial" w:eastAsia="Calibri" w:hAnsi="Arial" w:cs="Arial"/>
          <w:bCs/>
          <w:sz w:val="26"/>
          <w:szCs w:val="26"/>
        </w:rPr>
        <w:t xml:space="preserve"> </w:t>
      </w:r>
      <w:r w:rsidR="00561EA5">
        <w:rPr>
          <w:rFonts w:ascii="Arial" w:eastAsia="Calibri" w:hAnsi="Arial" w:cs="Arial"/>
          <w:bCs/>
          <w:sz w:val="26"/>
          <w:szCs w:val="26"/>
        </w:rPr>
        <w:t xml:space="preserve">invocadas por la recurrente, </w:t>
      </w:r>
      <w:r>
        <w:rPr>
          <w:rFonts w:ascii="Arial" w:eastAsia="Calibri" w:hAnsi="Arial" w:cs="Arial"/>
          <w:bCs/>
          <w:sz w:val="26"/>
          <w:szCs w:val="26"/>
        </w:rPr>
        <w:t>tiene aplicaci</w:t>
      </w:r>
      <w:r w:rsidR="00561EA5">
        <w:rPr>
          <w:rFonts w:ascii="Arial" w:eastAsia="Calibri" w:hAnsi="Arial" w:cs="Arial"/>
          <w:bCs/>
          <w:sz w:val="26"/>
          <w:szCs w:val="26"/>
        </w:rPr>
        <w:t>ón la Jurisprudencia VIII. 1o. (X Región) J/3</w:t>
      </w:r>
      <w:r>
        <w:rPr>
          <w:rFonts w:ascii="Arial" w:eastAsia="Calibri" w:hAnsi="Arial" w:cs="Arial"/>
          <w:bCs/>
          <w:sz w:val="26"/>
          <w:szCs w:val="26"/>
        </w:rPr>
        <w:t xml:space="preserve">, publicada en el Semanario Judicial de la Federación y su Gaceta, </w:t>
      </w:r>
      <w:r w:rsidR="00561EA5">
        <w:rPr>
          <w:rFonts w:ascii="Arial" w:eastAsia="Calibri" w:hAnsi="Arial" w:cs="Arial"/>
          <w:bCs/>
          <w:sz w:val="26"/>
          <w:szCs w:val="26"/>
        </w:rPr>
        <w:t xml:space="preserve">Libro III, Diciembre de 2011, Tomo 5, visible a </w:t>
      </w:r>
      <w:proofErr w:type="gramStart"/>
      <w:r w:rsidR="00561EA5">
        <w:rPr>
          <w:rFonts w:ascii="Arial" w:eastAsia="Calibri" w:hAnsi="Arial" w:cs="Arial"/>
          <w:bCs/>
          <w:sz w:val="26"/>
          <w:szCs w:val="26"/>
        </w:rPr>
        <w:t>pagina</w:t>
      </w:r>
      <w:proofErr w:type="gramEnd"/>
      <w:r w:rsidR="00561EA5">
        <w:rPr>
          <w:rFonts w:ascii="Arial" w:eastAsia="Calibri" w:hAnsi="Arial" w:cs="Arial"/>
          <w:bCs/>
          <w:sz w:val="26"/>
          <w:szCs w:val="26"/>
        </w:rPr>
        <w:t xml:space="preserve"> 3552,</w:t>
      </w:r>
      <w:r>
        <w:rPr>
          <w:rFonts w:ascii="Arial" w:eastAsia="Calibri" w:hAnsi="Arial" w:cs="Arial"/>
          <w:bCs/>
          <w:sz w:val="26"/>
          <w:szCs w:val="26"/>
        </w:rPr>
        <w:t xml:space="preserve"> Instancia: Tribunales Colegidos de Circuito, Novena </w:t>
      </w:r>
      <w:r w:rsidRPr="00550202">
        <w:rPr>
          <w:rFonts w:ascii="Arial" w:hAnsi="Arial" w:cs="Arial"/>
          <w:bCs/>
          <w:color w:val="000000"/>
          <w:sz w:val="26"/>
          <w:szCs w:val="26"/>
        </w:rPr>
        <w:t>Época, Materia Común, baj</w:t>
      </w:r>
      <w:r>
        <w:rPr>
          <w:rFonts w:ascii="Arial" w:hAnsi="Arial" w:cs="Arial"/>
          <w:bCs/>
          <w:color w:val="000000"/>
          <w:sz w:val="26"/>
          <w:szCs w:val="26"/>
        </w:rPr>
        <w:t xml:space="preserve">o el rubro y texto siguientes: </w:t>
      </w:r>
    </w:p>
    <w:p w:rsidR="00F45D0A" w:rsidRPr="00AF27C4" w:rsidRDefault="00561EA5" w:rsidP="005B7DBB">
      <w:pPr>
        <w:tabs>
          <w:tab w:val="left" w:pos="2410"/>
        </w:tabs>
        <w:spacing w:after="0" w:line="240" w:lineRule="auto"/>
        <w:ind w:left="567" w:right="900"/>
        <w:jc w:val="both"/>
        <w:rPr>
          <w:rFonts w:ascii="Arial" w:eastAsia="Times New Roman" w:hAnsi="Arial" w:cs="Arial"/>
          <w:i/>
          <w:color w:val="000000"/>
          <w:lang w:val="es-MX" w:eastAsia="es-MX"/>
        </w:rPr>
      </w:pPr>
      <w:r>
        <w:rPr>
          <w:rFonts w:ascii="Arial" w:eastAsia="Times New Roman" w:hAnsi="Arial" w:cs="Arial"/>
          <w:b/>
          <w:bCs/>
          <w:i/>
          <w:color w:val="000000"/>
          <w:lang w:val="es-MX" w:eastAsia="es-MX"/>
        </w:rPr>
        <w:t>“</w:t>
      </w:r>
      <w:r w:rsidR="00AF27C4" w:rsidRPr="00AF27C4">
        <w:rPr>
          <w:rFonts w:ascii="Arial" w:eastAsia="Times New Roman" w:hAnsi="Arial" w:cs="Arial"/>
          <w:b/>
          <w:i/>
          <w:color w:val="000000"/>
          <w:lang w:val="es-MX" w:eastAsia="es-MX"/>
        </w:rPr>
        <w:t>CONCEPTOS DE VIOLACIÓN. SU CALIFICACIÓN DE INOPERANTES O INATENDIBLES IMPIDE ABORDAR EL ANÁLISIS DE LAS JURISPRUDENCIAS Y TESIS AISLADAS INVOCADAS PARA SUSTENTAR EL FONDO DE LOS ARGUMENTOS QUE EN ELLOS SE PLANTEA.</w:t>
      </w:r>
      <w:r w:rsidR="00AF27C4">
        <w:rPr>
          <w:rFonts w:ascii="Arial" w:eastAsia="Times New Roman" w:hAnsi="Arial" w:cs="Arial"/>
          <w:i/>
          <w:color w:val="000000"/>
          <w:lang w:val="es-MX" w:eastAsia="es-MX"/>
        </w:rPr>
        <w:t xml:space="preserve"> </w:t>
      </w:r>
      <w:r w:rsidR="00AF27C4" w:rsidRPr="00AF27C4">
        <w:rPr>
          <w:rFonts w:ascii="Arial" w:eastAsia="Times New Roman" w:hAnsi="Arial" w:cs="Arial"/>
          <w:i/>
          <w:color w:val="000000"/>
          <w:lang w:val="es-MX" w:eastAsia="es-MX"/>
        </w:rPr>
        <w:t xml:space="preserve">Del análisis a la </w:t>
      </w:r>
      <w:r w:rsidR="00AF27C4" w:rsidRPr="00AF27C4">
        <w:rPr>
          <w:rFonts w:ascii="Arial" w:eastAsia="Times New Roman" w:hAnsi="Arial" w:cs="Arial"/>
          <w:i/>
          <w:color w:val="000000"/>
          <w:lang w:val="es-MX" w:eastAsia="es-MX"/>
        </w:rPr>
        <w:lastRenderedPageBreak/>
        <w:t>ejecutoria relativa a la contradicción de tesis 14/2008-PL, de la que derivó la jurisprudencia 2a</w:t>
      </w:r>
      <w:proofErr w:type="gramStart"/>
      <w:r w:rsidR="00AF27C4" w:rsidRPr="00AF27C4">
        <w:rPr>
          <w:rFonts w:ascii="Arial" w:eastAsia="Times New Roman" w:hAnsi="Arial" w:cs="Arial"/>
          <w:i/>
          <w:color w:val="000000"/>
          <w:lang w:val="es-MX" w:eastAsia="es-MX"/>
        </w:rPr>
        <w:t>./</w:t>
      </w:r>
      <w:proofErr w:type="gramEnd"/>
      <w:r w:rsidR="00AF27C4" w:rsidRPr="00AF27C4">
        <w:rPr>
          <w:rFonts w:ascii="Arial" w:eastAsia="Times New Roman" w:hAnsi="Arial" w:cs="Arial"/>
          <w:i/>
          <w:color w:val="000000"/>
          <w:lang w:val="es-MX" w:eastAsia="es-MX"/>
        </w:rPr>
        <w:t>J. 130/2008 de la Segunda Sala de la Suprema Corte de Justicia de la Nación, publicada en el Semanario Judicial de la Federación y su Gaceta, Novena Época, Tomo XXVIII, septiembre de 2008, página 262, de rubro: "TESIS AISLADA O DE JURISPRUDENCIA INVOCADA EN LA DEMANDA DE AMPARO. CORRESPONDE AL ÓRGANO JURISDICCIONAL PRONUNCIARSE EN TORNO A SU APLICABILIDAD O INAPLICABILIDAD AL CASO CONCRETO, INDEPENDIENTEMENTE DE QUE LA QUEJOSA ESGRIMA O NO ALGÚN RAZONAMIENTO AL RESPECTO.", se advierte que la obligación que se impone al órgano jurisdiccional de fundar y motivar la aplicación o inaplicación de las tesis aisladas y de jurisprudencia invocadas en una demanda de amparo, parte del supuesto específico de que el tema planteado en ellas, haya sido efectivamente abordado por el tribunal constitucional; esto es, que el tribunal se pronuncie sobre el tema de mérito, expresando las razones por las que se acoge al criterio señalado o se aparta de él, pues en atención a la causa de pedir se estima que las tesis aisladas y de jurisprudencia invocadas constituyen o son parte de los argumentos de la demanda de amparo como conceptos de violación; de ahí que la obligación se actualiza, únicamente, cuando los temas contenidos en ellas son motivo de análisis por el órgano jurisdiccional, en cuyo caso el tribunal de amparo deberá resolver si el argumento que se pretende robustecer con dicho criterio, resulta fundado o infundado, conforme a las pretensiones del quejoso. Sin embargo, cuando exista una diversa cuestión que impida atender a las cuestiones efectivamente planteadas en los conceptos de violación, así como en las tesis aisladas y de jurisprudencia que se invocan, esto es, que tales argumentos resulten inoperantes o inatendibles, por causa distinta a la insuficiencia dado que el objeto de la invocación de las tesis aisladas o jurisprudenciales es robustecer su argumento con un determinado criterio, no sólo no resulta obligatorio abordar el análisis y desestimación pormenorizada de cada uno de los criterios invocados sino, incluso, demostraría una deficiente técnica en el estudio, pues los conceptos de violación y argumentos de fondo que se pretenden demostrar con la aplicación de los criterios invocados resultan inatendibles, precisamente por existir una cuestión diversa al tema que en dichos argumentos se plantea, que resulta suficiente para sustentar el sentido del fallo constitucional; de ahí que no proceda realizar pronunciamiento sobre la aplicación o inaplicación de las jurisprudencias o tesis aisladas in</w:t>
      </w:r>
      <w:r w:rsidR="00AF27C4">
        <w:rPr>
          <w:rFonts w:ascii="Arial" w:eastAsia="Times New Roman" w:hAnsi="Arial" w:cs="Arial"/>
          <w:i/>
          <w:color w:val="000000"/>
          <w:lang w:val="es-MX" w:eastAsia="es-MX"/>
        </w:rPr>
        <w:t>vocadas en la demanda de amparo</w:t>
      </w:r>
      <w:r w:rsidR="00F45D0A" w:rsidRPr="007F0B31">
        <w:rPr>
          <w:rFonts w:ascii="Arial" w:eastAsia="Times New Roman" w:hAnsi="Arial" w:cs="Arial"/>
          <w:i/>
          <w:color w:val="000000"/>
          <w:lang w:val="es-MX" w:eastAsia="es-MX"/>
        </w:rPr>
        <w:t>”.</w:t>
      </w:r>
    </w:p>
    <w:p w:rsidR="00F45D0A" w:rsidRPr="00516B2B" w:rsidRDefault="00F45D0A" w:rsidP="00AF27C4">
      <w:pPr>
        <w:tabs>
          <w:tab w:val="left" w:pos="2410"/>
        </w:tabs>
        <w:spacing w:after="0" w:line="360" w:lineRule="auto"/>
        <w:ind w:right="900"/>
        <w:jc w:val="both"/>
        <w:rPr>
          <w:rFonts w:ascii="Arial" w:eastAsia="Times New Roman" w:hAnsi="Arial" w:cs="Arial"/>
          <w:b/>
          <w:bCs/>
          <w:i/>
          <w:color w:val="000000"/>
          <w:lang w:val="es-MX" w:eastAsia="es-MX"/>
        </w:rPr>
      </w:pPr>
    </w:p>
    <w:p w:rsidR="001D20BF" w:rsidRDefault="00716DA1" w:rsidP="001D20BF">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Pr>
          <w:rFonts w:ascii="Arial" w:hAnsi="Arial" w:cs="Arial"/>
          <w:sz w:val="26"/>
          <w:szCs w:val="26"/>
        </w:rPr>
        <w:t xml:space="preserve">En mérito de lo anterior, con fundamento en los artículos </w:t>
      </w:r>
      <w:r w:rsidR="001D20BF">
        <w:rPr>
          <w:rFonts w:ascii="Arial" w:hAnsi="Arial" w:cs="Arial"/>
          <w:sz w:val="26"/>
          <w:szCs w:val="26"/>
        </w:rPr>
        <w:t>237 y 238 de la Ley de Procedimiento y Justicia Administrativa para el Estado</w:t>
      </w:r>
      <w:r w:rsidR="00F81C14">
        <w:rPr>
          <w:rFonts w:ascii="Arial" w:hAnsi="Arial" w:cs="Arial"/>
          <w:sz w:val="26"/>
          <w:szCs w:val="26"/>
        </w:rPr>
        <w:t xml:space="preserve"> de Oaxaca</w:t>
      </w:r>
      <w:r w:rsidR="001D20BF">
        <w:rPr>
          <w:rFonts w:ascii="Arial" w:hAnsi="Arial" w:cs="Arial"/>
          <w:sz w:val="26"/>
          <w:szCs w:val="26"/>
        </w:rPr>
        <w:t>, se:</w:t>
      </w:r>
    </w:p>
    <w:p w:rsidR="001D20BF" w:rsidRDefault="001D20BF" w:rsidP="001D20BF">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1D20BF" w:rsidRDefault="001D20BF" w:rsidP="001D20BF">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sidRPr="00516B2B">
        <w:rPr>
          <w:rFonts w:ascii="Arial" w:hAnsi="Arial" w:cs="Arial"/>
          <w:b/>
          <w:color w:val="000000"/>
          <w:sz w:val="26"/>
          <w:szCs w:val="26"/>
        </w:rPr>
        <w:t>.</w:t>
      </w:r>
      <w:r>
        <w:rPr>
          <w:rFonts w:ascii="Arial" w:hAnsi="Arial" w:cs="Arial"/>
          <w:color w:val="000000"/>
          <w:sz w:val="26"/>
          <w:szCs w:val="26"/>
        </w:rPr>
        <w:t xml:space="preserve"> </w:t>
      </w:r>
      <w:r>
        <w:rPr>
          <w:rFonts w:ascii="Arial" w:hAnsi="Arial" w:cs="Arial"/>
          <w:color w:val="000000"/>
          <w:sz w:val="26"/>
          <w:szCs w:val="26"/>
          <w:lang w:val="es-MX"/>
        </w:rPr>
        <w:t xml:space="preserve">Se </w:t>
      </w:r>
      <w:r w:rsidR="00716DA1" w:rsidRPr="00716DA1">
        <w:rPr>
          <w:rFonts w:ascii="Arial" w:hAnsi="Arial" w:cs="Arial"/>
          <w:b/>
          <w:color w:val="000000"/>
          <w:sz w:val="26"/>
          <w:szCs w:val="26"/>
          <w:lang w:val="es-MX"/>
        </w:rPr>
        <w:t>CONFIRMA</w:t>
      </w:r>
      <w:r w:rsidR="00D75AF1">
        <w:rPr>
          <w:rFonts w:ascii="Arial" w:hAnsi="Arial" w:cs="Arial"/>
          <w:color w:val="000000"/>
          <w:sz w:val="26"/>
          <w:szCs w:val="26"/>
          <w:lang w:val="es-MX"/>
        </w:rPr>
        <w:t xml:space="preserve"> l</w:t>
      </w:r>
      <w:r w:rsidR="00716DA1">
        <w:rPr>
          <w:rFonts w:ascii="Arial" w:hAnsi="Arial" w:cs="Arial"/>
          <w:color w:val="000000"/>
          <w:sz w:val="26"/>
          <w:szCs w:val="26"/>
          <w:lang w:val="es-MX"/>
        </w:rPr>
        <w:t xml:space="preserve">a sentencia recurrida, </w:t>
      </w:r>
      <w:r>
        <w:rPr>
          <w:rFonts w:ascii="Arial" w:hAnsi="Arial" w:cs="Arial"/>
          <w:color w:val="000000"/>
          <w:sz w:val="26"/>
          <w:szCs w:val="26"/>
          <w:lang w:val="es-MX"/>
        </w:rPr>
        <w:t>por las razones expuestas en el considerando que antecede.</w:t>
      </w:r>
    </w:p>
    <w:p w:rsidR="00516B2B" w:rsidRPr="00665BC8" w:rsidRDefault="001D20BF" w:rsidP="00665BC8">
      <w:pPr>
        <w:widowControl w:val="0"/>
        <w:tabs>
          <w:tab w:val="left" w:pos="0"/>
        </w:tabs>
        <w:spacing w:before="240" w:after="0" w:line="360" w:lineRule="auto"/>
        <w:ind w:right="18"/>
        <w:jc w:val="both"/>
        <w:rPr>
          <w:rFonts w:ascii="Arial" w:hAnsi="Arial" w:cs="Arial"/>
          <w:sz w:val="26"/>
          <w:szCs w:val="26"/>
        </w:rPr>
      </w:pPr>
      <w:r>
        <w:rPr>
          <w:rFonts w:ascii="Arial" w:hAnsi="Arial" w:cs="Arial"/>
          <w:b/>
          <w:sz w:val="26"/>
          <w:szCs w:val="26"/>
          <w:lang w:val="es-MX"/>
        </w:rPr>
        <w:tab/>
      </w:r>
      <w:r w:rsidR="00516B2B">
        <w:rPr>
          <w:rFonts w:ascii="Arial" w:hAnsi="Arial" w:cs="Arial"/>
          <w:b/>
          <w:sz w:val="26"/>
          <w:szCs w:val="26"/>
        </w:rPr>
        <w:t>SEGUNDO.</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665BC8">
        <w:rPr>
          <w:rFonts w:ascii="Arial" w:hAnsi="Arial" w:cs="Arial"/>
          <w:sz w:val="26"/>
          <w:szCs w:val="26"/>
        </w:rPr>
        <w:t>Tercera</w:t>
      </w:r>
      <w:r w:rsidR="00716DA1">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26557F" w:rsidRDefault="0026557F" w:rsidP="0026557F">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w:t>
      </w:r>
      <w:r w:rsidRPr="00563965">
        <w:rPr>
          <w:rFonts w:ascii="Arial" w:hAnsi="Arial" w:cs="Arial"/>
          <w:sz w:val="26"/>
          <w:szCs w:val="26"/>
        </w:rPr>
        <w:lastRenderedPageBreak/>
        <w:t xml:space="preserve">Administrativa del Estado, quienes actúan con la Secretaria General de Acuerdos de este Tribunal, que autoriza y da fe. </w:t>
      </w:r>
    </w:p>
    <w:p w:rsidR="0026557F" w:rsidRDefault="0026557F" w:rsidP="0026557F">
      <w:pPr>
        <w:pStyle w:val="corte4fondo"/>
        <w:tabs>
          <w:tab w:val="left" w:pos="0"/>
        </w:tabs>
        <w:ind w:right="51"/>
        <w:rPr>
          <w:sz w:val="26"/>
          <w:szCs w:val="26"/>
        </w:rPr>
      </w:pPr>
    </w:p>
    <w:p w:rsidR="0026557F" w:rsidRDefault="0026557F" w:rsidP="0026557F">
      <w:pPr>
        <w:pStyle w:val="corte4fondo"/>
        <w:tabs>
          <w:tab w:val="left" w:pos="0"/>
        </w:tabs>
        <w:ind w:right="51"/>
        <w:rPr>
          <w:sz w:val="26"/>
          <w:szCs w:val="26"/>
        </w:rPr>
      </w:pPr>
    </w:p>
    <w:p w:rsidR="0026557F" w:rsidRDefault="0026557F" w:rsidP="0026557F">
      <w:pPr>
        <w:pStyle w:val="corte4fondo"/>
        <w:tabs>
          <w:tab w:val="left" w:pos="0"/>
        </w:tabs>
        <w:ind w:right="51"/>
        <w:rPr>
          <w:sz w:val="26"/>
          <w:szCs w:val="26"/>
        </w:rPr>
      </w:pPr>
    </w:p>
    <w:p w:rsidR="0026557F" w:rsidRDefault="0026557F" w:rsidP="0026557F">
      <w:pPr>
        <w:pStyle w:val="corte4fondo"/>
        <w:tabs>
          <w:tab w:val="left" w:pos="0"/>
        </w:tabs>
        <w:ind w:right="51"/>
        <w:rPr>
          <w:sz w:val="26"/>
          <w:szCs w:val="26"/>
        </w:rPr>
      </w:pPr>
    </w:p>
    <w:p w:rsidR="0026557F" w:rsidRDefault="0026557F" w:rsidP="0026557F">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26557F" w:rsidRDefault="0026557F" w:rsidP="0026557F">
      <w:pPr>
        <w:spacing w:after="0" w:line="240" w:lineRule="auto"/>
        <w:jc w:val="center"/>
        <w:rPr>
          <w:rFonts w:ascii="Arial" w:hAnsi="Arial" w:cs="Arial"/>
          <w:sz w:val="26"/>
          <w:szCs w:val="26"/>
        </w:rPr>
      </w:pPr>
      <w:r>
        <w:rPr>
          <w:rFonts w:ascii="Arial" w:hAnsi="Arial" w:cs="Arial"/>
          <w:sz w:val="26"/>
          <w:szCs w:val="26"/>
        </w:rPr>
        <w:t>PRESIDENTA</w:t>
      </w:r>
    </w:p>
    <w:p w:rsidR="0026557F" w:rsidRDefault="0026557F" w:rsidP="0026557F">
      <w:pPr>
        <w:tabs>
          <w:tab w:val="left" w:pos="1680"/>
          <w:tab w:val="center" w:pos="4277"/>
        </w:tabs>
        <w:spacing w:line="360" w:lineRule="auto"/>
        <w:jc w:val="center"/>
        <w:rPr>
          <w:rFonts w:ascii="Arial" w:hAnsi="Arial" w:cs="Arial"/>
          <w:sz w:val="26"/>
          <w:szCs w:val="26"/>
        </w:rPr>
      </w:pPr>
      <w:r>
        <w:rPr>
          <w:rFonts w:ascii="Arial" w:hAnsi="Arial" w:cs="Arial"/>
          <w:b/>
          <w:sz w:val="14"/>
          <w:szCs w:val="26"/>
        </w:rPr>
        <w:t xml:space="preserve">       </w:t>
      </w:r>
    </w:p>
    <w:p w:rsidR="0026557F" w:rsidRDefault="0026557F" w:rsidP="0026557F">
      <w:pPr>
        <w:spacing w:line="360" w:lineRule="auto"/>
        <w:jc w:val="center"/>
        <w:rPr>
          <w:rFonts w:ascii="Arial" w:eastAsia="Times New Roman" w:hAnsi="Arial" w:cs="Arial"/>
          <w:sz w:val="26"/>
          <w:szCs w:val="26"/>
          <w:lang w:eastAsia="es-MX"/>
        </w:rPr>
      </w:pPr>
    </w:p>
    <w:p w:rsidR="0026557F" w:rsidRDefault="0026557F" w:rsidP="0026557F">
      <w:pPr>
        <w:spacing w:line="360" w:lineRule="auto"/>
        <w:jc w:val="center"/>
        <w:rPr>
          <w:rFonts w:ascii="Arial" w:eastAsia="Times New Roman" w:hAnsi="Arial" w:cs="Arial"/>
          <w:sz w:val="26"/>
          <w:szCs w:val="26"/>
          <w:lang w:eastAsia="es-MX"/>
        </w:rPr>
      </w:pPr>
    </w:p>
    <w:p w:rsidR="0026557F" w:rsidRDefault="0026557F" w:rsidP="0026557F">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26557F" w:rsidRDefault="0026557F" w:rsidP="0026557F">
      <w:pPr>
        <w:jc w:val="center"/>
        <w:rPr>
          <w:rFonts w:ascii="Arial" w:hAnsi="Arial" w:cs="Arial"/>
          <w:sz w:val="26"/>
          <w:szCs w:val="26"/>
        </w:rPr>
      </w:pPr>
    </w:p>
    <w:p w:rsidR="0026557F" w:rsidRDefault="0026557F" w:rsidP="0026557F">
      <w:pPr>
        <w:jc w:val="center"/>
        <w:rPr>
          <w:rFonts w:ascii="Arial" w:hAnsi="Arial" w:cs="Arial"/>
          <w:sz w:val="26"/>
          <w:szCs w:val="26"/>
        </w:rPr>
      </w:pPr>
    </w:p>
    <w:p w:rsidR="0026557F" w:rsidRDefault="0026557F" w:rsidP="0026557F">
      <w:pPr>
        <w:jc w:val="center"/>
        <w:rPr>
          <w:rFonts w:ascii="Arial" w:hAnsi="Arial" w:cs="Arial"/>
          <w:sz w:val="26"/>
          <w:szCs w:val="26"/>
        </w:rPr>
      </w:pPr>
    </w:p>
    <w:p w:rsidR="0026557F" w:rsidRDefault="0026557F" w:rsidP="0026557F">
      <w:pPr>
        <w:jc w:val="center"/>
        <w:rPr>
          <w:rFonts w:ascii="Arial" w:hAnsi="Arial" w:cs="Arial"/>
          <w:sz w:val="26"/>
          <w:szCs w:val="26"/>
        </w:rPr>
      </w:pPr>
      <w:r>
        <w:rPr>
          <w:rFonts w:ascii="Arial" w:hAnsi="Arial" w:cs="Arial"/>
          <w:sz w:val="26"/>
          <w:szCs w:val="26"/>
        </w:rPr>
        <w:t>MAGISTRADO RAÚL PALOMARES PALOMINO</w:t>
      </w:r>
    </w:p>
    <w:p w:rsidR="0026557F" w:rsidRDefault="0026557F" w:rsidP="0026557F">
      <w:pPr>
        <w:tabs>
          <w:tab w:val="left" w:pos="1680"/>
          <w:tab w:val="center" w:pos="4277"/>
        </w:tabs>
        <w:spacing w:line="360" w:lineRule="auto"/>
        <w:jc w:val="center"/>
        <w:rPr>
          <w:rFonts w:ascii="Arial" w:hAnsi="Arial" w:cs="Arial"/>
          <w:sz w:val="26"/>
          <w:szCs w:val="26"/>
        </w:rPr>
      </w:pPr>
    </w:p>
    <w:p w:rsidR="0026557F" w:rsidRDefault="0026557F" w:rsidP="0026557F">
      <w:pPr>
        <w:tabs>
          <w:tab w:val="left" w:pos="1680"/>
          <w:tab w:val="center" w:pos="4277"/>
        </w:tabs>
        <w:spacing w:line="360" w:lineRule="auto"/>
        <w:jc w:val="center"/>
        <w:rPr>
          <w:rFonts w:ascii="Arial" w:hAnsi="Arial" w:cs="Arial"/>
          <w:sz w:val="26"/>
          <w:szCs w:val="26"/>
        </w:rPr>
      </w:pPr>
    </w:p>
    <w:p w:rsidR="0026557F" w:rsidRDefault="0026557F" w:rsidP="0026557F">
      <w:pPr>
        <w:tabs>
          <w:tab w:val="left" w:pos="1680"/>
          <w:tab w:val="center" w:pos="4277"/>
        </w:tabs>
        <w:spacing w:line="360" w:lineRule="auto"/>
        <w:jc w:val="center"/>
        <w:rPr>
          <w:rFonts w:ascii="Arial" w:hAnsi="Arial" w:cs="Arial"/>
          <w:sz w:val="26"/>
          <w:szCs w:val="26"/>
        </w:rPr>
      </w:pPr>
    </w:p>
    <w:p w:rsidR="0026557F" w:rsidRDefault="0026557F" w:rsidP="0026557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26557F" w:rsidRDefault="0026557F" w:rsidP="0026557F">
      <w:pPr>
        <w:tabs>
          <w:tab w:val="left" w:pos="1680"/>
          <w:tab w:val="center" w:pos="4277"/>
        </w:tabs>
        <w:spacing w:line="360" w:lineRule="auto"/>
        <w:jc w:val="center"/>
        <w:rPr>
          <w:rFonts w:ascii="Arial" w:hAnsi="Arial" w:cs="Arial"/>
          <w:sz w:val="26"/>
          <w:szCs w:val="26"/>
        </w:rPr>
      </w:pPr>
    </w:p>
    <w:p w:rsidR="0026557F" w:rsidRDefault="0026557F" w:rsidP="0026557F">
      <w:pPr>
        <w:tabs>
          <w:tab w:val="left" w:pos="1680"/>
          <w:tab w:val="center" w:pos="4277"/>
        </w:tabs>
        <w:spacing w:line="360" w:lineRule="auto"/>
        <w:jc w:val="center"/>
        <w:rPr>
          <w:rFonts w:ascii="Arial" w:hAnsi="Arial" w:cs="Arial"/>
          <w:sz w:val="26"/>
          <w:szCs w:val="26"/>
        </w:rPr>
      </w:pPr>
    </w:p>
    <w:p w:rsidR="005B7DBB" w:rsidRDefault="005B7DBB" w:rsidP="0026557F">
      <w:pPr>
        <w:tabs>
          <w:tab w:val="left" w:pos="1680"/>
          <w:tab w:val="center" w:pos="4277"/>
        </w:tabs>
        <w:spacing w:line="360" w:lineRule="auto"/>
        <w:jc w:val="center"/>
        <w:rPr>
          <w:rFonts w:ascii="Arial" w:hAnsi="Arial" w:cs="Arial"/>
          <w:sz w:val="26"/>
          <w:szCs w:val="26"/>
        </w:rPr>
      </w:pPr>
    </w:p>
    <w:p w:rsidR="0026557F" w:rsidRDefault="0026557F" w:rsidP="0026557F">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p>
    <w:p w:rsidR="0026557F" w:rsidRDefault="0026557F" w:rsidP="0026557F">
      <w:pPr>
        <w:pStyle w:val="Sinespaciado"/>
        <w:jc w:val="center"/>
        <w:rPr>
          <w:rFonts w:ascii="Arial" w:hAnsi="Arial" w:cs="Arial"/>
          <w:sz w:val="26"/>
          <w:szCs w:val="26"/>
        </w:rPr>
      </w:pPr>
      <w:r>
        <w:rPr>
          <w:rFonts w:ascii="Arial" w:hAnsi="Arial" w:cs="Arial"/>
          <w:sz w:val="26"/>
          <w:szCs w:val="26"/>
        </w:rPr>
        <w:t>LICENCIADA FELICITAS DÍAZ VÁZQUEZ</w:t>
      </w:r>
    </w:p>
    <w:p w:rsidR="0026557F" w:rsidRDefault="0026557F" w:rsidP="0026557F">
      <w:pPr>
        <w:pStyle w:val="Sinespaciado"/>
        <w:jc w:val="center"/>
        <w:rPr>
          <w:rFonts w:ascii="Arial" w:hAnsi="Arial" w:cs="Arial"/>
          <w:sz w:val="26"/>
          <w:szCs w:val="26"/>
        </w:rPr>
      </w:pPr>
      <w:r>
        <w:rPr>
          <w:rFonts w:ascii="Arial" w:hAnsi="Arial" w:cs="Arial"/>
          <w:sz w:val="26"/>
          <w:szCs w:val="26"/>
        </w:rPr>
        <w:t>SECRETARIA GENERAL DE ACUERDOS</w:t>
      </w:r>
    </w:p>
    <w:p w:rsidR="00166FBA" w:rsidRPr="001D20BF" w:rsidRDefault="00166FBA" w:rsidP="0026557F">
      <w:pPr>
        <w:spacing w:line="360" w:lineRule="auto"/>
        <w:ind w:firstLine="708"/>
        <w:jc w:val="both"/>
      </w:pPr>
    </w:p>
    <w:sectPr w:rsidR="00166FBA" w:rsidRPr="001D20BF" w:rsidSect="0026557F">
      <w:headerReference w:type="even" r:id="rId7"/>
      <w:headerReference w:type="default" r:id="rId8"/>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745" w:rsidRDefault="00050745">
      <w:pPr>
        <w:spacing w:after="0" w:line="240" w:lineRule="auto"/>
      </w:pPr>
      <w:r>
        <w:separator/>
      </w:r>
    </w:p>
  </w:endnote>
  <w:endnote w:type="continuationSeparator" w:id="0">
    <w:p w:rsidR="00050745" w:rsidRDefault="0005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745" w:rsidRDefault="00050745">
      <w:pPr>
        <w:spacing w:after="0" w:line="240" w:lineRule="auto"/>
      </w:pPr>
      <w:r>
        <w:separator/>
      </w:r>
    </w:p>
  </w:footnote>
  <w:footnote w:type="continuationSeparator" w:id="0">
    <w:p w:rsidR="00050745" w:rsidRDefault="00050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7C1D23">
          <w:rPr>
            <w:noProof/>
          </w:rPr>
          <w:t>6</w:t>
        </w:r>
        <w:r>
          <w:fldChar w:fldCharType="end"/>
        </w:r>
      </w:p>
    </w:sdtContent>
  </w:sdt>
  <w:p w:rsidR="00D2291D" w:rsidRDefault="007C1D23">
    <w:pPr>
      <w:pStyle w:val="Encabezado"/>
    </w:pPr>
    <w:r>
      <w:rPr>
        <w:noProof/>
        <w:lang w:val="es-MX" w:eastAsia="es-MX"/>
      </w:rPr>
      <w:drawing>
        <wp:anchor distT="0" distB="0" distL="114300" distR="114300" simplePos="0" relativeHeight="251665408" behindDoc="0" locked="0" layoutInCell="1" allowOverlap="1" wp14:anchorId="6EC95345" wp14:editId="3C8C78B9">
          <wp:simplePos x="0" y="0"/>
          <wp:positionH relativeFrom="column">
            <wp:posOffset>5705475</wp:posOffset>
          </wp:positionH>
          <wp:positionV relativeFrom="paragraph">
            <wp:posOffset>5323840</wp:posOffset>
          </wp:positionV>
          <wp:extent cx="923925" cy="885825"/>
          <wp:effectExtent l="0" t="0" r="9525" b="9525"/>
          <wp:wrapThrough wrapText="bothSides">
            <wp:wrapPolygon edited="0">
              <wp:start x="0" y="0"/>
              <wp:lineTo x="0" y="21368"/>
              <wp:lineTo x="21377" y="21368"/>
              <wp:lineTo x="21377" y="0"/>
              <wp:lineTo x="0" y="0"/>
            </wp:wrapPolygon>
          </wp:wrapThrough>
          <wp:docPr id="4"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7C1D23">
          <w:rPr>
            <w:noProof/>
          </w:rPr>
          <w:t>7</w:t>
        </w:r>
        <w:r>
          <w:rPr>
            <w:noProof/>
          </w:rPr>
          <w:fldChar w:fldCharType="end"/>
        </w:r>
      </w:p>
      <w:p w:rsidR="00D2291D" w:rsidRDefault="007C1D23" w:rsidP="00D2291D">
        <w:pPr>
          <w:pStyle w:val="Encabezado"/>
          <w:jc w:val="center"/>
        </w:pPr>
      </w:p>
    </w:sdtContent>
  </w:sdt>
  <w:p w:rsidR="00D2291D" w:rsidRDefault="007C1D23" w:rsidP="00D2291D">
    <w:pPr>
      <w:pStyle w:val="Encabezado"/>
      <w:tabs>
        <w:tab w:val="left" w:pos="142"/>
      </w:tabs>
      <w:ind w:left="284"/>
    </w:pPr>
    <w:r>
      <w:rPr>
        <w:noProof/>
        <w:lang w:val="es-MX" w:eastAsia="es-MX"/>
      </w:rPr>
      <w:drawing>
        <wp:anchor distT="0" distB="0" distL="114300" distR="114300" simplePos="0" relativeHeight="251663360" behindDoc="0" locked="0" layoutInCell="1" allowOverlap="1" wp14:anchorId="222E74C0" wp14:editId="6B41A0D2">
          <wp:simplePos x="0" y="0"/>
          <wp:positionH relativeFrom="column">
            <wp:posOffset>-1262380</wp:posOffset>
          </wp:positionH>
          <wp:positionV relativeFrom="paragraph">
            <wp:posOffset>3005455</wp:posOffset>
          </wp:positionV>
          <wp:extent cx="923925" cy="885825"/>
          <wp:effectExtent l="0" t="0" r="9525" b="9525"/>
          <wp:wrapThrough wrapText="bothSides">
            <wp:wrapPolygon edited="0">
              <wp:start x="0" y="0"/>
              <wp:lineTo x="0" y="21368"/>
              <wp:lineTo x="21377" y="21368"/>
              <wp:lineTo x="21377" y="0"/>
              <wp:lineTo x="0" y="0"/>
            </wp:wrapPolygon>
          </wp:wrapThrough>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9264" behindDoc="0" locked="0" layoutInCell="1" allowOverlap="1" wp14:anchorId="0E6FF6CE" wp14:editId="785BF2DB">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61312" behindDoc="1" locked="0" layoutInCell="1" allowOverlap="1" wp14:anchorId="7A80BA56" wp14:editId="37795BF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33"/>
    <w:rsid w:val="000015F8"/>
    <w:rsid w:val="000143FF"/>
    <w:rsid w:val="000175F4"/>
    <w:rsid w:val="00031FD4"/>
    <w:rsid w:val="000337D0"/>
    <w:rsid w:val="00034E53"/>
    <w:rsid w:val="00037605"/>
    <w:rsid w:val="00037B9D"/>
    <w:rsid w:val="00050745"/>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566B"/>
    <w:rsid w:val="00122A96"/>
    <w:rsid w:val="00132E1D"/>
    <w:rsid w:val="001555E0"/>
    <w:rsid w:val="0015681D"/>
    <w:rsid w:val="001575E0"/>
    <w:rsid w:val="0015791C"/>
    <w:rsid w:val="00162807"/>
    <w:rsid w:val="00163553"/>
    <w:rsid w:val="001654B1"/>
    <w:rsid w:val="00166FBA"/>
    <w:rsid w:val="00184ECE"/>
    <w:rsid w:val="00190A10"/>
    <w:rsid w:val="001B28D3"/>
    <w:rsid w:val="001B3376"/>
    <w:rsid w:val="001C071D"/>
    <w:rsid w:val="001C1517"/>
    <w:rsid w:val="001C1F2F"/>
    <w:rsid w:val="001C4D0F"/>
    <w:rsid w:val="001C78EB"/>
    <w:rsid w:val="001D20BF"/>
    <w:rsid w:val="001D68B6"/>
    <w:rsid w:val="001E09E7"/>
    <w:rsid w:val="001E3BA5"/>
    <w:rsid w:val="001E63FB"/>
    <w:rsid w:val="001F2493"/>
    <w:rsid w:val="00200074"/>
    <w:rsid w:val="00203905"/>
    <w:rsid w:val="00206B6C"/>
    <w:rsid w:val="0021412A"/>
    <w:rsid w:val="0021676A"/>
    <w:rsid w:val="0022359F"/>
    <w:rsid w:val="00225936"/>
    <w:rsid w:val="00231B63"/>
    <w:rsid w:val="00240FBF"/>
    <w:rsid w:val="00260E7A"/>
    <w:rsid w:val="00263481"/>
    <w:rsid w:val="0026557F"/>
    <w:rsid w:val="002746C6"/>
    <w:rsid w:val="00284E8E"/>
    <w:rsid w:val="002A4476"/>
    <w:rsid w:val="002A4B09"/>
    <w:rsid w:val="002B19FE"/>
    <w:rsid w:val="002C084F"/>
    <w:rsid w:val="002C61A3"/>
    <w:rsid w:val="002D25D0"/>
    <w:rsid w:val="002D355E"/>
    <w:rsid w:val="002D5CD9"/>
    <w:rsid w:val="002E452C"/>
    <w:rsid w:val="002F2948"/>
    <w:rsid w:val="002F6E99"/>
    <w:rsid w:val="003019A4"/>
    <w:rsid w:val="0030543F"/>
    <w:rsid w:val="0032387B"/>
    <w:rsid w:val="00326A65"/>
    <w:rsid w:val="00331B75"/>
    <w:rsid w:val="00334286"/>
    <w:rsid w:val="003452AF"/>
    <w:rsid w:val="003475A9"/>
    <w:rsid w:val="00355FDA"/>
    <w:rsid w:val="00357437"/>
    <w:rsid w:val="00367667"/>
    <w:rsid w:val="00370758"/>
    <w:rsid w:val="00380440"/>
    <w:rsid w:val="00380BF8"/>
    <w:rsid w:val="00384F6F"/>
    <w:rsid w:val="00387C61"/>
    <w:rsid w:val="00395B15"/>
    <w:rsid w:val="003B1B8F"/>
    <w:rsid w:val="003B6362"/>
    <w:rsid w:val="003E431D"/>
    <w:rsid w:val="0040143C"/>
    <w:rsid w:val="00401EE3"/>
    <w:rsid w:val="00402396"/>
    <w:rsid w:val="004177B6"/>
    <w:rsid w:val="00422368"/>
    <w:rsid w:val="00424406"/>
    <w:rsid w:val="00434164"/>
    <w:rsid w:val="0043571B"/>
    <w:rsid w:val="0044686C"/>
    <w:rsid w:val="00454BB3"/>
    <w:rsid w:val="00463515"/>
    <w:rsid w:val="004661C8"/>
    <w:rsid w:val="00473052"/>
    <w:rsid w:val="0048479E"/>
    <w:rsid w:val="00492A65"/>
    <w:rsid w:val="004A4B22"/>
    <w:rsid w:val="004A5330"/>
    <w:rsid w:val="004B3F26"/>
    <w:rsid w:val="004B5772"/>
    <w:rsid w:val="004B75EB"/>
    <w:rsid w:val="004C352A"/>
    <w:rsid w:val="004C4E2E"/>
    <w:rsid w:val="004D02DD"/>
    <w:rsid w:val="004D0D6E"/>
    <w:rsid w:val="004D4778"/>
    <w:rsid w:val="004E0096"/>
    <w:rsid w:val="004E2DAC"/>
    <w:rsid w:val="004E4532"/>
    <w:rsid w:val="004E67BF"/>
    <w:rsid w:val="004F437C"/>
    <w:rsid w:val="004F7F05"/>
    <w:rsid w:val="0050077A"/>
    <w:rsid w:val="00506596"/>
    <w:rsid w:val="005104EB"/>
    <w:rsid w:val="00516B2B"/>
    <w:rsid w:val="00516E57"/>
    <w:rsid w:val="00521331"/>
    <w:rsid w:val="00525AC3"/>
    <w:rsid w:val="00526A51"/>
    <w:rsid w:val="00553703"/>
    <w:rsid w:val="005604E1"/>
    <w:rsid w:val="00561AFD"/>
    <w:rsid w:val="00561EA5"/>
    <w:rsid w:val="00562D5C"/>
    <w:rsid w:val="00571758"/>
    <w:rsid w:val="005902DF"/>
    <w:rsid w:val="00591877"/>
    <w:rsid w:val="0059427A"/>
    <w:rsid w:val="005A371D"/>
    <w:rsid w:val="005A3F09"/>
    <w:rsid w:val="005A4CC2"/>
    <w:rsid w:val="005A5A11"/>
    <w:rsid w:val="005A7A1C"/>
    <w:rsid w:val="005B3514"/>
    <w:rsid w:val="005B4733"/>
    <w:rsid w:val="005B7DBB"/>
    <w:rsid w:val="005C136D"/>
    <w:rsid w:val="005C5C2D"/>
    <w:rsid w:val="005C7BED"/>
    <w:rsid w:val="005D0BAA"/>
    <w:rsid w:val="005D4651"/>
    <w:rsid w:val="005D4CD4"/>
    <w:rsid w:val="005D541C"/>
    <w:rsid w:val="005E763E"/>
    <w:rsid w:val="005F4AD5"/>
    <w:rsid w:val="00610270"/>
    <w:rsid w:val="006106CD"/>
    <w:rsid w:val="006166B0"/>
    <w:rsid w:val="00620615"/>
    <w:rsid w:val="00627433"/>
    <w:rsid w:val="0063712E"/>
    <w:rsid w:val="00652D2C"/>
    <w:rsid w:val="00660756"/>
    <w:rsid w:val="00665BC8"/>
    <w:rsid w:val="00671A96"/>
    <w:rsid w:val="00672B07"/>
    <w:rsid w:val="00675D42"/>
    <w:rsid w:val="00677B3B"/>
    <w:rsid w:val="00677BC4"/>
    <w:rsid w:val="00684EAA"/>
    <w:rsid w:val="0068607D"/>
    <w:rsid w:val="00687AD5"/>
    <w:rsid w:val="0069577F"/>
    <w:rsid w:val="006A6CB2"/>
    <w:rsid w:val="006A796B"/>
    <w:rsid w:val="006F0D66"/>
    <w:rsid w:val="006F2B61"/>
    <w:rsid w:val="00700AF3"/>
    <w:rsid w:val="00700E2A"/>
    <w:rsid w:val="00701A8B"/>
    <w:rsid w:val="007022BE"/>
    <w:rsid w:val="00716DA1"/>
    <w:rsid w:val="00726EA0"/>
    <w:rsid w:val="007270F3"/>
    <w:rsid w:val="00731CF5"/>
    <w:rsid w:val="0073388A"/>
    <w:rsid w:val="007371F2"/>
    <w:rsid w:val="00751C73"/>
    <w:rsid w:val="00761406"/>
    <w:rsid w:val="00764467"/>
    <w:rsid w:val="00772E96"/>
    <w:rsid w:val="007846CD"/>
    <w:rsid w:val="00792A64"/>
    <w:rsid w:val="007938C0"/>
    <w:rsid w:val="007A31A1"/>
    <w:rsid w:val="007A4C29"/>
    <w:rsid w:val="007A5422"/>
    <w:rsid w:val="007B032E"/>
    <w:rsid w:val="007B0344"/>
    <w:rsid w:val="007B3178"/>
    <w:rsid w:val="007C1D23"/>
    <w:rsid w:val="007D1934"/>
    <w:rsid w:val="007D2252"/>
    <w:rsid w:val="007D22C5"/>
    <w:rsid w:val="007E4639"/>
    <w:rsid w:val="007E5D52"/>
    <w:rsid w:val="00801603"/>
    <w:rsid w:val="0080320C"/>
    <w:rsid w:val="008206CE"/>
    <w:rsid w:val="008261CB"/>
    <w:rsid w:val="00831E6D"/>
    <w:rsid w:val="00832803"/>
    <w:rsid w:val="00833DA7"/>
    <w:rsid w:val="00834211"/>
    <w:rsid w:val="00861BCD"/>
    <w:rsid w:val="00866172"/>
    <w:rsid w:val="0087123D"/>
    <w:rsid w:val="00876086"/>
    <w:rsid w:val="00876FFC"/>
    <w:rsid w:val="00884E6A"/>
    <w:rsid w:val="0089169F"/>
    <w:rsid w:val="0089417C"/>
    <w:rsid w:val="00895DBE"/>
    <w:rsid w:val="00896839"/>
    <w:rsid w:val="008A58B7"/>
    <w:rsid w:val="008A5AE7"/>
    <w:rsid w:val="008B7521"/>
    <w:rsid w:val="008C3256"/>
    <w:rsid w:val="008C5CE8"/>
    <w:rsid w:val="008D0A55"/>
    <w:rsid w:val="008D0DE7"/>
    <w:rsid w:val="008D0ECF"/>
    <w:rsid w:val="008D2AF1"/>
    <w:rsid w:val="008F04B4"/>
    <w:rsid w:val="008F20E2"/>
    <w:rsid w:val="0090201D"/>
    <w:rsid w:val="00910F93"/>
    <w:rsid w:val="00911549"/>
    <w:rsid w:val="0091421B"/>
    <w:rsid w:val="009158B7"/>
    <w:rsid w:val="00930763"/>
    <w:rsid w:val="00932AA5"/>
    <w:rsid w:val="0093763C"/>
    <w:rsid w:val="00940A3E"/>
    <w:rsid w:val="009415BF"/>
    <w:rsid w:val="00947DA4"/>
    <w:rsid w:val="00957237"/>
    <w:rsid w:val="00962C46"/>
    <w:rsid w:val="00976697"/>
    <w:rsid w:val="00983CEB"/>
    <w:rsid w:val="00985CF6"/>
    <w:rsid w:val="00986BDE"/>
    <w:rsid w:val="00991E94"/>
    <w:rsid w:val="00997422"/>
    <w:rsid w:val="009A1A8B"/>
    <w:rsid w:val="009B0BE8"/>
    <w:rsid w:val="009B6D1F"/>
    <w:rsid w:val="009C08BC"/>
    <w:rsid w:val="009D3F6F"/>
    <w:rsid w:val="009E6697"/>
    <w:rsid w:val="009E6A41"/>
    <w:rsid w:val="009F7B9B"/>
    <w:rsid w:val="00A00B46"/>
    <w:rsid w:val="00A06D18"/>
    <w:rsid w:val="00A1546C"/>
    <w:rsid w:val="00A203EB"/>
    <w:rsid w:val="00A3186D"/>
    <w:rsid w:val="00A326AA"/>
    <w:rsid w:val="00A33339"/>
    <w:rsid w:val="00A342BC"/>
    <w:rsid w:val="00A43B80"/>
    <w:rsid w:val="00A544EE"/>
    <w:rsid w:val="00A55C50"/>
    <w:rsid w:val="00A606F2"/>
    <w:rsid w:val="00A83A3C"/>
    <w:rsid w:val="00A84ADD"/>
    <w:rsid w:val="00A87637"/>
    <w:rsid w:val="00A9338D"/>
    <w:rsid w:val="00AA1925"/>
    <w:rsid w:val="00AA5B15"/>
    <w:rsid w:val="00AB0D8C"/>
    <w:rsid w:val="00AB2711"/>
    <w:rsid w:val="00AB71A5"/>
    <w:rsid w:val="00AD01F9"/>
    <w:rsid w:val="00AD17DD"/>
    <w:rsid w:val="00AE0A3D"/>
    <w:rsid w:val="00AE1013"/>
    <w:rsid w:val="00AE2B81"/>
    <w:rsid w:val="00AE70C7"/>
    <w:rsid w:val="00AE7A2C"/>
    <w:rsid w:val="00AF27C4"/>
    <w:rsid w:val="00B056BE"/>
    <w:rsid w:val="00B076E6"/>
    <w:rsid w:val="00B167D9"/>
    <w:rsid w:val="00B2060B"/>
    <w:rsid w:val="00B246EF"/>
    <w:rsid w:val="00B305B4"/>
    <w:rsid w:val="00B370AC"/>
    <w:rsid w:val="00B40970"/>
    <w:rsid w:val="00B4295F"/>
    <w:rsid w:val="00B44F29"/>
    <w:rsid w:val="00B56295"/>
    <w:rsid w:val="00B60842"/>
    <w:rsid w:val="00B84433"/>
    <w:rsid w:val="00B848BA"/>
    <w:rsid w:val="00B92F8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4FB6"/>
    <w:rsid w:val="00C65E13"/>
    <w:rsid w:val="00C76252"/>
    <w:rsid w:val="00C873BB"/>
    <w:rsid w:val="00C90930"/>
    <w:rsid w:val="00C97363"/>
    <w:rsid w:val="00CA3358"/>
    <w:rsid w:val="00CB4078"/>
    <w:rsid w:val="00CC7CA5"/>
    <w:rsid w:val="00CE5D55"/>
    <w:rsid w:val="00CE5FBB"/>
    <w:rsid w:val="00CE69FF"/>
    <w:rsid w:val="00CF1754"/>
    <w:rsid w:val="00D00414"/>
    <w:rsid w:val="00D12075"/>
    <w:rsid w:val="00D22B57"/>
    <w:rsid w:val="00D3618D"/>
    <w:rsid w:val="00D46E49"/>
    <w:rsid w:val="00D50DB8"/>
    <w:rsid w:val="00D67C0B"/>
    <w:rsid w:val="00D71919"/>
    <w:rsid w:val="00D75AF1"/>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2A2"/>
    <w:rsid w:val="00E85E4F"/>
    <w:rsid w:val="00EA15AC"/>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5D0A"/>
    <w:rsid w:val="00F465A2"/>
    <w:rsid w:val="00F47BE3"/>
    <w:rsid w:val="00F5279D"/>
    <w:rsid w:val="00F627A0"/>
    <w:rsid w:val="00F70003"/>
    <w:rsid w:val="00F74AD8"/>
    <w:rsid w:val="00F81C14"/>
    <w:rsid w:val="00F84278"/>
    <w:rsid w:val="00F855D2"/>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3D1D25-57A2-4B44-92A2-8C614791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1D20B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qFormat/>
    <w:rsid w:val="0026557F"/>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26557F"/>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71420">
      <w:bodyDiv w:val="1"/>
      <w:marLeft w:val="0"/>
      <w:marRight w:val="0"/>
      <w:marTop w:val="0"/>
      <w:marBottom w:val="0"/>
      <w:divBdr>
        <w:top w:val="none" w:sz="0" w:space="0" w:color="auto"/>
        <w:left w:val="none" w:sz="0" w:space="0" w:color="auto"/>
        <w:bottom w:val="none" w:sz="0" w:space="0" w:color="auto"/>
        <w:right w:val="none" w:sz="0" w:space="0" w:color="auto"/>
      </w:divBdr>
      <w:divsChild>
        <w:div w:id="1942569410">
          <w:marLeft w:val="0"/>
          <w:marRight w:val="0"/>
          <w:marTop w:val="0"/>
          <w:marBottom w:val="0"/>
          <w:divBdr>
            <w:top w:val="none" w:sz="0" w:space="0" w:color="auto"/>
            <w:left w:val="none" w:sz="0" w:space="0" w:color="auto"/>
            <w:bottom w:val="none" w:sz="0" w:space="0" w:color="auto"/>
            <w:right w:val="none" w:sz="0" w:space="0" w:color="auto"/>
          </w:divBdr>
        </w:div>
      </w:divsChild>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7</Pages>
  <Words>2734</Words>
  <Characters>15038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19</cp:revision>
  <cp:lastPrinted>2019-12-10T02:19:00Z</cp:lastPrinted>
  <dcterms:created xsi:type="dcterms:W3CDTF">2019-11-13T04:30:00Z</dcterms:created>
  <dcterms:modified xsi:type="dcterms:W3CDTF">2020-01-15T18:12:00Z</dcterms:modified>
</cp:coreProperties>
</file>