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255"/>
        <w:tblW w:w="9142" w:type="dxa"/>
        <w:tblLayout w:type="fixed"/>
        <w:tblCellMar>
          <w:left w:w="70" w:type="dxa"/>
          <w:right w:w="70" w:type="dxa"/>
        </w:tblCellMar>
        <w:tblLook w:val="0000" w:firstRow="0" w:lastRow="0" w:firstColumn="0" w:lastColumn="0" w:noHBand="0" w:noVBand="0"/>
      </w:tblPr>
      <w:tblGrid>
        <w:gridCol w:w="2356"/>
        <w:gridCol w:w="6786"/>
      </w:tblGrid>
      <w:tr w:rsidR="00755D02" w:rsidRPr="00FD29ED" w:rsidTr="00260DDA">
        <w:tc>
          <w:tcPr>
            <w:tcW w:w="2356" w:type="dxa"/>
          </w:tcPr>
          <w:p w:rsidR="00755D02" w:rsidRPr="00FD29ED" w:rsidRDefault="00755D02" w:rsidP="00260DDA">
            <w:pPr>
              <w:rPr>
                <w:rFonts w:ascii="Arial" w:hAnsi="Arial" w:cs="Arial"/>
                <w:b/>
                <w:sz w:val="24"/>
                <w:szCs w:val="24"/>
              </w:rPr>
            </w:pPr>
            <w:r w:rsidRPr="00FD29ED">
              <w:rPr>
                <w:rFonts w:ascii="Arial" w:hAnsi="Arial" w:cs="Arial"/>
                <w:b/>
                <w:sz w:val="24"/>
                <w:szCs w:val="24"/>
              </w:rPr>
              <w:t xml:space="preserve">     </w:t>
            </w:r>
          </w:p>
        </w:tc>
        <w:tc>
          <w:tcPr>
            <w:tcW w:w="6786" w:type="dxa"/>
          </w:tcPr>
          <w:p w:rsidR="00755D02" w:rsidRPr="00FD29ED" w:rsidRDefault="00755D02" w:rsidP="00260DDA">
            <w:pPr>
              <w:tabs>
                <w:tab w:val="left" w:pos="3103"/>
              </w:tabs>
              <w:ind w:left="2394"/>
              <w:jc w:val="both"/>
              <w:rPr>
                <w:rFonts w:ascii="Arial" w:hAnsi="Arial" w:cs="Arial"/>
                <w:b/>
                <w:i/>
                <w:iCs/>
                <w:caps/>
                <w:sz w:val="24"/>
                <w:szCs w:val="24"/>
              </w:rPr>
            </w:pPr>
            <w:r w:rsidRPr="00FD29ED">
              <w:rPr>
                <w:rFonts w:ascii="Arial" w:hAnsi="Arial" w:cs="Arial"/>
                <w:b/>
                <w:i/>
                <w:iCs/>
                <w:caps/>
                <w:sz w:val="24"/>
                <w:szCs w:val="24"/>
              </w:rPr>
              <w:t xml:space="preserve">                       </w:t>
            </w:r>
          </w:p>
          <w:p w:rsidR="00755D02" w:rsidRPr="00FD29ED" w:rsidRDefault="00755D02" w:rsidP="00260DDA">
            <w:pPr>
              <w:tabs>
                <w:tab w:val="left" w:pos="3103"/>
              </w:tabs>
              <w:ind w:left="763" w:right="638"/>
              <w:jc w:val="both"/>
              <w:rPr>
                <w:rFonts w:ascii="Arial" w:hAnsi="Arial" w:cs="Arial"/>
                <w:b/>
                <w:iCs/>
                <w:caps/>
                <w:sz w:val="24"/>
                <w:szCs w:val="24"/>
              </w:rPr>
            </w:pPr>
            <w:r w:rsidRPr="00FD29ED">
              <w:rPr>
                <w:rFonts w:ascii="Arial" w:hAnsi="Arial" w:cs="Arial"/>
                <w:b/>
                <w:iCs/>
                <w:caps/>
                <w:sz w:val="24"/>
                <w:szCs w:val="24"/>
              </w:rPr>
              <w:t>SALA SUPERIOR DEL TRIBUNAL DE JUSTICIA ADMINISTRATIVA DEL ESTADO DE OAXACA.</w:t>
            </w:r>
          </w:p>
          <w:p w:rsidR="00755D02" w:rsidRPr="00195BF9" w:rsidRDefault="00755D02" w:rsidP="00260DDA">
            <w:pPr>
              <w:pStyle w:val="Encabezado"/>
              <w:tabs>
                <w:tab w:val="clear" w:pos="4252"/>
              </w:tabs>
              <w:ind w:left="763" w:right="638"/>
              <w:jc w:val="both"/>
              <w:rPr>
                <w:rFonts w:ascii="Arial" w:hAnsi="Arial" w:cs="Arial"/>
                <w:b/>
                <w:iCs/>
                <w:caps/>
                <w:lang w:val="es-PE"/>
              </w:rPr>
            </w:pPr>
            <w:r w:rsidRPr="00195BF9">
              <w:rPr>
                <w:rFonts w:ascii="Arial" w:hAnsi="Arial" w:cs="Arial"/>
                <w:b/>
                <w:iCs/>
                <w:caps/>
                <w:lang w:val="es-PE"/>
              </w:rPr>
              <w:t xml:space="preserve">               </w:t>
            </w:r>
          </w:p>
          <w:p w:rsidR="00755D02" w:rsidRDefault="00755D02" w:rsidP="00260DDA">
            <w:pPr>
              <w:pStyle w:val="Encabezado"/>
              <w:tabs>
                <w:tab w:val="clear" w:pos="4252"/>
              </w:tabs>
              <w:ind w:left="763" w:right="638"/>
              <w:jc w:val="both"/>
              <w:rPr>
                <w:rFonts w:ascii="Arial" w:hAnsi="Arial" w:cs="Arial"/>
                <w:b/>
                <w:iCs/>
                <w:caps/>
                <w:lang w:val="es-PE"/>
              </w:rPr>
            </w:pPr>
            <w:r>
              <w:rPr>
                <w:rFonts w:ascii="Arial" w:hAnsi="Arial" w:cs="Arial"/>
                <w:b/>
                <w:iCs/>
                <w:caps/>
                <w:lang w:val="es-PE"/>
              </w:rPr>
              <w:t>RECURSO DE REVISIÓN:   0018/2019</w:t>
            </w:r>
            <w:r w:rsidRPr="00195BF9">
              <w:rPr>
                <w:rFonts w:ascii="Arial" w:hAnsi="Arial" w:cs="Arial"/>
                <w:b/>
                <w:iCs/>
                <w:caps/>
                <w:lang w:val="es-PE"/>
              </w:rPr>
              <w:t xml:space="preserve"> </w:t>
            </w:r>
          </w:p>
          <w:p w:rsidR="00755D02" w:rsidRDefault="00755D02" w:rsidP="00260DDA">
            <w:pPr>
              <w:pStyle w:val="Encabezado"/>
              <w:tabs>
                <w:tab w:val="clear" w:pos="4252"/>
              </w:tabs>
              <w:ind w:left="763" w:right="638"/>
              <w:jc w:val="both"/>
              <w:rPr>
                <w:rFonts w:ascii="Arial" w:hAnsi="Arial" w:cs="Arial"/>
                <w:b/>
                <w:iCs/>
                <w:caps/>
                <w:lang w:val="es-PE"/>
              </w:rPr>
            </w:pPr>
          </w:p>
          <w:p w:rsidR="00755D02" w:rsidRPr="00195BF9" w:rsidRDefault="00755D02" w:rsidP="00260DDA">
            <w:pPr>
              <w:pStyle w:val="Encabezado"/>
              <w:tabs>
                <w:tab w:val="clear" w:pos="4252"/>
              </w:tabs>
              <w:ind w:left="763" w:right="638"/>
              <w:jc w:val="both"/>
              <w:rPr>
                <w:rFonts w:ascii="Arial" w:hAnsi="Arial" w:cs="Arial"/>
                <w:b/>
                <w:iCs/>
                <w:caps/>
                <w:lang w:val="es-PE"/>
              </w:rPr>
            </w:pPr>
            <w:r>
              <w:rPr>
                <w:rFonts w:ascii="Arial" w:hAnsi="Arial" w:cs="Arial"/>
                <w:b/>
                <w:iCs/>
                <w:caps/>
                <w:lang w:val="es-PE"/>
              </w:rPr>
              <w:t>EXPEDIENTE: 0060/2018</w:t>
            </w:r>
            <w:r w:rsidRPr="00195BF9">
              <w:rPr>
                <w:rFonts w:ascii="Arial" w:hAnsi="Arial" w:cs="Arial"/>
                <w:b/>
                <w:iCs/>
                <w:caps/>
                <w:lang w:val="es-PE"/>
              </w:rPr>
              <w:t xml:space="preserve"> DE LA </w:t>
            </w:r>
            <w:r>
              <w:rPr>
                <w:rFonts w:ascii="Arial" w:hAnsi="Arial" w:cs="Arial"/>
                <w:b/>
                <w:iCs/>
                <w:caps/>
                <w:lang w:val="es-PE"/>
              </w:rPr>
              <w:t xml:space="preserve">PRIMERA SALA UNITARIA DE PRIMERA INSTANCIA </w:t>
            </w:r>
          </w:p>
          <w:p w:rsidR="00755D02" w:rsidRPr="00195BF9" w:rsidRDefault="00755D02" w:rsidP="00260DDA">
            <w:pPr>
              <w:pStyle w:val="Encabezado"/>
              <w:tabs>
                <w:tab w:val="clear" w:pos="4252"/>
              </w:tabs>
              <w:ind w:left="763" w:right="638"/>
              <w:jc w:val="both"/>
              <w:rPr>
                <w:rFonts w:ascii="Arial" w:hAnsi="Arial" w:cs="Arial"/>
                <w:b/>
                <w:iCs/>
                <w:caps/>
                <w:lang w:val="es-PE"/>
              </w:rPr>
            </w:pPr>
            <w:r w:rsidRPr="00195BF9">
              <w:rPr>
                <w:rFonts w:ascii="Arial" w:hAnsi="Arial" w:cs="Arial"/>
                <w:b/>
                <w:iCs/>
                <w:caps/>
                <w:lang w:val="es-PE"/>
              </w:rPr>
              <w:t xml:space="preserve">       </w:t>
            </w:r>
          </w:p>
          <w:p w:rsidR="00755D02" w:rsidRPr="00195BF9" w:rsidRDefault="00755D02" w:rsidP="00260DDA">
            <w:pPr>
              <w:pStyle w:val="Encabezado"/>
              <w:tabs>
                <w:tab w:val="clear" w:pos="4252"/>
              </w:tabs>
              <w:ind w:left="763" w:right="638"/>
              <w:jc w:val="both"/>
              <w:rPr>
                <w:rFonts w:ascii="Arial" w:hAnsi="Arial" w:cs="Arial"/>
                <w:b/>
                <w:iCs/>
                <w:caps/>
                <w:lang w:val="es-PE"/>
              </w:rPr>
            </w:pPr>
            <w:r w:rsidRPr="00195BF9">
              <w:rPr>
                <w:rFonts w:ascii="Arial" w:hAnsi="Arial" w:cs="Arial"/>
                <w:b/>
                <w:iCs/>
                <w:caps/>
                <w:lang w:val="es-PE"/>
              </w:rPr>
              <w:t>ponente:</w:t>
            </w:r>
            <w:r>
              <w:rPr>
                <w:rFonts w:ascii="Arial" w:hAnsi="Arial" w:cs="Arial"/>
                <w:b/>
                <w:iCs/>
                <w:caps/>
                <w:lang w:val="es-PE"/>
              </w:rPr>
              <w:t xml:space="preserve"> </w:t>
            </w:r>
            <w:r w:rsidR="00260DDA">
              <w:rPr>
                <w:rFonts w:ascii="Arial" w:hAnsi="Arial" w:cs="Arial"/>
                <w:b/>
                <w:iCs/>
                <w:caps/>
                <w:lang w:val="es-PE"/>
              </w:rPr>
              <w:t xml:space="preserve"> magistrado </w:t>
            </w:r>
            <w:r>
              <w:rPr>
                <w:rFonts w:ascii="Arial" w:hAnsi="Arial" w:cs="Arial"/>
                <w:b/>
                <w:iCs/>
                <w:caps/>
                <w:lang w:val="es-PE"/>
              </w:rPr>
              <w:t>MANUEL VELASCO ALCÁNTARA</w:t>
            </w:r>
          </w:p>
        </w:tc>
      </w:tr>
    </w:tbl>
    <w:p w:rsidR="00877885" w:rsidRDefault="00877885" w:rsidP="00755D02">
      <w:pPr>
        <w:spacing w:line="360" w:lineRule="auto"/>
        <w:ind w:firstLine="1"/>
        <w:jc w:val="both"/>
        <w:rPr>
          <w:rFonts w:ascii="Arial" w:hAnsi="Arial" w:cs="Arial"/>
          <w:b/>
          <w:sz w:val="26"/>
          <w:szCs w:val="26"/>
        </w:rPr>
      </w:pPr>
    </w:p>
    <w:p w:rsidR="003E13E0" w:rsidRDefault="003E13E0" w:rsidP="00877885">
      <w:pPr>
        <w:spacing w:after="0" w:line="360" w:lineRule="auto"/>
        <w:ind w:firstLine="1"/>
        <w:jc w:val="both"/>
        <w:rPr>
          <w:rFonts w:ascii="Arial" w:hAnsi="Arial" w:cs="Arial"/>
          <w:b/>
          <w:sz w:val="26"/>
          <w:szCs w:val="26"/>
        </w:rPr>
      </w:pPr>
      <w:r>
        <w:rPr>
          <w:rFonts w:ascii="Arial" w:hAnsi="Arial" w:cs="Arial"/>
          <w:b/>
          <w:sz w:val="26"/>
          <w:szCs w:val="26"/>
        </w:rPr>
        <w:t xml:space="preserve">OAXACA DE JUÁREZ, OAXACA, </w:t>
      </w:r>
      <w:r w:rsidR="00755D02">
        <w:rPr>
          <w:rFonts w:ascii="Arial" w:hAnsi="Arial" w:cs="Arial"/>
          <w:b/>
          <w:sz w:val="26"/>
          <w:szCs w:val="26"/>
        </w:rPr>
        <w:t>DIECISÉIS</w:t>
      </w:r>
      <w:r w:rsidR="00755D02" w:rsidRPr="00841BA7">
        <w:rPr>
          <w:rFonts w:ascii="Arial" w:hAnsi="Arial" w:cs="Arial"/>
          <w:b/>
          <w:sz w:val="26"/>
          <w:szCs w:val="26"/>
        </w:rPr>
        <w:t xml:space="preserve"> DE MAYO DE DOS MIL DIECINUEVE</w:t>
      </w:r>
      <w:r>
        <w:rPr>
          <w:rFonts w:ascii="Arial" w:hAnsi="Arial" w:cs="Arial"/>
          <w:b/>
          <w:sz w:val="26"/>
          <w:szCs w:val="26"/>
        </w:rPr>
        <w:t>.</w:t>
      </w:r>
    </w:p>
    <w:p w:rsidR="00755D02" w:rsidRPr="00503684" w:rsidRDefault="00755D02" w:rsidP="00877885">
      <w:pPr>
        <w:spacing w:before="240" w:after="0" w:line="360" w:lineRule="auto"/>
        <w:ind w:firstLine="708"/>
        <w:jc w:val="both"/>
        <w:rPr>
          <w:rFonts w:ascii="Arial" w:hAnsi="Arial" w:cs="Arial"/>
          <w:sz w:val="26"/>
          <w:szCs w:val="26"/>
        </w:rPr>
      </w:pPr>
      <w:r w:rsidRPr="00503684">
        <w:rPr>
          <w:rFonts w:ascii="Arial" w:hAnsi="Arial" w:cs="Arial"/>
          <w:sz w:val="26"/>
          <w:szCs w:val="26"/>
        </w:rPr>
        <w:t xml:space="preserve">Por recibido el Cuaderno de Revisión </w:t>
      </w:r>
      <w:r w:rsidRPr="00503684">
        <w:rPr>
          <w:rFonts w:ascii="Arial" w:hAnsi="Arial" w:cs="Arial"/>
          <w:b/>
          <w:sz w:val="26"/>
          <w:szCs w:val="26"/>
        </w:rPr>
        <w:t>0018/2019</w:t>
      </w:r>
      <w:r w:rsidRPr="00503684">
        <w:rPr>
          <w:rFonts w:ascii="Arial" w:hAnsi="Arial" w:cs="Arial"/>
          <w:sz w:val="26"/>
          <w:szCs w:val="26"/>
        </w:rPr>
        <w:t xml:space="preserve">, que remite la Secretaría General de Acuerdos, con motivo del recurso de revisión interpuesto por </w:t>
      </w:r>
      <w:r w:rsidRPr="00503684">
        <w:rPr>
          <w:rFonts w:ascii="Arial" w:hAnsi="Arial" w:cs="Arial"/>
          <w:b/>
          <w:sz w:val="26"/>
          <w:szCs w:val="26"/>
        </w:rPr>
        <w:t>SILVIA ALEJANDRA PACHECO GARCÍA, JEFA DE LA UNIDAD DE RECAUDACIÓN  DEL MUNICIPIO DE OAXACA DE JUÁREZ</w:t>
      </w:r>
      <w:r w:rsidRPr="00503684">
        <w:rPr>
          <w:rFonts w:ascii="Arial" w:hAnsi="Arial" w:cs="Arial"/>
          <w:sz w:val="26"/>
          <w:szCs w:val="26"/>
        </w:rPr>
        <w:t>, en contra del acuerdo de veintisiete de noviembre</w:t>
      </w:r>
      <w:r>
        <w:rPr>
          <w:rFonts w:ascii="Arial" w:hAnsi="Arial" w:cs="Arial"/>
          <w:sz w:val="26"/>
          <w:szCs w:val="26"/>
        </w:rPr>
        <w:t xml:space="preserve"> de</w:t>
      </w:r>
      <w:r w:rsidRPr="00503684">
        <w:rPr>
          <w:rFonts w:ascii="Arial" w:hAnsi="Arial" w:cs="Arial"/>
          <w:sz w:val="26"/>
          <w:szCs w:val="26"/>
        </w:rPr>
        <w:t xml:space="preserve"> dos mil dieciocho, dictado por la Primera Sala Unitaria de Primera Instancia del Tribunal de Justicia Administrativa del Estado, dentro del expediente </w:t>
      </w:r>
      <w:r w:rsidRPr="00503684">
        <w:rPr>
          <w:rFonts w:ascii="Arial" w:hAnsi="Arial" w:cs="Arial"/>
          <w:b/>
          <w:sz w:val="26"/>
          <w:szCs w:val="26"/>
        </w:rPr>
        <w:t xml:space="preserve">0060/2018 </w:t>
      </w:r>
      <w:r w:rsidRPr="00503684">
        <w:rPr>
          <w:rFonts w:ascii="Arial" w:hAnsi="Arial" w:cs="Arial"/>
          <w:sz w:val="26"/>
          <w:szCs w:val="26"/>
        </w:rPr>
        <w:t>de su índice, relativo al juicio de nulidad promovido por</w:t>
      </w:r>
      <w:r w:rsidRPr="00503684">
        <w:rPr>
          <w:rFonts w:ascii="Arial" w:hAnsi="Arial" w:cs="Arial"/>
          <w:b/>
          <w:sz w:val="26"/>
          <w:szCs w:val="26"/>
        </w:rPr>
        <w:t xml:space="preserve"> </w:t>
      </w:r>
      <w:r w:rsidR="000464F9">
        <w:rPr>
          <w:rFonts w:ascii="Arial" w:hAnsi="Arial" w:cs="Arial"/>
          <w:b/>
          <w:sz w:val="26"/>
          <w:szCs w:val="26"/>
        </w:rPr>
        <w:t>**********</w:t>
      </w:r>
      <w:r w:rsidRPr="00503684">
        <w:rPr>
          <w:rFonts w:ascii="Arial" w:hAnsi="Arial" w:cs="Arial"/>
          <w:sz w:val="26"/>
          <w:szCs w:val="26"/>
        </w:rPr>
        <w:t xml:space="preserve">en contra de </w:t>
      </w:r>
      <w:r w:rsidRPr="00503684">
        <w:rPr>
          <w:rFonts w:ascii="Arial" w:hAnsi="Arial" w:cs="Arial"/>
          <w:b/>
          <w:sz w:val="26"/>
          <w:szCs w:val="26"/>
        </w:rPr>
        <w:t>RICARDO SÁNCHEZ AQUINO, POLICÍA VIAL CON NÚMERO ESTADÍSTICO PV-124</w:t>
      </w:r>
      <w:r w:rsidRPr="00503684">
        <w:rPr>
          <w:rFonts w:ascii="Arial" w:hAnsi="Arial" w:cs="Arial"/>
          <w:sz w:val="26"/>
          <w:szCs w:val="26"/>
        </w:rPr>
        <w:t xml:space="preserve"> </w:t>
      </w:r>
      <w:r w:rsidRPr="00503684">
        <w:rPr>
          <w:rFonts w:ascii="Arial" w:hAnsi="Arial" w:cs="Arial"/>
          <w:b/>
          <w:sz w:val="26"/>
          <w:szCs w:val="26"/>
        </w:rPr>
        <w:t xml:space="preserve">adscrito a la COMISARÍA DE VIALIDAD Y RECAUDADOR DE RENTAS DE LA COORDINACIÓN DE FINANZAS Y ADMINISTRACIÓN, AMBOS DEL MUNICIPIO DE OAXACA DE JUÁREZ, OAXACA; </w:t>
      </w:r>
      <w:r w:rsidRPr="00503684">
        <w:rPr>
          <w:rFonts w:ascii="Arial" w:hAnsi="Arial" w:cs="Arial"/>
          <w:sz w:val="26"/>
          <w:szCs w:val="26"/>
        </w:rPr>
        <w:t>por lo que, con fundamento en lo dispuesto por los artículos 237 y 238 de la Ley de Procedimiento y Justicia Administrativa para el Estado de Oaxaca, se admite.  En consecuencia, se procede a dictar resoluc</w:t>
      </w:r>
      <w:r w:rsidR="003E13E0">
        <w:rPr>
          <w:rFonts w:ascii="Arial" w:hAnsi="Arial" w:cs="Arial"/>
          <w:sz w:val="26"/>
          <w:szCs w:val="26"/>
        </w:rPr>
        <w:t>ión en los siguientes términos:</w:t>
      </w:r>
    </w:p>
    <w:p w:rsidR="00755D02" w:rsidRPr="003E13E0" w:rsidRDefault="00755D02" w:rsidP="003E13E0">
      <w:pPr>
        <w:spacing w:line="360" w:lineRule="auto"/>
        <w:jc w:val="center"/>
        <w:rPr>
          <w:rFonts w:ascii="Arial" w:hAnsi="Arial" w:cs="Arial"/>
          <w:b/>
          <w:bCs/>
          <w:sz w:val="26"/>
          <w:szCs w:val="26"/>
        </w:rPr>
      </w:pPr>
      <w:r w:rsidRPr="00503684">
        <w:rPr>
          <w:rFonts w:ascii="Arial" w:hAnsi="Arial" w:cs="Arial"/>
          <w:b/>
          <w:bCs/>
          <w:sz w:val="26"/>
          <w:szCs w:val="26"/>
        </w:rPr>
        <w:t xml:space="preserve">R E S U L T A </w:t>
      </w:r>
      <w:r w:rsidR="003E13E0">
        <w:rPr>
          <w:rFonts w:ascii="Arial" w:hAnsi="Arial" w:cs="Arial"/>
          <w:b/>
          <w:bCs/>
          <w:sz w:val="26"/>
          <w:szCs w:val="26"/>
        </w:rPr>
        <w:t>N D O</w:t>
      </w:r>
    </w:p>
    <w:p w:rsidR="00755D02" w:rsidRPr="00503684" w:rsidRDefault="00755D02" w:rsidP="003E13E0">
      <w:pPr>
        <w:spacing w:line="360" w:lineRule="auto"/>
        <w:ind w:firstLine="709"/>
        <w:jc w:val="both"/>
        <w:rPr>
          <w:rFonts w:ascii="Arial" w:hAnsi="Arial" w:cs="Arial"/>
          <w:sz w:val="26"/>
          <w:szCs w:val="26"/>
        </w:rPr>
      </w:pPr>
      <w:r w:rsidRPr="00503684">
        <w:rPr>
          <w:rFonts w:ascii="Arial" w:hAnsi="Arial" w:cs="Arial"/>
          <w:b/>
          <w:bCs/>
          <w:sz w:val="26"/>
          <w:szCs w:val="26"/>
        </w:rPr>
        <w:t xml:space="preserve">PRIMERO. </w:t>
      </w:r>
      <w:r w:rsidRPr="00503684">
        <w:rPr>
          <w:rFonts w:ascii="Arial" w:hAnsi="Arial" w:cs="Arial"/>
          <w:sz w:val="26"/>
          <w:szCs w:val="26"/>
        </w:rPr>
        <w:t>Inconforme con el acuerdo de</w:t>
      </w:r>
      <w:r>
        <w:rPr>
          <w:rFonts w:ascii="Arial" w:hAnsi="Arial" w:cs="Arial"/>
          <w:sz w:val="26"/>
          <w:szCs w:val="26"/>
        </w:rPr>
        <w:t xml:space="preserve"> </w:t>
      </w:r>
      <w:r w:rsidRPr="00503684">
        <w:rPr>
          <w:rFonts w:ascii="Arial" w:hAnsi="Arial" w:cs="Arial"/>
          <w:sz w:val="26"/>
          <w:szCs w:val="26"/>
        </w:rPr>
        <w:t xml:space="preserve">veintisiete de noviembre de  dos mil dieciocho,  dictado por la Primera Sala Unitaria de Primera Instancia de este Tribunal, </w:t>
      </w:r>
      <w:r w:rsidRPr="00503684">
        <w:rPr>
          <w:rFonts w:ascii="Arial" w:hAnsi="Arial" w:cs="Arial"/>
          <w:b/>
          <w:sz w:val="26"/>
          <w:szCs w:val="26"/>
        </w:rPr>
        <w:t>SILVIA ALEJANDRA PACHECO GARCÍA, JEFA DE LA UNIDAD DE RECAUDACIÓN  DEL MUNICIPIO DE OAXACA DE JUÁREZ</w:t>
      </w:r>
      <w:r w:rsidRPr="00503684">
        <w:rPr>
          <w:rFonts w:ascii="Arial" w:hAnsi="Arial" w:cs="Arial"/>
          <w:sz w:val="26"/>
          <w:szCs w:val="26"/>
        </w:rPr>
        <w:t xml:space="preserve">, interpuso en </w:t>
      </w:r>
      <w:r w:rsidR="003E13E0">
        <w:rPr>
          <w:rFonts w:ascii="Arial" w:hAnsi="Arial" w:cs="Arial"/>
          <w:sz w:val="26"/>
          <w:szCs w:val="26"/>
        </w:rPr>
        <w:t xml:space="preserve">su contra recurso de revisión. </w:t>
      </w:r>
    </w:p>
    <w:p w:rsidR="00755D02" w:rsidRPr="003E13E0" w:rsidRDefault="00755D02" w:rsidP="00755D02">
      <w:pPr>
        <w:spacing w:line="360" w:lineRule="auto"/>
        <w:jc w:val="both"/>
        <w:rPr>
          <w:rFonts w:ascii="Arial" w:hAnsi="Arial" w:cs="Arial"/>
          <w:sz w:val="26"/>
          <w:szCs w:val="26"/>
        </w:rPr>
      </w:pPr>
      <w:r w:rsidRPr="00503684">
        <w:rPr>
          <w:rFonts w:ascii="Arial" w:hAnsi="Arial" w:cs="Arial"/>
          <w:b/>
          <w:bCs/>
          <w:sz w:val="26"/>
          <w:szCs w:val="26"/>
        </w:rPr>
        <w:lastRenderedPageBreak/>
        <w:tab/>
        <w:t xml:space="preserve">SEGUNDO.- </w:t>
      </w:r>
      <w:r w:rsidRPr="00503684">
        <w:rPr>
          <w:rFonts w:ascii="Arial" w:hAnsi="Arial" w:cs="Arial"/>
          <w:sz w:val="26"/>
          <w:szCs w:val="26"/>
        </w:rPr>
        <w:t xml:space="preserve">Los puntos resolutivos del acuerdo </w:t>
      </w:r>
      <w:r w:rsidR="003E13E0">
        <w:rPr>
          <w:rFonts w:ascii="Arial" w:hAnsi="Arial" w:cs="Arial"/>
          <w:sz w:val="26"/>
          <w:szCs w:val="26"/>
        </w:rPr>
        <w:t>son los siguientes</w:t>
      </w:r>
      <w:r w:rsidR="00877885">
        <w:rPr>
          <w:rFonts w:ascii="Arial" w:hAnsi="Arial" w:cs="Arial"/>
          <w:sz w:val="26"/>
          <w:szCs w:val="26"/>
        </w:rPr>
        <w:t>:</w:t>
      </w:r>
    </w:p>
    <w:p w:rsidR="00755D02" w:rsidRPr="004C7005" w:rsidRDefault="00755D02" w:rsidP="00260DDA">
      <w:pPr>
        <w:spacing w:after="0"/>
        <w:ind w:left="1134" w:right="850" w:firstLine="426"/>
        <w:jc w:val="both"/>
        <w:rPr>
          <w:i/>
        </w:rPr>
      </w:pPr>
      <w:r w:rsidRPr="004C7005">
        <w:rPr>
          <w:i/>
        </w:rPr>
        <w:t>“</w:t>
      </w:r>
      <w:r w:rsidRPr="004C7005">
        <w:rPr>
          <w:b/>
          <w:i/>
        </w:rPr>
        <w:t>PRIMERO</w:t>
      </w:r>
      <w:r w:rsidRPr="004C7005">
        <w:rPr>
          <w:i/>
        </w:rPr>
        <w:t>.- Esta Primera Sala Unitaria del Tribunal de Justicia Administrativa del Estado de Oaxaca, es competente para conocer y resolver el presente juicio. - - - - - - - - - - - - - - - - - - - - - - - -</w:t>
      </w:r>
      <w:r>
        <w:rPr>
          <w:i/>
        </w:rPr>
        <w:t xml:space="preserve"> </w:t>
      </w:r>
      <w:r w:rsidRPr="004C7005">
        <w:rPr>
          <w:i/>
        </w:rPr>
        <w:t xml:space="preserve">- - - - - - - - - </w:t>
      </w:r>
    </w:p>
    <w:p w:rsidR="00755D02" w:rsidRPr="004C7005" w:rsidRDefault="00755D02" w:rsidP="00260DDA">
      <w:pPr>
        <w:spacing w:after="0"/>
        <w:ind w:left="1134" w:right="850" w:firstLine="426"/>
        <w:jc w:val="both"/>
        <w:rPr>
          <w:i/>
        </w:rPr>
      </w:pPr>
      <w:r w:rsidRPr="004C7005">
        <w:rPr>
          <w:b/>
          <w:i/>
        </w:rPr>
        <w:t>SEGUNDO.</w:t>
      </w:r>
      <w:r w:rsidRPr="004C7005">
        <w:rPr>
          <w:i/>
        </w:rPr>
        <w:t xml:space="preserve">- La personalidad de las partes quedó acreditada dentro del considerando SEGUNDO de esta sentencia. - - - - - - - - - - - - </w:t>
      </w:r>
    </w:p>
    <w:p w:rsidR="00755D02" w:rsidRPr="004C7005" w:rsidRDefault="00755D02" w:rsidP="00260DDA">
      <w:pPr>
        <w:spacing w:after="0"/>
        <w:ind w:left="1134" w:right="850" w:firstLine="426"/>
        <w:jc w:val="both"/>
        <w:rPr>
          <w:i/>
        </w:rPr>
      </w:pPr>
      <w:r w:rsidRPr="004C7005">
        <w:rPr>
          <w:b/>
          <w:i/>
        </w:rPr>
        <w:t>TERCERO.-</w:t>
      </w:r>
      <w:r w:rsidRPr="004C7005">
        <w:rPr>
          <w:i/>
        </w:rPr>
        <w:t xml:space="preserve"> Esta Sala advierte que, en el presente juicio no se configura alguna causal de improcedencia o sobreseimiento expuesto dentro del considerando TERCERO, por lo tanto, </w:t>
      </w:r>
      <w:r w:rsidRPr="004C7005">
        <w:rPr>
          <w:b/>
          <w:i/>
        </w:rPr>
        <w:t>NO SE SOBRESEE.</w:t>
      </w:r>
      <w:r>
        <w:rPr>
          <w:b/>
          <w:i/>
        </w:rPr>
        <w:t xml:space="preserve">- - - </w:t>
      </w:r>
    </w:p>
    <w:p w:rsidR="00755D02" w:rsidRPr="004C7005" w:rsidRDefault="00755D02" w:rsidP="00260DDA">
      <w:pPr>
        <w:spacing w:after="0"/>
        <w:ind w:left="1134" w:right="850" w:firstLine="426"/>
        <w:jc w:val="both"/>
        <w:rPr>
          <w:i/>
        </w:rPr>
      </w:pPr>
      <w:r w:rsidRPr="004C7005">
        <w:rPr>
          <w:b/>
          <w:i/>
        </w:rPr>
        <w:t>CUARTO</w:t>
      </w:r>
      <w:r w:rsidRPr="004C7005">
        <w:rPr>
          <w:i/>
        </w:rPr>
        <w:t xml:space="preserve">.- Se declara la </w:t>
      </w:r>
      <w:r w:rsidRPr="004C7005">
        <w:rPr>
          <w:b/>
          <w:i/>
        </w:rPr>
        <w:t>NULIDAD LISA Y LLANA</w:t>
      </w:r>
      <w:r w:rsidRPr="004C7005">
        <w:rPr>
          <w:i/>
        </w:rPr>
        <w:t xml:space="preserve"> del acta de infracción con número de folio 37485 del 28 veintiocho de mayo de dos mil dieciocho, emitida por RICARDO SÁNCHEZ AQUINO, Policía Vial con número estadístico PV-124, adscrito a la Comisaría de Vialidad Municipal de Oaxaca de Juárez, Oaxaca como lo accesorio sigue a la suerte de lo principal, se ordena dar de baja del sistema electrónico y/o documental el acta de infracción, así también se ordena al Recaudador Municipal de Oaxaca de Juárez realice la devolución de la cantidad que ampara el recibo oficial con número de folio HGO05300000438501 de fecha 29 veintinueve de mayo de 2018 dos mil dieciocho, por la cantidad de $1,268.00 (UN MIL DOSCIENTOS SESENTA Y OCHO PESOS 00/100 M.N.), el cual fue pagado indebidamente a la Recaudación de Rentas dependiente de la Coordinación de Finanzas y Administración del Municipio de Oaxaca de Juárez, Oaxaca por las razones ya expuestas en el considerando CUARTO de esta sentencia.</w:t>
      </w:r>
      <w:r>
        <w:rPr>
          <w:i/>
        </w:rPr>
        <w:t xml:space="preserve">- - - - - - - - - - - - - - - - - - - - - - - - - - - - - </w:t>
      </w:r>
    </w:p>
    <w:p w:rsidR="00755D02" w:rsidRPr="00A17A10" w:rsidRDefault="00755D02" w:rsidP="00260DDA">
      <w:pPr>
        <w:spacing w:after="0"/>
        <w:ind w:left="1134" w:right="850" w:firstLine="426"/>
        <w:jc w:val="both"/>
        <w:rPr>
          <w:i/>
        </w:rPr>
      </w:pPr>
      <w:r w:rsidRPr="004C7005">
        <w:rPr>
          <w:b/>
          <w:i/>
        </w:rPr>
        <w:t>QUINTO</w:t>
      </w:r>
      <w:r w:rsidRPr="004C7005">
        <w:rPr>
          <w:i/>
        </w:rPr>
        <w:t xml:space="preserve">.- Conforme a lo dispuesto en los artículos 172 y 173 de la Ley de Procedimiento y Justicia Administrativa para el Estado de Oaxaca, </w:t>
      </w:r>
      <w:r w:rsidRPr="004C7005">
        <w:rPr>
          <w:b/>
          <w:i/>
        </w:rPr>
        <w:t>NOTIFÍQUESE</w:t>
      </w:r>
      <w:r w:rsidRPr="004C7005">
        <w:rPr>
          <w:i/>
        </w:rPr>
        <w:t xml:space="preserve"> personalmente a la parte actora, por oficio a las autoridades demandadas y </w:t>
      </w:r>
      <w:r w:rsidRPr="004C7005">
        <w:rPr>
          <w:b/>
          <w:i/>
        </w:rPr>
        <w:t>CÚMPLASE.</w:t>
      </w:r>
      <w:r w:rsidRPr="004C7005">
        <w:rPr>
          <w:i/>
        </w:rPr>
        <w:t xml:space="preserve"> </w:t>
      </w:r>
      <w:r>
        <w:rPr>
          <w:i/>
        </w:rPr>
        <w:t>…</w:t>
      </w:r>
      <w:r w:rsidRPr="00195BF9">
        <w:rPr>
          <w:rFonts w:ascii="Arial" w:hAnsi="Arial" w:cs="Arial"/>
          <w:bCs/>
          <w:i/>
          <w:iCs/>
        </w:rPr>
        <w:t>”</w:t>
      </w:r>
    </w:p>
    <w:p w:rsidR="00755D02" w:rsidRPr="00503684" w:rsidRDefault="00755D02" w:rsidP="00755D02">
      <w:pPr>
        <w:spacing w:before="240" w:line="360" w:lineRule="auto"/>
        <w:jc w:val="center"/>
        <w:rPr>
          <w:rFonts w:ascii="Arial" w:hAnsi="Arial" w:cs="Arial"/>
          <w:b/>
          <w:bCs/>
          <w:sz w:val="26"/>
          <w:szCs w:val="26"/>
        </w:rPr>
      </w:pPr>
      <w:r w:rsidRPr="00503684">
        <w:rPr>
          <w:rFonts w:ascii="Arial" w:hAnsi="Arial" w:cs="Arial"/>
          <w:b/>
          <w:bCs/>
          <w:sz w:val="26"/>
          <w:szCs w:val="26"/>
        </w:rPr>
        <w:t>C O N S I D E R A N D O</w:t>
      </w:r>
    </w:p>
    <w:p w:rsidR="00755D02" w:rsidRPr="00170E8D" w:rsidRDefault="00755D02" w:rsidP="00755D02">
      <w:pPr>
        <w:widowControl w:val="0"/>
        <w:tabs>
          <w:tab w:val="left" w:pos="7938"/>
        </w:tabs>
        <w:spacing w:before="240" w:line="360" w:lineRule="auto"/>
        <w:ind w:right="18" w:firstLine="709"/>
        <w:jc w:val="both"/>
        <w:rPr>
          <w:rFonts w:ascii="Arial" w:hAnsi="Arial" w:cs="Arial"/>
          <w:sz w:val="26"/>
          <w:szCs w:val="26"/>
          <w:lang w:eastAsia="es-ES"/>
        </w:rPr>
      </w:pPr>
      <w:r w:rsidRPr="00195BF9">
        <w:rPr>
          <w:rFonts w:ascii="Arial" w:hAnsi="Arial" w:cs="Arial"/>
          <w:b/>
          <w:bCs/>
          <w:iCs/>
          <w:sz w:val="24"/>
          <w:szCs w:val="24"/>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120,125, 127, 129, 130 fracción I, 131, 231, 236 y 23</w:t>
      </w:r>
      <w:r w:rsidRPr="00F37C43">
        <w:rPr>
          <w:rFonts w:ascii="Arial" w:hAnsi="Arial" w:cs="Arial"/>
          <w:bCs/>
          <w:iCs/>
          <w:sz w:val="26"/>
          <w:szCs w:val="26"/>
        </w:rPr>
        <w:t xml:space="preserve">8 de la Ley de </w:t>
      </w:r>
      <w:r>
        <w:rPr>
          <w:rFonts w:ascii="Arial" w:hAnsi="Arial" w:cs="Arial"/>
          <w:bCs/>
          <w:iCs/>
          <w:sz w:val="26"/>
          <w:szCs w:val="26"/>
        </w:rPr>
        <w:t>Procedimiento y</w:t>
      </w:r>
      <w:r w:rsidRPr="00F37C43">
        <w:rPr>
          <w:rFonts w:ascii="Arial" w:hAnsi="Arial" w:cs="Arial"/>
          <w:bCs/>
          <w:iCs/>
          <w:sz w:val="26"/>
          <w:szCs w:val="26"/>
        </w:rPr>
        <w:t xml:space="preserve"> Justicia Administrativa para el Estado de Oaxaca, </w:t>
      </w:r>
      <w:r w:rsidRPr="00B64B48">
        <w:rPr>
          <w:rFonts w:ascii="Arial" w:hAnsi="Arial" w:cs="Arial"/>
          <w:bCs/>
          <w:iCs/>
          <w:sz w:val="26"/>
          <w:szCs w:val="26"/>
        </w:rPr>
        <w:t>dado que se trata de un Recurso de Revisión interpuesto en contra e</w:t>
      </w:r>
      <w:r>
        <w:rPr>
          <w:rFonts w:ascii="Arial" w:hAnsi="Arial" w:cs="Arial"/>
          <w:bCs/>
          <w:iCs/>
          <w:sz w:val="26"/>
          <w:szCs w:val="26"/>
        </w:rPr>
        <w:t>l</w:t>
      </w:r>
      <w:r w:rsidRPr="00B64B48">
        <w:rPr>
          <w:rFonts w:ascii="Arial" w:hAnsi="Arial" w:cs="Arial"/>
          <w:bCs/>
          <w:iCs/>
          <w:sz w:val="26"/>
          <w:szCs w:val="26"/>
        </w:rPr>
        <w:t xml:space="preserve"> </w:t>
      </w:r>
      <w:r w:rsidRPr="00005B84">
        <w:rPr>
          <w:rFonts w:ascii="Arial" w:hAnsi="Arial" w:cs="Arial"/>
          <w:bCs/>
          <w:iCs/>
          <w:sz w:val="26"/>
          <w:szCs w:val="26"/>
        </w:rPr>
        <w:t xml:space="preserve">acuerdo </w:t>
      </w:r>
      <w:r>
        <w:rPr>
          <w:rFonts w:ascii="Arial" w:hAnsi="Arial" w:cs="Arial"/>
          <w:bCs/>
          <w:iCs/>
          <w:sz w:val="26"/>
          <w:szCs w:val="26"/>
        </w:rPr>
        <w:t>de</w:t>
      </w:r>
      <w:r w:rsidRPr="00005B84">
        <w:rPr>
          <w:rFonts w:ascii="Arial" w:hAnsi="Arial" w:cs="Arial"/>
          <w:bCs/>
          <w:iCs/>
          <w:sz w:val="26"/>
          <w:szCs w:val="26"/>
        </w:rPr>
        <w:t xml:space="preserve"> veintisiete de noviembre</w:t>
      </w:r>
      <w:r>
        <w:rPr>
          <w:rFonts w:ascii="Arial" w:hAnsi="Arial" w:cs="Arial"/>
          <w:bCs/>
          <w:iCs/>
          <w:sz w:val="26"/>
          <w:szCs w:val="26"/>
        </w:rPr>
        <w:t xml:space="preserve"> de</w:t>
      </w:r>
      <w:r w:rsidRPr="00005B84">
        <w:rPr>
          <w:rFonts w:ascii="Arial" w:hAnsi="Arial" w:cs="Arial"/>
          <w:bCs/>
          <w:iCs/>
          <w:sz w:val="26"/>
          <w:szCs w:val="26"/>
        </w:rPr>
        <w:t xml:space="preserve"> dos mil dieciocho</w:t>
      </w:r>
      <w:r>
        <w:rPr>
          <w:rFonts w:ascii="Arial" w:hAnsi="Arial" w:cs="Arial"/>
          <w:sz w:val="26"/>
          <w:szCs w:val="26"/>
        </w:rPr>
        <w:t>, dictado por la Primera Sala Unitaria de Primera Instancia del Tribunal</w:t>
      </w:r>
      <w:r w:rsidRPr="00A52F58">
        <w:rPr>
          <w:rFonts w:ascii="Arial" w:hAnsi="Arial" w:cs="Arial"/>
          <w:bCs/>
          <w:iCs/>
          <w:sz w:val="26"/>
          <w:szCs w:val="26"/>
        </w:rPr>
        <w:t xml:space="preserve"> </w:t>
      </w:r>
      <w:r>
        <w:rPr>
          <w:rFonts w:ascii="Arial" w:hAnsi="Arial" w:cs="Arial"/>
          <w:bCs/>
          <w:iCs/>
          <w:sz w:val="26"/>
          <w:szCs w:val="26"/>
        </w:rPr>
        <w:t xml:space="preserve">de </w:t>
      </w:r>
      <w:r w:rsidRPr="00170E8D">
        <w:rPr>
          <w:rFonts w:ascii="Arial" w:hAnsi="Arial" w:cs="Arial"/>
          <w:bCs/>
          <w:iCs/>
          <w:sz w:val="26"/>
          <w:szCs w:val="26"/>
        </w:rPr>
        <w:t xml:space="preserve">Justicia Administrativa del Estado de Oaxaca, </w:t>
      </w:r>
      <w:r w:rsidRPr="00170E8D">
        <w:rPr>
          <w:rFonts w:ascii="Arial" w:hAnsi="Arial" w:cs="Arial"/>
          <w:bCs/>
          <w:iCs/>
          <w:sz w:val="26"/>
          <w:szCs w:val="26"/>
          <w:lang w:eastAsia="es-ES"/>
        </w:rPr>
        <w:t xml:space="preserve">en el expediente </w:t>
      </w:r>
      <w:r>
        <w:rPr>
          <w:rFonts w:ascii="Arial" w:hAnsi="Arial" w:cs="Arial"/>
          <w:b/>
          <w:bCs/>
          <w:iCs/>
          <w:sz w:val="26"/>
          <w:szCs w:val="26"/>
          <w:lang w:eastAsia="es-ES"/>
        </w:rPr>
        <w:t>0060/2018</w:t>
      </w:r>
      <w:r w:rsidRPr="00170E8D">
        <w:rPr>
          <w:rFonts w:ascii="Arial" w:hAnsi="Arial" w:cs="Arial"/>
          <w:b/>
          <w:bCs/>
          <w:iCs/>
          <w:sz w:val="26"/>
          <w:szCs w:val="26"/>
          <w:lang w:eastAsia="es-ES"/>
        </w:rPr>
        <w:t>.</w:t>
      </w:r>
    </w:p>
    <w:p w:rsidR="00755D02" w:rsidRDefault="00755D02" w:rsidP="00755D02">
      <w:pPr>
        <w:widowControl w:val="0"/>
        <w:tabs>
          <w:tab w:val="left" w:pos="7938"/>
          <w:tab w:val="left" w:pos="8222"/>
        </w:tabs>
        <w:spacing w:before="240" w:line="360" w:lineRule="auto"/>
        <w:ind w:right="49" w:firstLine="851"/>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 xml:space="preserve">Los agravios hechos valer se encuentran expuestos en el escrito respectivo del recurrente, por lo que no existe necesidad de transcribirlos, virtud a que ello no implica transgresión a </w:t>
      </w:r>
      <w:r w:rsidRPr="006E349D">
        <w:rPr>
          <w:rFonts w:ascii="Arial" w:hAnsi="Arial" w:cs="Arial"/>
          <w:bCs/>
          <w:sz w:val="26"/>
          <w:szCs w:val="26"/>
        </w:rPr>
        <w:lastRenderedPageBreak/>
        <w:t>derecho alguno del recurrente, como tampoco se vulnera disposición expresa que imponga tal obligación</w:t>
      </w:r>
      <w:r w:rsidRPr="006E349D">
        <w:rPr>
          <w:rFonts w:ascii="Arial" w:hAnsi="Arial" w:cs="Arial"/>
          <w:sz w:val="26"/>
          <w:szCs w:val="26"/>
        </w:rPr>
        <w:t>.</w:t>
      </w:r>
    </w:p>
    <w:p w:rsidR="00755D02" w:rsidRDefault="00755D02" w:rsidP="00755D02">
      <w:pPr>
        <w:spacing w:before="240" w:after="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3E13E0" w:rsidRDefault="00755D02" w:rsidP="00755D02">
      <w:pPr>
        <w:spacing w:before="240" w:after="240"/>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w:t>
      </w:r>
      <w:r w:rsidR="003E13E0">
        <w:rPr>
          <w:rFonts w:cs="Calibri"/>
          <w:bCs/>
          <w:i/>
          <w:color w:val="000000"/>
        </w:rPr>
        <w:t>n cuando no transcritos.(sic)”.</w:t>
      </w:r>
    </w:p>
    <w:p w:rsidR="00755D02" w:rsidRDefault="00755D02" w:rsidP="00755D02">
      <w:pPr>
        <w:widowControl w:val="0"/>
        <w:tabs>
          <w:tab w:val="left" w:pos="7938"/>
        </w:tabs>
        <w:spacing w:before="240" w:line="360" w:lineRule="auto"/>
        <w:ind w:right="18" w:firstLine="709"/>
        <w:jc w:val="both"/>
        <w:rPr>
          <w:rFonts w:ascii="Arial" w:hAnsi="Arial" w:cs="Arial"/>
          <w:sz w:val="26"/>
          <w:szCs w:val="26"/>
        </w:rPr>
      </w:pPr>
      <w:r w:rsidRPr="00341404">
        <w:rPr>
          <w:rFonts w:ascii="Arial" w:hAnsi="Arial" w:cs="Arial"/>
          <w:b/>
          <w:bCs/>
          <w:sz w:val="26"/>
          <w:szCs w:val="26"/>
        </w:rPr>
        <w:t>TERCERO</w:t>
      </w:r>
      <w:r w:rsidRPr="006E349D">
        <w:rPr>
          <w:rFonts w:ascii="Arial" w:hAnsi="Arial" w:cs="Arial"/>
          <w:b/>
          <w:bCs/>
          <w:sz w:val="26"/>
          <w:szCs w:val="26"/>
        </w:rPr>
        <w:t>.</w:t>
      </w:r>
      <w:r>
        <w:rPr>
          <w:rFonts w:ascii="Arial" w:hAnsi="Arial" w:cs="Arial"/>
          <w:b/>
          <w:bCs/>
          <w:sz w:val="26"/>
          <w:szCs w:val="26"/>
        </w:rPr>
        <w:t>-</w:t>
      </w:r>
      <w:r w:rsidRPr="006E349D">
        <w:rPr>
          <w:rFonts w:ascii="Arial" w:hAnsi="Arial" w:cs="Arial"/>
          <w:b/>
          <w:bCs/>
          <w:sz w:val="26"/>
          <w:szCs w:val="26"/>
        </w:rPr>
        <w:t xml:space="preserve"> </w:t>
      </w:r>
      <w:r>
        <w:rPr>
          <w:rFonts w:ascii="Arial" w:hAnsi="Arial" w:cs="Arial"/>
          <w:bCs/>
          <w:sz w:val="26"/>
          <w:szCs w:val="26"/>
        </w:rPr>
        <w:t>De las constancias de autos remitidas para la resolución del presente asunto</w:t>
      </w:r>
      <w:r>
        <w:rPr>
          <w:rFonts w:ascii="Arial" w:hAnsi="Arial" w:cs="Arial"/>
          <w:sz w:val="26"/>
          <w:szCs w:val="26"/>
        </w:rPr>
        <w:t xml:space="preserve">, las cuales tienen valor probatorio pleno, en términos del artículo 203, fracción I, de la </w:t>
      </w:r>
      <w:r w:rsidRPr="00A82A43">
        <w:rPr>
          <w:rFonts w:ascii="Arial" w:hAnsi="Arial" w:cs="Arial"/>
          <w:sz w:val="26"/>
          <w:szCs w:val="26"/>
        </w:rPr>
        <w:t xml:space="preserve">Ley de Procedimiento </w:t>
      </w:r>
      <w:r>
        <w:rPr>
          <w:rFonts w:ascii="Arial" w:hAnsi="Arial" w:cs="Arial"/>
          <w:sz w:val="26"/>
          <w:szCs w:val="26"/>
        </w:rPr>
        <w:t xml:space="preserve">y Justicia Administrativa para el Estado, por tratarse de actuaciones judiciales, se advierte que quien promueve recurso de revisión en contra del </w:t>
      </w:r>
      <w:r w:rsidRPr="00A82A43">
        <w:rPr>
          <w:rFonts w:ascii="Arial" w:hAnsi="Arial" w:cs="Arial"/>
          <w:sz w:val="26"/>
          <w:szCs w:val="26"/>
        </w:rPr>
        <w:t>acuerdo de veintisiete de novi</w:t>
      </w:r>
      <w:r>
        <w:rPr>
          <w:rFonts w:ascii="Arial" w:hAnsi="Arial" w:cs="Arial"/>
          <w:sz w:val="26"/>
          <w:szCs w:val="26"/>
        </w:rPr>
        <w:t xml:space="preserve">embre de dos mil dieciocho, es </w:t>
      </w:r>
      <w:r w:rsidRPr="00503684">
        <w:rPr>
          <w:rFonts w:ascii="Arial" w:hAnsi="Arial" w:cs="Arial"/>
          <w:b/>
          <w:sz w:val="26"/>
          <w:szCs w:val="26"/>
        </w:rPr>
        <w:t>SILVIA ALEJANDRA PACHECO GARCÍA, JEFA DE LA UNIDAD DE RECAUDACIÓN  DEL MUNICIPIO DE OAXACA DE JUÁREZ</w:t>
      </w:r>
      <w:r>
        <w:rPr>
          <w:rFonts w:ascii="Arial" w:hAnsi="Arial" w:cs="Arial"/>
          <w:sz w:val="26"/>
          <w:szCs w:val="26"/>
        </w:rPr>
        <w:t>.</w:t>
      </w:r>
    </w:p>
    <w:p w:rsidR="00755D02" w:rsidRDefault="00755D02" w:rsidP="00755D02">
      <w:pPr>
        <w:widowControl w:val="0"/>
        <w:tabs>
          <w:tab w:val="left" w:pos="7938"/>
        </w:tabs>
        <w:spacing w:before="240" w:line="360" w:lineRule="auto"/>
        <w:ind w:right="18" w:firstLine="709"/>
        <w:jc w:val="both"/>
        <w:rPr>
          <w:rFonts w:ascii="Arial" w:hAnsi="Arial" w:cs="Arial"/>
          <w:sz w:val="26"/>
          <w:szCs w:val="26"/>
        </w:rPr>
      </w:pPr>
      <w:r>
        <w:rPr>
          <w:rFonts w:ascii="Arial" w:hAnsi="Arial" w:cs="Arial"/>
          <w:sz w:val="26"/>
          <w:szCs w:val="26"/>
        </w:rPr>
        <w:t xml:space="preserve">En este tenor, cabe señalar que los artículos 163 y 236 de la Ley de </w:t>
      </w:r>
      <w:r w:rsidRPr="00A82A43">
        <w:rPr>
          <w:rFonts w:ascii="Arial" w:hAnsi="Arial" w:cs="Arial"/>
          <w:sz w:val="26"/>
          <w:szCs w:val="26"/>
        </w:rPr>
        <w:t>Procedimiento</w:t>
      </w:r>
      <w:r>
        <w:rPr>
          <w:rFonts w:ascii="Arial" w:hAnsi="Arial" w:cs="Arial"/>
          <w:sz w:val="26"/>
          <w:szCs w:val="26"/>
        </w:rPr>
        <w:t xml:space="preserve"> y Justicia Administrativa para el Estado de Oaxaca, establecen quiénes son las partes y cuáles son los acuerdos y resoluciones que pueden ser impugnados, mediante recurso de revisión en el juicio contencioso administrativo, mismos que establecen:</w:t>
      </w:r>
    </w:p>
    <w:p w:rsidR="00755D02" w:rsidRPr="00AE0FB1" w:rsidRDefault="00755D02" w:rsidP="00755D02">
      <w:pPr>
        <w:ind w:right="709" w:firstLine="708"/>
        <w:jc w:val="both"/>
        <w:rPr>
          <w:rFonts w:cs="Calibri"/>
          <w:i/>
        </w:rPr>
      </w:pPr>
      <w:r>
        <w:rPr>
          <w:rFonts w:cs="Calibri"/>
          <w:b/>
          <w:bCs/>
          <w:i/>
        </w:rPr>
        <w:t>“ARTÍCULO 16</w:t>
      </w:r>
      <w:r w:rsidRPr="00AE0FB1">
        <w:rPr>
          <w:rFonts w:cs="Calibri"/>
          <w:b/>
          <w:bCs/>
          <w:i/>
        </w:rPr>
        <w:t xml:space="preserve">3.- </w:t>
      </w:r>
      <w:r w:rsidRPr="00AE0FB1">
        <w:rPr>
          <w:rFonts w:cs="Calibri"/>
          <w:i/>
        </w:rPr>
        <w:t>Son partes en el juicio contencioso administrativo:</w:t>
      </w:r>
    </w:p>
    <w:p w:rsidR="00755D02" w:rsidRPr="00AE0FB1" w:rsidRDefault="00755D02" w:rsidP="00755D02">
      <w:pPr>
        <w:ind w:right="709" w:firstLine="708"/>
        <w:jc w:val="both"/>
        <w:rPr>
          <w:rFonts w:cs="Calibri"/>
          <w:i/>
        </w:rPr>
      </w:pPr>
      <w:r w:rsidRPr="00AE0FB1">
        <w:rPr>
          <w:rFonts w:cs="Calibri"/>
          <w:i/>
        </w:rPr>
        <w:t>…</w:t>
      </w:r>
    </w:p>
    <w:p w:rsidR="00755D02" w:rsidRPr="00AE0FB1" w:rsidRDefault="00755D02" w:rsidP="00755D02">
      <w:pPr>
        <w:pStyle w:val="Default"/>
        <w:ind w:right="709" w:firstLine="708"/>
        <w:jc w:val="both"/>
        <w:rPr>
          <w:rFonts w:ascii="Calibri" w:hAnsi="Calibri" w:cs="Calibri"/>
          <w:i/>
          <w:sz w:val="22"/>
          <w:szCs w:val="22"/>
        </w:rPr>
      </w:pPr>
      <w:r w:rsidRPr="00AE0FB1">
        <w:rPr>
          <w:rFonts w:ascii="Calibri" w:hAnsi="Calibri" w:cs="Calibri"/>
          <w:i/>
          <w:sz w:val="22"/>
          <w:szCs w:val="22"/>
        </w:rPr>
        <w:t>II. El demandado. Tendrá ese carácter:</w:t>
      </w:r>
    </w:p>
    <w:p w:rsidR="00755D02" w:rsidRPr="00AE0FB1" w:rsidRDefault="00755D02" w:rsidP="00755D02">
      <w:pPr>
        <w:pStyle w:val="Default"/>
        <w:ind w:right="709" w:firstLine="568"/>
        <w:jc w:val="both"/>
        <w:rPr>
          <w:rFonts w:ascii="Calibri" w:hAnsi="Calibri" w:cs="Calibri"/>
          <w:i/>
          <w:sz w:val="22"/>
          <w:szCs w:val="22"/>
        </w:rPr>
      </w:pPr>
      <w:r w:rsidRPr="00AE0FB1">
        <w:rPr>
          <w:rFonts w:ascii="Calibri" w:hAnsi="Calibri" w:cs="Calibri"/>
          <w:i/>
          <w:sz w:val="22"/>
          <w:szCs w:val="22"/>
        </w:rPr>
        <w:t>a) La autoridad que dicte, ordene, ejecute o trate de ejecutar el acto impugnado, o que omita dar respuesta a las peticiones o instancias de los particulares;</w:t>
      </w:r>
    </w:p>
    <w:p w:rsidR="00755D02" w:rsidRPr="00AE0FB1" w:rsidRDefault="00755D02" w:rsidP="00755D02">
      <w:pPr>
        <w:ind w:firstLine="568"/>
        <w:jc w:val="both"/>
        <w:rPr>
          <w:rFonts w:cs="Calibri"/>
          <w:i/>
          <w:vertAlign w:val="superscript"/>
        </w:rPr>
      </w:pPr>
      <w:r w:rsidRPr="00AE0FB1">
        <w:rPr>
          <w:rFonts w:cs="Calibri"/>
          <w:i/>
        </w:rPr>
        <w:t>…”</w:t>
      </w:r>
    </w:p>
    <w:p w:rsidR="00755D02" w:rsidRPr="00AE0FB1" w:rsidRDefault="00755D02" w:rsidP="00755D02">
      <w:pPr>
        <w:ind w:firstLine="568"/>
        <w:jc w:val="both"/>
        <w:rPr>
          <w:rFonts w:cs="Calibri"/>
          <w:i/>
        </w:rPr>
      </w:pPr>
      <w:r w:rsidRPr="00AE0FB1">
        <w:rPr>
          <w:rFonts w:cs="Calibri"/>
          <w:b/>
          <w:i/>
        </w:rPr>
        <w:t>“</w:t>
      </w:r>
      <w:r>
        <w:rPr>
          <w:rFonts w:cs="Calibri"/>
          <w:b/>
          <w:i/>
        </w:rPr>
        <w:t>ARTÍCULO 23</w:t>
      </w:r>
      <w:r w:rsidRPr="00AE0FB1">
        <w:rPr>
          <w:rFonts w:cs="Calibri"/>
          <w:b/>
          <w:i/>
        </w:rPr>
        <w:t>6.-</w:t>
      </w:r>
      <w:r w:rsidRPr="00AE0FB1">
        <w:rPr>
          <w:rFonts w:cs="Calibri"/>
          <w:i/>
        </w:rPr>
        <w:t xml:space="preserve"> Contra los acuerdos y resoluciones dictadas por los </w:t>
      </w:r>
      <w:r>
        <w:rPr>
          <w:rFonts w:cs="Calibri"/>
          <w:i/>
        </w:rPr>
        <w:t>s</w:t>
      </w:r>
      <w:r w:rsidRPr="00AE0FB1">
        <w:rPr>
          <w:rFonts w:cs="Calibri"/>
          <w:i/>
        </w:rPr>
        <w:t xml:space="preserve">alas </w:t>
      </w:r>
      <w:r>
        <w:rPr>
          <w:rFonts w:cs="Calibri"/>
          <w:i/>
        </w:rPr>
        <w:t xml:space="preserve">unitarias </w:t>
      </w:r>
      <w:r w:rsidRPr="00AE0FB1">
        <w:rPr>
          <w:rFonts w:cs="Calibri"/>
          <w:i/>
        </w:rPr>
        <w:t xml:space="preserve">de </w:t>
      </w:r>
      <w:r>
        <w:rPr>
          <w:rFonts w:cs="Calibri"/>
          <w:i/>
        </w:rPr>
        <w:t>p</w:t>
      </w:r>
      <w:r w:rsidRPr="00AE0FB1">
        <w:rPr>
          <w:rFonts w:cs="Calibri"/>
          <w:i/>
        </w:rPr>
        <w:t xml:space="preserve">rimera </w:t>
      </w:r>
      <w:r>
        <w:rPr>
          <w:rFonts w:cs="Calibri"/>
          <w:i/>
        </w:rPr>
        <w:t>i</w:t>
      </w:r>
      <w:r w:rsidRPr="00AE0FB1">
        <w:rPr>
          <w:rFonts w:cs="Calibri"/>
          <w:i/>
        </w:rPr>
        <w:t>nstancia, procede el recurso de revisión, cuyo conocimiento y resolución corresponde a la Sala Superior.</w:t>
      </w:r>
    </w:p>
    <w:p w:rsidR="00755D02" w:rsidRPr="00AE0FB1" w:rsidRDefault="00755D02" w:rsidP="00755D02">
      <w:pPr>
        <w:ind w:firstLine="568"/>
        <w:jc w:val="both"/>
        <w:rPr>
          <w:rFonts w:cs="Calibri"/>
          <w:i/>
        </w:rPr>
      </w:pPr>
      <w:r>
        <w:rPr>
          <w:rFonts w:cs="Calibri"/>
          <w:i/>
        </w:rPr>
        <w:lastRenderedPageBreak/>
        <w:t>Podrán ser impugnada</w:t>
      </w:r>
      <w:r w:rsidRPr="00AE0FB1">
        <w:rPr>
          <w:rFonts w:cs="Calibri"/>
          <w:i/>
        </w:rPr>
        <w:t xml:space="preserve">s por las partes, mediante recurso de revisión: </w:t>
      </w:r>
    </w:p>
    <w:p w:rsidR="00755D02" w:rsidRPr="00AE0FB1" w:rsidRDefault="00755D02" w:rsidP="00755D02">
      <w:pPr>
        <w:numPr>
          <w:ilvl w:val="0"/>
          <w:numId w:val="7"/>
        </w:numPr>
        <w:spacing w:after="0" w:line="240" w:lineRule="auto"/>
        <w:ind w:left="1418" w:hanging="851"/>
        <w:jc w:val="both"/>
        <w:rPr>
          <w:rFonts w:cs="Calibri"/>
          <w:i/>
        </w:rPr>
      </w:pPr>
      <w:r w:rsidRPr="00AE0FB1">
        <w:rPr>
          <w:rFonts w:cs="Calibri"/>
          <w:i/>
        </w:rPr>
        <w:t xml:space="preserve"> </w:t>
      </w:r>
      <w:r w:rsidRPr="00AE0FB1">
        <w:rPr>
          <w:rFonts w:cs="Calibri"/>
          <w:i/>
        </w:rPr>
        <w:tab/>
        <w:t xml:space="preserve">Los acuerdos que admitan o desechen la demanda, su contestación o  ampliación; </w:t>
      </w:r>
    </w:p>
    <w:p w:rsidR="00755D02" w:rsidRPr="00AE0FB1" w:rsidRDefault="00755D02" w:rsidP="00755D02">
      <w:pPr>
        <w:numPr>
          <w:ilvl w:val="0"/>
          <w:numId w:val="7"/>
        </w:numPr>
        <w:spacing w:after="0" w:line="240" w:lineRule="auto"/>
        <w:ind w:left="1418" w:hanging="851"/>
        <w:jc w:val="both"/>
        <w:rPr>
          <w:rFonts w:cs="Calibri"/>
          <w:i/>
        </w:rPr>
      </w:pPr>
      <w:r w:rsidRPr="00AE0FB1">
        <w:rPr>
          <w:rFonts w:cs="Calibri"/>
          <w:i/>
        </w:rPr>
        <w:t xml:space="preserve">El acuerdo que deseche pruebas; </w:t>
      </w:r>
    </w:p>
    <w:p w:rsidR="00755D02" w:rsidRPr="00AE0FB1" w:rsidRDefault="00755D02" w:rsidP="00755D02">
      <w:pPr>
        <w:numPr>
          <w:ilvl w:val="0"/>
          <w:numId w:val="7"/>
        </w:numPr>
        <w:spacing w:after="0" w:line="240" w:lineRule="auto"/>
        <w:ind w:left="1418" w:hanging="851"/>
        <w:jc w:val="both"/>
        <w:rPr>
          <w:rFonts w:cs="Calibri"/>
          <w:i/>
        </w:rPr>
      </w:pPr>
      <w:r w:rsidRPr="00AE0FB1">
        <w:rPr>
          <w:rFonts w:cs="Calibri"/>
          <w:i/>
        </w:rPr>
        <w:t xml:space="preserve">El acuerdo que rechace la intervención del tercero; </w:t>
      </w:r>
    </w:p>
    <w:p w:rsidR="00755D02" w:rsidRPr="00AE0FB1" w:rsidRDefault="00755D02" w:rsidP="00755D02">
      <w:pPr>
        <w:numPr>
          <w:ilvl w:val="0"/>
          <w:numId w:val="7"/>
        </w:numPr>
        <w:spacing w:after="0" w:line="240" w:lineRule="auto"/>
        <w:ind w:left="1418" w:hanging="851"/>
        <w:jc w:val="both"/>
        <w:rPr>
          <w:rFonts w:cs="Calibri"/>
          <w:i/>
        </w:rPr>
      </w:pPr>
      <w:r w:rsidRPr="00AE0FB1">
        <w:rPr>
          <w:rFonts w:cs="Calibri"/>
          <w:i/>
        </w:rPr>
        <w:t>Los acuerdos que decreten, nieguen  o revoquen la suspensión;</w:t>
      </w:r>
    </w:p>
    <w:p w:rsidR="00755D02" w:rsidRPr="00AE0FB1" w:rsidRDefault="00755D02" w:rsidP="00755D02">
      <w:pPr>
        <w:numPr>
          <w:ilvl w:val="0"/>
          <w:numId w:val="7"/>
        </w:numPr>
        <w:spacing w:after="0" w:line="240" w:lineRule="auto"/>
        <w:ind w:left="1418" w:hanging="851"/>
        <w:jc w:val="both"/>
        <w:rPr>
          <w:rFonts w:cs="Calibri"/>
          <w:i/>
        </w:rPr>
      </w:pPr>
      <w:r w:rsidRPr="00AE0FB1">
        <w:rPr>
          <w:rFonts w:cs="Calibri"/>
          <w:i/>
        </w:rPr>
        <w:t>Las resoluciones que decidan incidentes</w:t>
      </w:r>
      <w:r>
        <w:rPr>
          <w:rFonts w:cs="Calibri"/>
          <w:i/>
        </w:rPr>
        <w:t xml:space="preserve"> a que se refiere el artículo 224 de esta Ley</w:t>
      </w:r>
      <w:r w:rsidRPr="00AE0FB1">
        <w:rPr>
          <w:rFonts w:cs="Calibri"/>
          <w:i/>
        </w:rPr>
        <w:t>;</w:t>
      </w:r>
    </w:p>
    <w:p w:rsidR="00755D02" w:rsidRPr="00AE0FB1" w:rsidRDefault="00755D02" w:rsidP="00755D02">
      <w:pPr>
        <w:numPr>
          <w:ilvl w:val="0"/>
          <w:numId w:val="7"/>
        </w:numPr>
        <w:spacing w:after="0" w:line="240" w:lineRule="auto"/>
        <w:ind w:left="1418" w:hanging="851"/>
        <w:jc w:val="both"/>
        <w:rPr>
          <w:rFonts w:cs="Calibri"/>
          <w:i/>
        </w:rPr>
      </w:pPr>
      <w:r w:rsidRPr="00AE0FB1">
        <w:rPr>
          <w:rFonts w:cs="Calibri"/>
          <w:i/>
        </w:rPr>
        <w:t xml:space="preserve">Las resoluciones que decreten o nieguen el sobreseimiento; </w:t>
      </w:r>
    </w:p>
    <w:p w:rsidR="00755D02" w:rsidRDefault="00755D02" w:rsidP="00755D02">
      <w:pPr>
        <w:numPr>
          <w:ilvl w:val="0"/>
          <w:numId w:val="7"/>
        </w:numPr>
        <w:spacing w:after="0" w:line="240" w:lineRule="auto"/>
        <w:ind w:left="1418" w:hanging="851"/>
        <w:jc w:val="both"/>
        <w:rPr>
          <w:rFonts w:cs="Calibri"/>
          <w:i/>
        </w:rPr>
      </w:pPr>
      <w:r>
        <w:rPr>
          <w:rFonts w:cs="Calibri"/>
          <w:i/>
        </w:rPr>
        <w:t>Las sentencias que decidan la cuestión planteada</w:t>
      </w:r>
      <w:r w:rsidRPr="00C12943">
        <w:rPr>
          <w:rFonts w:cs="Calibri"/>
          <w:i/>
        </w:rPr>
        <w:t>;</w:t>
      </w:r>
    </w:p>
    <w:p w:rsidR="00755D02" w:rsidRPr="00C12943" w:rsidRDefault="00755D02" w:rsidP="00755D02">
      <w:pPr>
        <w:numPr>
          <w:ilvl w:val="0"/>
          <w:numId w:val="7"/>
        </w:numPr>
        <w:spacing w:after="0" w:line="240" w:lineRule="auto"/>
        <w:ind w:left="1418" w:hanging="851"/>
        <w:jc w:val="both"/>
        <w:rPr>
          <w:rFonts w:cs="Calibri"/>
          <w:i/>
        </w:rPr>
      </w:pPr>
      <w:r>
        <w:rPr>
          <w:rFonts w:cs="Calibri"/>
          <w:i/>
        </w:rPr>
        <w:t>Por violaciones cometidas durante el procedimiento del juicio, cuando hayan dejado sin defensa al recurrente y trasciendan al sentido de la sentencia;</w:t>
      </w:r>
      <w:r w:rsidRPr="00C12943">
        <w:rPr>
          <w:rFonts w:cs="Calibri"/>
          <w:i/>
        </w:rPr>
        <w:t xml:space="preserve"> y</w:t>
      </w:r>
    </w:p>
    <w:p w:rsidR="00755D02" w:rsidRDefault="00755D02" w:rsidP="00260DDA">
      <w:pPr>
        <w:numPr>
          <w:ilvl w:val="0"/>
          <w:numId w:val="7"/>
        </w:numPr>
        <w:spacing w:after="0" w:line="240" w:lineRule="auto"/>
        <w:ind w:left="1418" w:hanging="708"/>
        <w:jc w:val="both"/>
        <w:rPr>
          <w:rFonts w:cs="Calibri"/>
          <w:i/>
        </w:rPr>
      </w:pPr>
      <w:r w:rsidRPr="00AE0FB1">
        <w:rPr>
          <w:rFonts w:cs="Calibri"/>
          <w:i/>
        </w:rPr>
        <w:t>Las resoluciones que pongan fin al procedimiento de ejecución de la sentencia.”</w:t>
      </w:r>
    </w:p>
    <w:p w:rsidR="00260DDA" w:rsidRPr="00260DDA" w:rsidRDefault="00260DDA" w:rsidP="00260DDA">
      <w:pPr>
        <w:spacing w:after="0" w:line="240" w:lineRule="auto"/>
        <w:ind w:left="1418"/>
        <w:jc w:val="both"/>
        <w:rPr>
          <w:rFonts w:cs="Calibri"/>
          <w:i/>
        </w:rPr>
      </w:pPr>
    </w:p>
    <w:p w:rsidR="00755D02" w:rsidRDefault="00755D02" w:rsidP="00755D02">
      <w:pPr>
        <w:spacing w:after="120" w:line="360" w:lineRule="auto"/>
        <w:ind w:firstLine="567"/>
        <w:jc w:val="both"/>
        <w:rPr>
          <w:rFonts w:ascii="Arial" w:hAnsi="Arial" w:cs="Arial"/>
          <w:bCs/>
          <w:sz w:val="26"/>
          <w:szCs w:val="26"/>
        </w:rPr>
      </w:pPr>
      <w:r w:rsidRPr="00EC6ACF">
        <w:rPr>
          <w:rFonts w:ascii="Arial" w:hAnsi="Arial" w:cs="Arial"/>
          <w:sz w:val="26"/>
          <w:szCs w:val="26"/>
        </w:rPr>
        <w:t>De lo que se colige, que dicho</w:t>
      </w:r>
      <w:r>
        <w:rPr>
          <w:rFonts w:ascii="Arial" w:hAnsi="Arial" w:cs="Arial"/>
          <w:sz w:val="26"/>
          <w:szCs w:val="26"/>
        </w:rPr>
        <w:t>s</w:t>
      </w:r>
      <w:r w:rsidRPr="00EC6ACF">
        <w:rPr>
          <w:rFonts w:ascii="Arial" w:hAnsi="Arial" w:cs="Arial"/>
          <w:sz w:val="26"/>
          <w:szCs w:val="26"/>
        </w:rPr>
        <w:t xml:space="preserve"> numeral</w:t>
      </w:r>
      <w:r>
        <w:rPr>
          <w:rFonts w:ascii="Arial" w:hAnsi="Arial" w:cs="Arial"/>
          <w:sz w:val="26"/>
          <w:szCs w:val="26"/>
        </w:rPr>
        <w:t>es</w:t>
      </w:r>
      <w:r w:rsidRPr="00EC6ACF">
        <w:rPr>
          <w:rFonts w:ascii="Arial" w:hAnsi="Arial" w:cs="Arial"/>
          <w:sz w:val="26"/>
          <w:szCs w:val="26"/>
        </w:rPr>
        <w:t xml:space="preserve"> prev</w:t>
      </w:r>
      <w:r>
        <w:rPr>
          <w:rFonts w:ascii="Arial" w:hAnsi="Arial" w:cs="Arial"/>
          <w:sz w:val="26"/>
          <w:szCs w:val="26"/>
        </w:rPr>
        <w:t>én</w:t>
      </w:r>
      <w:r w:rsidRPr="00EC6ACF">
        <w:rPr>
          <w:rFonts w:ascii="Arial" w:hAnsi="Arial" w:cs="Arial"/>
          <w:sz w:val="26"/>
          <w:szCs w:val="26"/>
        </w:rPr>
        <w:t xml:space="preserve"> la impugnación de </w:t>
      </w:r>
      <w:r>
        <w:rPr>
          <w:rFonts w:ascii="Arial" w:hAnsi="Arial" w:cs="Arial"/>
          <w:sz w:val="26"/>
          <w:szCs w:val="26"/>
        </w:rPr>
        <w:t xml:space="preserve">los </w:t>
      </w:r>
      <w:r w:rsidRPr="00EC6ACF">
        <w:rPr>
          <w:rFonts w:ascii="Arial" w:hAnsi="Arial" w:cs="Arial"/>
          <w:sz w:val="26"/>
          <w:szCs w:val="26"/>
        </w:rPr>
        <w:t>acuerdos</w:t>
      </w:r>
      <w:r>
        <w:rPr>
          <w:rFonts w:ascii="Arial" w:hAnsi="Arial" w:cs="Arial"/>
          <w:sz w:val="26"/>
          <w:szCs w:val="26"/>
        </w:rPr>
        <w:t xml:space="preserve"> y resoluciones, pero sólo por las partes que intervienen en el juicio de nulidad.</w:t>
      </w:r>
    </w:p>
    <w:p w:rsidR="00755D02" w:rsidRDefault="00755D02" w:rsidP="00755D02">
      <w:pPr>
        <w:spacing w:after="120" w:line="360" w:lineRule="auto"/>
        <w:ind w:firstLine="567"/>
        <w:jc w:val="both"/>
        <w:rPr>
          <w:rFonts w:ascii="Arial" w:hAnsi="Arial" w:cs="Arial"/>
          <w:bCs/>
          <w:sz w:val="26"/>
          <w:szCs w:val="26"/>
        </w:rPr>
      </w:pPr>
      <w:r w:rsidRPr="000E3D58">
        <w:rPr>
          <w:rFonts w:ascii="Arial" w:hAnsi="Arial" w:cs="Arial"/>
          <w:bCs/>
          <w:sz w:val="26"/>
          <w:szCs w:val="26"/>
        </w:rPr>
        <w:t>Ahora, si bien es cierto que resulta ser parte en el juicio contencioso el actor, la autoridad demandada y el tercero afectado, de conformidad con lo establecido con el artículo 163 de la Ley de la materia, y de acuerdo a las constancias que integran el expediente de primera instancia, que merecen pleno valor probatorio de conformidad co</w:t>
      </w:r>
      <w:r>
        <w:rPr>
          <w:rFonts w:ascii="Arial" w:hAnsi="Arial" w:cs="Arial"/>
          <w:bCs/>
          <w:sz w:val="26"/>
          <w:szCs w:val="26"/>
        </w:rPr>
        <w:t>n lo dispuesto por el artículo 203,</w:t>
      </w:r>
      <w:r w:rsidRPr="000E3D58">
        <w:rPr>
          <w:rFonts w:ascii="Arial" w:hAnsi="Arial" w:cs="Arial"/>
          <w:bCs/>
          <w:sz w:val="26"/>
          <w:szCs w:val="26"/>
        </w:rPr>
        <w:t xml:space="preserve"> fracción I</w:t>
      </w:r>
      <w:r>
        <w:rPr>
          <w:rFonts w:ascii="Arial" w:hAnsi="Arial" w:cs="Arial"/>
          <w:bCs/>
          <w:sz w:val="26"/>
          <w:szCs w:val="26"/>
        </w:rPr>
        <w:t>,</w:t>
      </w:r>
      <w:r w:rsidRPr="000E3D58">
        <w:rPr>
          <w:rFonts w:ascii="Arial" w:hAnsi="Arial" w:cs="Arial"/>
          <w:bCs/>
          <w:sz w:val="26"/>
          <w:szCs w:val="26"/>
        </w:rPr>
        <w:t xml:space="preserve"> de la Ley de Justicia Administrativa para el Estado, se establece que </w:t>
      </w:r>
      <w:r w:rsidRPr="00503684">
        <w:rPr>
          <w:rFonts w:ascii="Arial" w:hAnsi="Arial" w:cs="Arial"/>
          <w:b/>
          <w:sz w:val="26"/>
          <w:szCs w:val="26"/>
        </w:rPr>
        <w:t>SILVIA ALEJANDRA PACHECO GARCÍA, JEFA DE LA UNIDAD DE RECAUDACIÓN  DEL MUNICIPIO DE OAXACA DE JUÁREZ</w:t>
      </w:r>
      <w:r w:rsidRPr="000E3D58">
        <w:rPr>
          <w:rFonts w:ascii="Arial" w:hAnsi="Arial" w:cs="Arial"/>
          <w:bCs/>
          <w:sz w:val="26"/>
          <w:szCs w:val="26"/>
        </w:rPr>
        <w:t xml:space="preserve"> resulta ser autoridad demandada; lo cierto también es, que el acto impugnado y </w:t>
      </w:r>
      <w:r>
        <w:rPr>
          <w:rFonts w:ascii="Arial" w:hAnsi="Arial" w:cs="Arial"/>
          <w:bCs/>
          <w:sz w:val="26"/>
          <w:szCs w:val="26"/>
        </w:rPr>
        <w:t>d</w:t>
      </w:r>
      <w:r w:rsidRPr="000E3D58">
        <w:rPr>
          <w:rFonts w:ascii="Arial" w:hAnsi="Arial" w:cs="Arial"/>
          <w:bCs/>
          <w:sz w:val="26"/>
          <w:szCs w:val="26"/>
        </w:rPr>
        <w:t xml:space="preserve">el cual se declaró su nulidad, lo constituye el acta de infracción folio </w:t>
      </w:r>
      <w:r>
        <w:rPr>
          <w:rFonts w:ascii="Arial" w:hAnsi="Arial" w:cs="Arial"/>
          <w:bCs/>
          <w:sz w:val="26"/>
          <w:szCs w:val="26"/>
        </w:rPr>
        <w:t>37485</w:t>
      </w:r>
      <w:r w:rsidRPr="000E3D58">
        <w:rPr>
          <w:rFonts w:ascii="Arial" w:hAnsi="Arial" w:cs="Arial"/>
          <w:bCs/>
          <w:sz w:val="26"/>
          <w:szCs w:val="26"/>
        </w:rPr>
        <w:t xml:space="preserve"> de </w:t>
      </w:r>
      <w:r>
        <w:rPr>
          <w:rFonts w:ascii="Arial" w:hAnsi="Arial" w:cs="Arial"/>
          <w:bCs/>
          <w:sz w:val="26"/>
          <w:szCs w:val="26"/>
        </w:rPr>
        <w:t>veintiocho de mayo de dos mil dieciocho</w:t>
      </w:r>
      <w:r w:rsidRPr="000E3D58">
        <w:rPr>
          <w:rFonts w:ascii="Arial" w:hAnsi="Arial" w:cs="Arial"/>
          <w:bCs/>
          <w:sz w:val="26"/>
          <w:szCs w:val="26"/>
        </w:rPr>
        <w:t>.</w:t>
      </w:r>
    </w:p>
    <w:p w:rsidR="00755D02" w:rsidRDefault="00755D02" w:rsidP="00755D02">
      <w:pPr>
        <w:spacing w:after="120" w:line="360" w:lineRule="auto"/>
        <w:ind w:firstLine="567"/>
        <w:jc w:val="both"/>
        <w:rPr>
          <w:rFonts w:ascii="Arial" w:hAnsi="Arial" w:cs="Arial"/>
          <w:bCs/>
          <w:sz w:val="26"/>
          <w:szCs w:val="26"/>
        </w:rPr>
      </w:pPr>
      <w:r w:rsidRPr="000E3D58">
        <w:rPr>
          <w:rFonts w:ascii="Arial" w:hAnsi="Arial" w:cs="Arial"/>
          <w:bCs/>
          <w:sz w:val="26"/>
          <w:szCs w:val="26"/>
        </w:rPr>
        <w:t>Acto que fue atribuido a autoridad diversa a la que hoy recurre, como así fue determinado en la sentencia en revisión, al indicar que fue levantada por el Pol</w:t>
      </w:r>
      <w:r>
        <w:rPr>
          <w:rFonts w:ascii="Arial" w:hAnsi="Arial" w:cs="Arial"/>
          <w:bCs/>
          <w:sz w:val="26"/>
          <w:szCs w:val="26"/>
        </w:rPr>
        <w:t xml:space="preserve">icía vial adscrito a la Comisaría </w:t>
      </w:r>
      <w:r w:rsidRPr="000E3D58">
        <w:rPr>
          <w:rFonts w:ascii="Arial" w:hAnsi="Arial" w:cs="Arial"/>
          <w:bCs/>
          <w:sz w:val="26"/>
          <w:szCs w:val="26"/>
        </w:rPr>
        <w:t xml:space="preserve">de </w:t>
      </w:r>
      <w:r>
        <w:rPr>
          <w:rFonts w:ascii="Arial" w:hAnsi="Arial" w:cs="Arial"/>
          <w:bCs/>
          <w:sz w:val="26"/>
          <w:szCs w:val="26"/>
        </w:rPr>
        <w:t>Vialidad Municipal</w:t>
      </w:r>
      <w:r w:rsidRPr="000E3D58">
        <w:rPr>
          <w:rFonts w:ascii="Arial" w:hAnsi="Arial" w:cs="Arial"/>
          <w:bCs/>
          <w:sz w:val="26"/>
          <w:szCs w:val="26"/>
        </w:rPr>
        <w:t xml:space="preserve"> de Oaxaca de Juárez, Oaxaca, en donde aun cuando </w:t>
      </w:r>
      <w:r w:rsidRPr="00503684">
        <w:rPr>
          <w:rFonts w:ascii="Arial" w:hAnsi="Arial" w:cs="Arial"/>
          <w:b/>
          <w:sz w:val="26"/>
          <w:szCs w:val="26"/>
        </w:rPr>
        <w:t>SILVIA ALEJANDRA PACHECO GARCÍA, JEFA DE LA UNIDAD DE RECAUDACIÓN  DEL MUNICIPIO DE OAXACA DE JUÁREZ</w:t>
      </w:r>
      <w:r w:rsidRPr="000E3D58">
        <w:rPr>
          <w:rFonts w:ascii="Arial" w:hAnsi="Arial" w:cs="Arial"/>
          <w:bCs/>
          <w:sz w:val="26"/>
          <w:szCs w:val="26"/>
        </w:rPr>
        <w:t xml:space="preserve">,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w:t>
      </w:r>
      <w:r>
        <w:rPr>
          <w:rFonts w:ascii="Arial" w:hAnsi="Arial" w:cs="Arial"/>
          <w:bCs/>
          <w:sz w:val="26"/>
          <w:szCs w:val="26"/>
        </w:rPr>
        <w:t>el auto impugnado</w:t>
      </w:r>
      <w:r w:rsidRPr="000E3D58">
        <w:rPr>
          <w:rFonts w:ascii="Arial" w:hAnsi="Arial" w:cs="Arial"/>
          <w:bCs/>
          <w:sz w:val="26"/>
          <w:szCs w:val="26"/>
        </w:rPr>
        <w:t xml:space="preserve"> le agravie directamente para </w:t>
      </w:r>
      <w:r w:rsidRPr="000E3D58">
        <w:rPr>
          <w:rFonts w:ascii="Arial" w:hAnsi="Arial" w:cs="Arial"/>
          <w:bCs/>
          <w:sz w:val="26"/>
          <w:szCs w:val="26"/>
        </w:rPr>
        <w:lastRenderedPageBreak/>
        <w:t>así ver justificado su interés en que sea modificada o revocada esa decisión.</w:t>
      </w:r>
      <w:r>
        <w:rPr>
          <w:rFonts w:ascii="Arial" w:hAnsi="Arial" w:cs="Arial"/>
          <w:bCs/>
          <w:sz w:val="26"/>
          <w:szCs w:val="26"/>
        </w:rPr>
        <w:t xml:space="preserve"> De tal manera</w:t>
      </w:r>
      <w:r w:rsidRPr="000E3D58">
        <w:rPr>
          <w:rFonts w:ascii="Arial" w:hAnsi="Arial" w:cs="Arial"/>
          <w:bCs/>
          <w:sz w:val="26"/>
          <w:szCs w:val="26"/>
        </w:rPr>
        <w:t xml:space="preserve"> que como sucede en la especie, la nulidad decretada fue respecto del acta de infracción levantada por </w:t>
      </w:r>
      <w:r>
        <w:rPr>
          <w:rFonts w:ascii="Arial" w:hAnsi="Arial" w:cs="Arial"/>
          <w:bCs/>
          <w:sz w:val="26"/>
          <w:szCs w:val="26"/>
        </w:rPr>
        <w:t>el</w:t>
      </w:r>
      <w:r w:rsidRPr="000E3D58">
        <w:rPr>
          <w:rFonts w:ascii="Arial" w:hAnsi="Arial" w:cs="Arial"/>
          <w:bCs/>
          <w:sz w:val="26"/>
          <w:szCs w:val="26"/>
        </w:rPr>
        <w:t xml:space="preserve"> Policía vial adscrito a la </w:t>
      </w:r>
      <w:r>
        <w:rPr>
          <w:rFonts w:ascii="Arial" w:hAnsi="Arial" w:cs="Arial"/>
          <w:bCs/>
          <w:sz w:val="26"/>
          <w:szCs w:val="26"/>
        </w:rPr>
        <w:t xml:space="preserve">Comisaría </w:t>
      </w:r>
      <w:r w:rsidRPr="000E3D58">
        <w:rPr>
          <w:rFonts w:ascii="Arial" w:hAnsi="Arial" w:cs="Arial"/>
          <w:bCs/>
          <w:sz w:val="26"/>
          <w:szCs w:val="26"/>
        </w:rPr>
        <w:t xml:space="preserve">de </w:t>
      </w:r>
      <w:r>
        <w:rPr>
          <w:rFonts w:ascii="Arial" w:hAnsi="Arial" w:cs="Arial"/>
          <w:bCs/>
          <w:sz w:val="26"/>
          <w:szCs w:val="26"/>
        </w:rPr>
        <w:t>Vialidad Municipal</w:t>
      </w:r>
      <w:r w:rsidRPr="000E3D58">
        <w:rPr>
          <w:rFonts w:ascii="Arial" w:hAnsi="Arial" w:cs="Arial"/>
          <w:bCs/>
          <w:sz w:val="26"/>
          <w:szCs w:val="26"/>
        </w:rPr>
        <w:t xml:space="preserve"> de Oaxaca de Juárez, Oaxaca, </w:t>
      </w:r>
      <w:r>
        <w:rPr>
          <w:rFonts w:ascii="Arial" w:hAnsi="Arial" w:cs="Arial"/>
          <w:bCs/>
          <w:sz w:val="26"/>
          <w:szCs w:val="26"/>
        </w:rPr>
        <w:t xml:space="preserve">por lo que </w:t>
      </w:r>
      <w:r w:rsidRPr="000E3D58">
        <w:rPr>
          <w:rFonts w:ascii="Arial" w:hAnsi="Arial" w:cs="Arial"/>
          <w:bCs/>
          <w:sz w:val="26"/>
          <w:szCs w:val="26"/>
        </w:rPr>
        <w:t>solo a dicha autoridad corresponde la legitimación para</w:t>
      </w:r>
      <w:r>
        <w:rPr>
          <w:rFonts w:ascii="Arial" w:hAnsi="Arial" w:cs="Arial"/>
          <w:bCs/>
          <w:sz w:val="26"/>
          <w:szCs w:val="26"/>
        </w:rPr>
        <w:t xml:space="preserve"> impugnar la determinación.</w:t>
      </w:r>
    </w:p>
    <w:p w:rsidR="003E13E0" w:rsidRPr="000E3D58" w:rsidRDefault="00755D02" w:rsidP="003E13E0">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Al respecto de tales consideraciones, tiene aplicación por identidad jurídica del tema toral, la jurisprudencia en materia administrativa, sustentada por el Quinto Tribunal Colegiado de Circuito del Centro Auxiliar de la Quinta Región, publicada en la página 2850 de la Gaceta del semanario Judicial de la Federación, Libro 2, enero de 2014, Tomo IV, Decima Época de rubro y texto siguientes: </w:t>
      </w:r>
    </w:p>
    <w:p w:rsidR="00755D02" w:rsidRDefault="00755D02" w:rsidP="003E13E0">
      <w:pPr>
        <w:spacing w:after="120"/>
        <w:ind w:left="708" w:right="616" w:firstLine="1"/>
        <w:jc w:val="both"/>
        <w:rPr>
          <w:rFonts w:ascii="Arial" w:hAnsi="Arial" w:cs="Arial"/>
          <w:i/>
        </w:rPr>
      </w:pPr>
      <w:r w:rsidRPr="0066509E">
        <w:rPr>
          <w:rFonts w:ascii="Arial" w:hAnsi="Arial" w:cs="Arial"/>
          <w:b/>
          <w:i/>
        </w:rPr>
        <w:t xml:space="preserve"> “REVISIÓN FISCAL. EL SECRETARIO DE HACIENDA Y CRÉDITO PÚBLICO CARECE DE LEGITIMACIÓN PARA INTERPONER DICHO RECURSO, SI NO EMITIÓ LA RESOLUCIÓN IMPUGNADA EN EL JUICIO DE NULIDAD</w:t>
      </w:r>
      <w:r w:rsidRPr="0066509E">
        <w:rPr>
          <w:rFonts w:ascii="Arial" w:hAnsi="Arial" w:cs="Arial"/>
          <w:i/>
        </w:rPr>
        <w:t xml:space="preserve">. 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en representación de un sujeto al que no le agravia directamente la resolución impugnada”.  </w:t>
      </w:r>
    </w:p>
    <w:p w:rsidR="003E13E0" w:rsidRDefault="00755D02" w:rsidP="00260DDA">
      <w:pPr>
        <w:spacing w:after="120" w:line="360" w:lineRule="auto"/>
        <w:ind w:firstLine="708"/>
        <w:jc w:val="both"/>
        <w:rPr>
          <w:rFonts w:ascii="Arial" w:hAnsi="Arial" w:cs="Arial"/>
          <w:bCs/>
          <w:sz w:val="26"/>
          <w:szCs w:val="26"/>
        </w:rPr>
      </w:pPr>
      <w:r>
        <w:rPr>
          <w:rFonts w:ascii="Arial" w:hAnsi="Arial" w:cs="Arial"/>
          <w:bCs/>
          <w:sz w:val="26"/>
          <w:szCs w:val="26"/>
        </w:rPr>
        <w:t xml:space="preserve">Así como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3E13E0" w:rsidRDefault="00755D02" w:rsidP="00260DDA">
      <w:pPr>
        <w:spacing w:after="120"/>
        <w:ind w:left="708" w:right="757"/>
        <w:jc w:val="both"/>
        <w:rPr>
          <w:rFonts w:ascii="Arial" w:hAnsi="Arial" w:cs="Arial"/>
          <w:i/>
        </w:rPr>
      </w:pPr>
      <w:r w:rsidRPr="00D32226">
        <w:rPr>
          <w:rFonts w:ascii="Arial" w:hAnsi="Arial" w:cs="Arial"/>
          <w:i/>
        </w:rPr>
        <w:lastRenderedPageBreak/>
        <w:t>“</w:t>
      </w:r>
      <w:r w:rsidRPr="00D32226">
        <w:rPr>
          <w:rFonts w:ascii="Arial"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755D02" w:rsidRDefault="00755D02" w:rsidP="00755D02">
      <w:pPr>
        <w:spacing w:after="120" w:line="360" w:lineRule="auto"/>
        <w:ind w:right="49"/>
        <w:jc w:val="both"/>
        <w:rPr>
          <w:rFonts w:ascii="Arial" w:hAnsi="Arial" w:cs="Arial"/>
          <w:sz w:val="26"/>
          <w:szCs w:val="26"/>
        </w:rPr>
      </w:pPr>
      <w:r>
        <w:rPr>
          <w:rFonts w:ascii="Arial" w:hAnsi="Arial" w:cs="Arial"/>
          <w:bCs/>
          <w:sz w:val="26"/>
          <w:szCs w:val="26"/>
        </w:rPr>
        <w:t xml:space="preserve"> </w:t>
      </w:r>
      <w:r>
        <w:rPr>
          <w:rFonts w:ascii="Arial" w:hAnsi="Arial" w:cs="Arial"/>
          <w:bCs/>
          <w:sz w:val="26"/>
          <w:szCs w:val="26"/>
        </w:rPr>
        <w:tab/>
      </w:r>
      <w:r w:rsidRPr="009632BE">
        <w:rPr>
          <w:rFonts w:ascii="Arial" w:hAnsi="Arial" w:cs="Arial"/>
          <w:sz w:val="26"/>
          <w:szCs w:val="26"/>
        </w:rPr>
        <w:t>Se reitera, en el caso no le asiste la razón a</w:t>
      </w:r>
      <w:r>
        <w:rPr>
          <w:rFonts w:ascii="Arial" w:hAnsi="Arial" w:cs="Arial"/>
          <w:sz w:val="26"/>
          <w:szCs w:val="26"/>
        </w:rPr>
        <w:t xml:space="preserve"> </w:t>
      </w:r>
      <w:r w:rsidRPr="00503684">
        <w:rPr>
          <w:rFonts w:ascii="Arial" w:hAnsi="Arial" w:cs="Arial"/>
          <w:b/>
          <w:sz w:val="26"/>
          <w:szCs w:val="26"/>
        </w:rPr>
        <w:t>SILVIA ALEJANDRA PACHECO GARCÍA, JEFA DE LA UNIDAD DE RECAUDACIÓN  DEL MUNICIPIO DE OAXACA DE JUÁREZ</w:t>
      </w:r>
      <w:r w:rsidRPr="009632BE">
        <w:rPr>
          <w:rFonts w:ascii="Arial" w:hAnsi="Arial" w:cs="Arial"/>
          <w:sz w:val="26"/>
          <w:szCs w:val="26"/>
        </w:rPr>
        <w:t xml:space="preserve">, para recurrir </w:t>
      </w:r>
      <w:r>
        <w:rPr>
          <w:rFonts w:ascii="Arial" w:hAnsi="Arial" w:cs="Arial"/>
          <w:sz w:val="26"/>
          <w:szCs w:val="26"/>
        </w:rPr>
        <w:t>el auto</w:t>
      </w:r>
      <w:r w:rsidRPr="009632BE">
        <w:rPr>
          <w:rFonts w:ascii="Arial" w:hAnsi="Arial" w:cs="Arial"/>
          <w:sz w:val="26"/>
          <w:szCs w:val="26"/>
        </w:rPr>
        <w:t xml:space="preserve"> en los términos en que lo hace, por las siguientes razones: </w:t>
      </w:r>
      <w:r w:rsidRPr="009632BE">
        <w:rPr>
          <w:rFonts w:ascii="Arial" w:hAnsi="Arial" w:cs="Arial"/>
          <w:b/>
          <w:sz w:val="26"/>
          <w:szCs w:val="26"/>
        </w:rPr>
        <w:t xml:space="preserve">a) </w:t>
      </w:r>
      <w:r w:rsidRPr="009632BE">
        <w:rPr>
          <w:rFonts w:ascii="Arial"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hAnsi="Arial" w:cs="Arial"/>
          <w:b/>
          <w:sz w:val="26"/>
          <w:szCs w:val="26"/>
        </w:rPr>
        <w:t xml:space="preserve">b) </w:t>
      </w:r>
      <w:r w:rsidRPr="009632BE">
        <w:rPr>
          <w:rFonts w:ascii="Arial" w:hAnsi="Arial" w:cs="Arial"/>
          <w:sz w:val="26"/>
          <w:szCs w:val="26"/>
        </w:rPr>
        <w:t>l</w:t>
      </w:r>
      <w:r>
        <w:rPr>
          <w:rFonts w:ascii="Arial" w:hAnsi="Arial" w:cs="Arial"/>
          <w:sz w:val="26"/>
          <w:szCs w:val="26"/>
        </w:rPr>
        <w:t>a</w:t>
      </w:r>
      <w:r w:rsidRPr="009632BE">
        <w:rPr>
          <w:rFonts w:ascii="Arial" w:hAnsi="Arial" w:cs="Arial"/>
          <w:sz w:val="26"/>
          <w:szCs w:val="26"/>
        </w:rPr>
        <w:t xml:space="preserve">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9632BE">
        <w:rPr>
          <w:rFonts w:ascii="Arial" w:hAnsi="Arial" w:cs="Arial"/>
          <w:b/>
          <w:sz w:val="26"/>
          <w:szCs w:val="26"/>
        </w:rPr>
        <w:t xml:space="preserve">c)  </w:t>
      </w:r>
      <w:r w:rsidRPr="009632BE">
        <w:rPr>
          <w:rFonts w:ascii="Arial" w:hAnsi="Arial" w:cs="Arial"/>
          <w:sz w:val="26"/>
          <w:szCs w:val="26"/>
        </w:rPr>
        <w:t xml:space="preserve">en la sentencia se decretó la nulidad del acta de infracción combatida y no la nulidad de la actuación </w:t>
      </w:r>
      <w:r>
        <w:rPr>
          <w:rFonts w:ascii="Arial" w:hAnsi="Arial" w:cs="Arial"/>
          <w:sz w:val="26"/>
          <w:szCs w:val="26"/>
        </w:rPr>
        <w:t xml:space="preserve">que se le atribuye a la </w:t>
      </w:r>
      <w:r w:rsidRPr="009632BE">
        <w:rPr>
          <w:rFonts w:ascii="Arial" w:hAnsi="Arial" w:cs="Arial"/>
          <w:sz w:val="26"/>
          <w:szCs w:val="26"/>
        </w:rPr>
        <w:t xml:space="preserve"> aquí disconforme.</w:t>
      </w:r>
    </w:p>
    <w:p w:rsidR="00755D02" w:rsidRPr="00713971" w:rsidRDefault="00755D02" w:rsidP="00755D02">
      <w:pPr>
        <w:spacing w:before="240" w:line="360" w:lineRule="auto"/>
        <w:ind w:firstLine="708"/>
        <w:jc w:val="both"/>
        <w:rPr>
          <w:rFonts w:ascii="Arial" w:hAnsi="Arial" w:cs="Arial"/>
          <w:sz w:val="26"/>
          <w:szCs w:val="26"/>
        </w:rPr>
      </w:pPr>
      <w:r w:rsidRPr="00713971">
        <w:rPr>
          <w:rFonts w:ascii="Arial" w:hAnsi="Arial" w:cs="Arial"/>
          <w:sz w:val="26"/>
          <w:szCs w:val="26"/>
        </w:rPr>
        <w:t xml:space="preserve">En consecuencia, ante las narradas consideraciones, procede </w:t>
      </w:r>
      <w:r w:rsidR="00276DA9">
        <w:rPr>
          <w:rFonts w:ascii="Arial" w:hAnsi="Arial" w:cs="Arial"/>
          <w:b/>
          <w:sz w:val="26"/>
          <w:szCs w:val="26"/>
        </w:rPr>
        <w:t>DESECHAR POR IMPROCEDENTE</w:t>
      </w:r>
      <w:r w:rsidR="00276DA9">
        <w:rPr>
          <w:rFonts w:ascii="Arial" w:hAnsi="Arial" w:cs="Arial"/>
          <w:sz w:val="26"/>
          <w:szCs w:val="26"/>
        </w:rPr>
        <w:t xml:space="preserve"> el </w:t>
      </w:r>
      <w:r w:rsidR="008B3B96">
        <w:rPr>
          <w:rFonts w:ascii="Arial" w:hAnsi="Arial" w:cs="Arial"/>
          <w:sz w:val="26"/>
          <w:szCs w:val="26"/>
        </w:rPr>
        <w:t>presente Recurso de R</w:t>
      </w:r>
      <w:r w:rsidR="00276DA9">
        <w:rPr>
          <w:rFonts w:ascii="Arial" w:hAnsi="Arial" w:cs="Arial"/>
          <w:sz w:val="26"/>
          <w:szCs w:val="26"/>
        </w:rPr>
        <w:t>evisión</w:t>
      </w:r>
      <w:r w:rsidRPr="00713971">
        <w:rPr>
          <w:rFonts w:ascii="Arial" w:hAnsi="Arial" w:cs="Arial"/>
          <w:sz w:val="26"/>
          <w:szCs w:val="26"/>
        </w:rPr>
        <w:t>.</w:t>
      </w:r>
    </w:p>
    <w:p w:rsidR="00755D02" w:rsidRPr="00713971" w:rsidRDefault="00755D02" w:rsidP="00260DDA">
      <w:pPr>
        <w:spacing w:after="0" w:line="360" w:lineRule="auto"/>
        <w:ind w:firstLine="708"/>
        <w:jc w:val="both"/>
        <w:rPr>
          <w:rFonts w:ascii="Arial" w:hAnsi="Arial" w:cs="Arial"/>
          <w:sz w:val="26"/>
          <w:szCs w:val="26"/>
        </w:rPr>
      </w:pPr>
      <w:r w:rsidRPr="00713971">
        <w:rPr>
          <w:rFonts w:ascii="Arial" w:hAnsi="Arial" w:cs="Arial"/>
          <w:sz w:val="26"/>
          <w:szCs w:val="26"/>
        </w:rPr>
        <w:t>En mérito de lo anterior, con fundamento en los artículos 2</w:t>
      </w:r>
      <w:r>
        <w:rPr>
          <w:rFonts w:ascii="Arial" w:hAnsi="Arial" w:cs="Arial"/>
          <w:sz w:val="26"/>
          <w:szCs w:val="26"/>
        </w:rPr>
        <w:t>3</w:t>
      </w:r>
      <w:r w:rsidRPr="00713971">
        <w:rPr>
          <w:rFonts w:ascii="Arial" w:hAnsi="Arial" w:cs="Arial"/>
          <w:sz w:val="26"/>
          <w:szCs w:val="26"/>
        </w:rPr>
        <w:t>7 y  2</w:t>
      </w:r>
      <w:r>
        <w:rPr>
          <w:rFonts w:ascii="Arial" w:hAnsi="Arial" w:cs="Arial"/>
          <w:sz w:val="26"/>
          <w:szCs w:val="26"/>
        </w:rPr>
        <w:t>3</w:t>
      </w:r>
      <w:r w:rsidRPr="00713971">
        <w:rPr>
          <w:rFonts w:ascii="Arial" w:hAnsi="Arial" w:cs="Arial"/>
          <w:sz w:val="26"/>
          <w:szCs w:val="26"/>
        </w:rPr>
        <w:t>8 de la Ley de</w:t>
      </w:r>
      <w:r>
        <w:rPr>
          <w:rFonts w:ascii="Arial" w:hAnsi="Arial" w:cs="Arial"/>
          <w:sz w:val="26"/>
          <w:szCs w:val="26"/>
        </w:rPr>
        <w:t xml:space="preserve"> Procedimiento y </w:t>
      </w:r>
      <w:r w:rsidRPr="00713971">
        <w:rPr>
          <w:rFonts w:ascii="Arial" w:hAnsi="Arial" w:cs="Arial"/>
          <w:sz w:val="26"/>
          <w:szCs w:val="26"/>
        </w:rPr>
        <w:t>Justicia Administrativa para el Estado, se:</w:t>
      </w:r>
    </w:p>
    <w:p w:rsidR="00260DDA" w:rsidRDefault="00755D02" w:rsidP="00260DDA">
      <w:pPr>
        <w:tabs>
          <w:tab w:val="left" w:pos="1134"/>
        </w:tabs>
        <w:spacing w:after="0" w:line="360" w:lineRule="auto"/>
        <w:jc w:val="center"/>
        <w:rPr>
          <w:rFonts w:ascii="Arial" w:hAnsi="Arial" w:cs="Arial"/>
          <w:b/>
          <w:sz w:val="26"/>
          <w:szCs w:val="26"/>
        </w:rPr>
      </w:pPr>
      <w:r w:rsidRPr="00713971">
        <w:rPr>
          <w:rFonts w:ascii="Arial" w:hAnsi="Arial" w:cs="Arial"/>
          <w:b/>
          <w:sz w:val="26"/>
          <w:szCs w:val="26"/>
        </w:rPr>
        <w:t>R E S U E L V E</w:t>
      </w:r>
    </w:p>
    <w:p w:rsidR="00877885" w:rsidRDefault="00877885" w:rsidP="00260DDA">
      <w:pPr>
        <w:tabs>
          <w:tab w:val="left" w:pos="1134"/>
        </w:tabs>
        <w:spacing w:after="0" w:line="360" w:lineRule="auto"/>
        <w:jc w:val="center"/>
        <w:rPr>
          <w:rFonts w:ascii="Arial" w:hAnsi="Arial" w:cs="Arial"/>
          <w:b/>
          <w:sz w:val="26"/>
          <w:szCs w:val="26"/>
        </w:rPr>
      </w:pPr>
    </w:p>
    <w:p w:rsidR="004356C4" w:rsidRDefault="00877885" w:rsidP="004356C4">
      <w:pPr>
        <w:tabs>
          <w:tab w:val="left" w:pos="1134"/>
        </w:tabs>
        <w:spacing w:after="0" w:line="360" w:lineRule="auto"/>
        <w:jc w:val="both"/>
        <w:rPr>
          <w:rFonts w:ascii="Arial" w:hAnsi="Arial" w:cs="Arial"/>
          <w:sz w:val="26"/>
          <w:szCs w:val="26"/>
        </w:rPr>
      </w:pPr>
      <w:r>
        <w:rPr>
          <w:rFonts w:ascii="Arial" w:hAnsi="Arial" w:cs="Arial"/>
          <w:b/>
          <w:sz w:val="26"/>
          <w:szCs w:val="26"/>
        </w:rPr>
        <w:tab/>
      </w:r>
      <w:r w:rsidR="00755D02" w:rsidRPr="00713971">
        <w:rPr>
          <w:rFonts w:ascii="Arial" w:hAnsi="Arial" w:cs="Arial"/>
          <w:b/>
          <w:sz w:val="26"/>
          <w:szCs w:val="26"/>
        </w:rPr>
        <w:t>PRIMERO</w:t>
      </w:r>
      <w:r w:rsidR="00755D02" w:rsidRPr="00713971">
        <w:rPr>
          <w:rFonts w:ascii="Arial" w:hAnsi="Arial" w:cs="Arial"/>
          <w:sz w:val="26"/>
          <w:szCs w:val="26"/>
        </w:rPr>
        <w:t xml:space="preserve">. Se </w:t>
      </w:r>
      <w:r w:rsidR="00755D02" w:rsidRPr="00713971">
        <w:rPr>
          <w:rFonts w:ascii="Arial" w:hAnsi="Arial" w:cs="Arial"/>
          <w:b/>
          <w:sz w:val="26"/>
          <w:szCs w:val="26"/>
        </w:rPr>
        <w:t>DESECHA POR IMPROCEDENTE</w:t>
      </w:r>
      <w:r w:rsidR="00755D02" w:rsidRPr="00713971">
        <w:rPr>
          <w:rFonts w:ascii="Arial" w:hAnsi="Arial" w:cs="Arial"/>
          <w:sz w:val="26"/>
          <w:szCs w:val="26"/>
        </w:rPr>
        <w:t xml:space="preserve"> el recurso de revisión interpuesto, </w:t>
      </w:r>
      <w:r w:rsidR="00755D02" w:rsidRPr="00713971">
        <w:rPr>
          <w:rFonts w:ascii="Arial" w:hAnsi="Arial" w:cs="Arial"/>
          <w:sz w:val="26"/>
          <w:szCs w:val="26"/>
          <w:lang w:eastAsia="es-ES"/>
        </w:rPr>
        <w:t>por las razones señaladas en el considerando que antecede</w:t>
      </w:r>
      <w:r w:rsidR="00755D02" w:rsidRPr="00713971">
        <w:rPr>
          <w:rFonts w:ascii="Arial" w:hAnsi="Arial" w:cs="Arial"/>
          <w:sz w:val="26"/>
          <w:szCs w:val="26"/>
        </w:rPr>
        <w:t xml:space="preserve">. </w:t>
      </w:r>
    </w:p>
    <w:p w:rsidR="00755D02" w:rsidRPr="00755D02" w:rsidRDefault="004356C4" w:rsidP="004356C4">
      <w:pPr>
        <w:tabs>
          <w:tab w:val="left" w:pos="1134"/>
        </w:tabs>
        <w:spacing w:after="0" w:line="360" w:lineRule="auto"/>
        <w:jc w:val="both"/>
        <w:rPr>
          <w:rFonts w:ascii="Arial" w:hAnsi="Arial" w:cs="Arial"/>
          <w:sz w:val="26"/>
          <w:szCs w:val="26"/>
        </w:rPr>
      </w:pPr>
      <w:r>
        <w:rPr>
          <w:rFonts w:ascii="Arial" w:hAnsi="Arial" w:cs="Arial"/>
          <w:sz w:val="26"/>
          <w:szCs w:val="26"/>
        </w:rPr>
        <w:lastRenderedPageBreak/>
        <w:tab/>
      </w:r>
      <w:r w:rsidR="00755D02" w:rsidRPr="00713971">
        <w:rPr>
          <w:rFonts w:ascii="Arial" w:hAnsi="Arial" w:cs="Arial"/>
          <w:b/>
          <w:sz w:val="26"/>
          <w:szCs w:val="26"/>
        </w:rPr>
        <w:t>SEGUNDO. NOTIFÍQUESE Y CÚMPLASE,</w:t>
      </w:r>
      <w:r w:rsidR="00755D02" w:rsidRPr="00713971">
        <w:rPr>
          <w:rFonts w:ascii="Arial" w:hAnsi="Arial" w:cs="Arial"/>
          <w:sz w:val="26"/>
          <w:szCs w:val="26"/>
        </w:rPr>
        <w:t xml:space="preserve"> con copia certificada de la presente resolución, vuelvan las constancias remitidas a la Sala de origen, y en su oportunidad archívese el cuaderno de revisión como concluido. </w:t>
      </w:r>
      <w:r w:rsidR="00755D02" w:rsidRPr="00713971">
        <w:rPr>
          <w:rFonts w:ascii="Arial" w:hAnsi="Arial" w:cs="Arial"/>
          <w:sz w:val="26"/>
          <w:szCs w:val="26"/>
          <w:lang w:val="es-ES"/>
        </w:rPr>
        <w:t xml:space="preserve">              </w:t>
      </w:r>
    </w:p>
    <w:p w:rsidR="0069242C" w:rsidRDefault="0069242C" w:rsidP="00260DDA">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3B4A29" w:rsidRDefault="003B4A29" w:rsidP="00260DDA">
      <w:pPr>
        <w:spacing w:after="0"/>
        <w:rPr>
          <w:rFonts w:ascii="Arial" w:eastAsia="Calibri" w:hAnsi="Arial" w:cs="Arial"/>
          <w:sz w:val="26"/>
          <w:szCs w:val="26"/>
        </w:rPr>
      </w:pPr>
    </w:p>
    <w:p w:rsidR="0069242C" w:rsidRDefault="0069242C" w:rsidP="00260DDA">
      <w:pPr>
        <w:spacing w:after="0"/>
        <w:rPr>
          <w:rFonts w:ascii="Arial" w:eastAsia="Calibri" w:hAnsi="Arial" w:cs="Arial"/>
          <w:sz w:val="26"/>
          <w:szCs w:val="26"/>
        </w:rPr>
      </w:pPr>
    </w:p>
    <w:p w:rsidR="001A40F6" w:rsidRDefault="001A40F6" w:rsidP="0069242C">
      <w:pPr>
        <w:rPr>
          <w:rFonts w:ascii="Arial" w:eastAsia="Calibri" w:hAnsi="Arial" w:cs="Arial"/>
          <w:sz w:val="26"/>
          <w:szCs w:val="26"/>
        </w:rPr>
      </w:pPr>
    </w:p>
    <w:p w:rsidR="008B3B96" w:rsidRDefault="008B3B96" w:rsidP="0069242C">
      <w:pPr>
        <w:rPr>
          <w:rFonts w:ascii="Arial" w:eastAsia="Calibri" w:hAnsi="Arial" w:cs="Arial"/>
          <w:sz w:val="26"/>
          <w:szCs w:val="26"/>
        </w:rPr>
      </w:pPr>
    </w:p>
    <w:p w:rsidR="00943CDD" w:rsidRDefault="00943CDD" w:rsidP="0069242C">
      <w:pPr>
        <w:rPr>
          <w:rFonts w:ascii="Arial" w:eastAsia="Calibri" w:hAnsi="Arial" w:cs="Arial"/>
          <w:sz w:val="26"/>
          <w:szCs w:val="26"/>
        </w:rPr>
      </w:pP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MAGISTRADO ADRIÁN QUIROGA AVENDAÑO.</w:t>
      </w: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PRESIDENTE</w:t>
      </w:r>
    </w:p>
    <w:p w:rsidR="0069242C" w:rsidRDefault="0069242C" w:rsidP="0069242C">
      <w:pPr>
        <w:rPr>
          <w:rFonts w:ascii="Arial" w:hAnsi="Arial" w:cs="Arial"/>
          <w:sz w:val="26"/>
          <w:szCs w:val="26"/>
        </w:rPr>
      </w:pPr>
    </w:p>
    <w:p w:rsidR="003B4A29" w:rsidRDefault="003B4A29" w:rsidP="0069242C">
      <w:pPr>
        <w:rPr>
          <w:rFonts w:ascii="Arial" w:hAnsi="Arial" w:cs="Arial"/>
          <w:sz w:val="26"/>
          <w:szCs w:val="26"/>
        </w:rPr>
      </w:pPr>
    </w:p>
    <w:p w:rsidR="00943CDD" w:rsidRDefault="00943CDD" w:rsidP="0069242C">
      <w:pPr>
        <w:rPr>
          <w:rFonts w:ascii="Arial" w:hAnsi="Arial" w:cs="Arial"/>
          <w:sz w:val="26"/>
          <w:szCs w:val="26"/>
        </w:rPr>
      </w:pPr>
    </w:p>
    <w:p w:rsidR="00943CDD" w:rsidRPr="009B6852" w:rsidRDefault="00943CDD" w:rsidP="0069242C">
      <w:pPr>
        <w:rPr>
          <w:rFonts w:ascii="Arial" w:hAnsi="Arial" w:cs="Arial"/>
          <w:sz w:val="26"/>
          <w:szCs w:val="26"/>
        </w:rPr>
      </w:pPr>
    </w:p>
    <w:p w:rsidR="0069242C" w:rsidRPr="009B6852" w:rsidRDefault="0069242C" w:rsidP="0069242C">
      <w:pPr>
        <w:spacing w:after="0"/>
        <w:jc w:val="center"/>
        <w:rPr>
          <w:rFonts w:ascii="Arial" w:hAnsi="Arial" w:cs="Arial"/>
          <w:sz w:val="26"/>
          <w:szCs w:val="26"/>
        </w:rPr>
      </w:pPr>
    </w:p>
    <w:p w:rsidR="0069242C" w:rsidRPr="009B6852" w:rsidRDefault="0069242C" w:rsidP="0069242C">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69242C" w:rsidRDefault="0069242C" w:rsidP="0069242C">
      <w:pPr>
        <w:jc w:val="center"/>
        <w:rPr>
          <w:rFonts w:ascii="Arial" w:hAnsi="Arial" w:cs="Arial"/>
          <w:sz w:val="26"/>
          <w:szCs w:val="26"/>
        </w:rPr>
      </w:pPr>
    </w:p>
    <w:p w:rsidR="008B3B96" w:rsidRDefault="008B3B96" w:rsidP="00877885">
      <w:pPr>
        <w:rPr>
          <w:rFonts w:ascii="Arial" w:hAnsi="Arial" w:cs="Arial"/>
          <w:sz w:val="26"/>
          <w:szCs w:val="26"/>
        </w:rPr>
      </w:pPr>
    </w:p>
    <w:p w:rsidR="00943CDD" w:rsidRDefault="00943CDD" w:rsidP="00877885">
      <w:pPr>
        <w:rPr>
          <w:rFonts w:ascii="Arial" w:hAnsi="Arial" w:cs="Arial"/>
          <w:sz w:val="26"/>
          <w:szCs w:val="26"/>
        </w:rPr>
      </w:pPr>
    </w:p>
    <w:p w:rsidR="00943CDD" w:rsidRDefault="00943CDD" w:rsidP="00877885">
      <w:pPr>
        <w:rPr>
          <w:rFonts w:ascii="Arial" w:hAnsi="Arial" w:cs="Arial"/>
          <w:sz w:val="26"/>
          <w:szCs w:val="26"/>
        </w:rPr>
      </w:pPr>
    </w:p>
    <w:p w:rsidR="0069242C" w:rsidRPr="009B6852" w:rsidRDefault="0069242C" w:rsidP="0069242C">
      <w:pPr>
        <w:jc w:val="center"/>
        <w:rPr>
          <w:rFonts w:ascii="Arial" w:hAnsi="Arial" w:cs="Arial"/>
          <w:sz w:val="26"/>
          <w:szCs w:val="26"/>
        </w:rPr>
      </w:pPr>
    </w:p>
    <w:p w:rsidR="0069242C" w:rsidRPr="009B6852" w:rsidRDefault="0069242C" w:rsidP="0069242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1A40F6" w:rsidRDefault="001A40F6" w:rsidP="00877885">
      <w:pPr>
        <w:spacing w:line="360" w:lineRule="auto"/>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4356C4" w:rsidRDefault="004356C4" w:rsidP="0069242C">
      <w:pPr>
        <w:spacing w:line="360" w:lineRule="auto"/>
        <w:jc w:val="center"/>
        <w:rPr>
          <w:rFonts w:ascii="Arial" w:hAnsi="Arial" w:cs="Arial"/>
          <w:sz w:val="26"/>
          <w:szCs w:val="26"/>
        </w:rPr>
      </w:pPr>
    </w:p>
    <w:p w:rsidR="00943CDD" w:rsidRDefault="00943CDD"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r>
        <w:rPr>
          <w:rFonts w:ascii="Arial" w:hAnsi="Arial" w:cs="Arial"/>
          <w:sz w:val="26"/>
          <w:szCs w:val="26"/>
        </w:rPr>
        <w:t>MAGISTRADA MARÍA ELENA VILLA DE JARQUÍN</w:t>
      </w:r>
    </w:p>
    <w:p w:rsidR="0069242C" w:rsidRDefault="0069242C" w:rsidP="0069242C">
      <w:pPr>
        <w:spacing w:line="360" w:lineRule="auto"/>
        <w:rPr>
          <w:rFonts w:ascii="Arial" w:hAnsi="Arial" w:cs="Arial"/>
          <w:sz w:val="26"/>
          <w:szCs w:val="26"/>
        </w:rPr>
      </w:pPr>
    </w:p>
    <w:p w:rsidR="00943CDD" w:rsidRDefault="00943CDD" w:rsidP="0069242C">
      <w:pPr>
        <w:spacing w:line="360" w:lineRule="auto"/>
        <w:rPr>
          <w:rFonts w:ascii="Arial" w:hAnsi="Arial" w:cs="Arial"/>
          <w:sz w:val="26"/>
          <w:szCs w:val="26"/>
        </w:rPr>
      </w:pPr>
    </w:p>
    <w:p w:rsidR="00877885" w:rsidRPr="00943CDD" w:rsidRDefault="00943CDD" w:rsidP="00943CDD">
      <w:pPr>
        <w:spacing w:line="360" w:lineRule="auto"/>
        <w:jc w:val="center"/>
        <w:rPr>
          <w:rFonts w:ascii="Arial" w:hAnsi="Arial" w:cs="Arial"/>
          <w:b/>
          <w:sz w:val="14"/>
          <w:szCs w:val="26"/>
        </w:rPr>
      </w:pPr>
      <w:r w:rsidRPr="00943CDD">
        <w:rPr>
          <w:rFonts w:ascii="Arial" w:hAnsi="Arial" w:cs="Arial"/>
          <w:b/>
          <w:sz w:val="14"/>
          <w:szCs w:val="26"/>
        </w:rPr>
        <w:t>LAS PRESENTES FIRMAS CORRESPONDEN AL RECURSO DE REVISIÓN 18/2019</w:t>
      </w:r>
    </w:p>
    <w:p w:rsidR="0069242C" w:rsidRDefault="0069242C" w:rsidP="0069242C">
      <w:pPr>
        <w:spacing w:line="360" w:lineRule="auto"/>
        <w:rPr>
          <w:rFonts w:ascii="Arial" w:hAnsi="Arial" w:cs="Arial"/>
          <w:sz w:val="26"/>
          <w:szCs w:val="26"/>
        </w:rPr>
      </w:pPr>
    </w:p>
    <w:p w:rsidR="00943CDD" w:rsidRDefault="00943CDD" w:rsidP="0069242C">
      <w:pPr>
        <w:spacing w:line="360" w:lineRule="auto"/>
        <w:rPr>
          <w:rFonts w:ascii="Arial" w:hAnsi="Arial" w:cs="Arial"/>
          <w:sz w:val="26"/>
          <w:szCs w:val="26"/>
        </w:rPr>
      </w:pPr>
    </w:p>
    <w:p w:rsidR="00943CDD" w:rsidRDefault="00943CDD" w:rsidP="0069242C">
      <w:pPr>
        <w:spacing w:line="360" w:lineRule="auto"/>
        <w:rPr>
          <w:rFonts w:ascii="Arial" w:hAnsi="Arial" w:cs="Arial"/>
          <w:sz w:val="26"/>
          <w:szCs w:val="26"/>
        </w:rPr>
      </w:pPr>
    </w:p>
    <w:p w:rsidR="0069242C" w:rsidRDefault="0069242C" w:rsidP="00877885">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877885" w:rsidRDefault="00877885" w:rsidP="00877885">
      <w:pPr>
        <w:jc w:val="center"/>
        <w:rPr>
          <w:rFonts w:ascii="Arial" w:eastAsia="Times New Roman" w:hAnsi="Arial" w:cs="Arial"/>
          <w:sz w:val="26"/>
          <w:szCs w:val="26"/>
        </w:rPr>
      </w:pPr>
    </w:p>
    <w:p w:rsidR="00877885" w:rsidRDefault="00877885" w:rsidP="00877885">
      <w:pPr>
        <w:jc w:val="center"/>
        <w:rPr>
          <w:rFonts w:ascii="Arial" w:eastAsia="Times New Roman" w:hAnsi="Arial" w:cs="Arial"/>
          <w:sz w:val="26"/>
          <w:szCs w:val="26"/>
        </w:rPr>
      </w:pPr>
    </w:p>
    <w:p w:rsidR="00943CDD" w:rsidRDefault="00943CDD" w:rsidP="00877885">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spacing w:after="0"/>
        <w:jc w:val="center"/>
        <w:rPr>
          <w:rFonts w:ascii="Arial" w:hAnsi="Arial" w:cs="Arial"/>
          <w:sz w:val="26"/>
          <w:szCs w:val="26"/>
        </w:rPr>
      </w:pPr>
      <w:r>
        <w:rPr>
          <w:rFonts w:ascii="Arial" w:hAnsi="Arial" w:cs="Arial"/>
          <w:sz w:val="26"/>
          <w:szCs w:val="26"/>
        </w:rPr>
        <w:t>LICENCIADA LETICIA GARCIA SOTO.</w:t>
      </w:r>
    </w:p>
    <w:p w:rsidR="0069242C" w:rsidRPr="00877885" w:rsidRDefault="0069242C" w:rsidP="00877885">
      <w:pPr>
        <w:spacing w:after="0"/>
        <w:jc w:val="center"/>
        <w:rPr>
          <w:rFonts w:ascii="Arial" w:hAnsi="Arial" w:cs="Arial"/>
          <w:sz w:val="26"/>
          <w:szCs w:val="26"/>
        </w:rPr>
      </w:pPr>
      <w:r>
        <w:rPr>
          <w:rFonts w:ascii="Arial" w:hAnsi="Arial" w:cs="Arial"/>
          <w:sz w:val="26"/>
          <w:szCs w:val="26"/>
        </w:rPr>
        <w:t xml:space="preserve">  SECRETARIA GENERAL DE ACUERDOS.</w:t>
      </w:r>
    </w:p>
    <w:sectPr w:rsidR="0069242C" w:rsidRPr="00877885" w:rsidSect="00260DDA">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64" w:rsidRDefault="00F21264">
      <w:pPr>
        <w:spacing w:after="0" w:line="240" w:lineRule="auto"/>
      </w:pPr>
      <w:r>
        <w:separator/>
      </w:r>
    </w:p>
  </w:endnote>
  <w:endnote w:type="continuationSeparator" w:id="0">
    <w:p w:rsidR="00F21264" w:rsidRDefault="00F2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9" w:rsidRDefault="004E4F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9" w:rsidRDefault="004E4FC9">
    <w:pPr>
      <w:pStyle w:val="Piedepgina"/>
    </w:pPr>
    <w:r>
      <w:rPr>
        <w:noProof/>
      </w:rPr>
      <w:drawing>
        <wp:anchor distT="0" distB="0" distL="114300" distR="114300" simplePos="0" relativeHeight="251677184" behindDoc="0" locked="0" layoutInCell="1" allowOverlap="1" wp14:anchorId="79F9B996" wp14:editId="7C51B66F">
          <wp:simplePos x="0" y="0"/>
          <wp:positionH relativeFrom="column">
            <wp:posOffset>-1182146</wp:posOffset>
          </wp:positionH>
          <wp:positionV relativeFrom="paragraph">
            <wp:posOffset>-5322570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9" w:rsidRDefault="004E4F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64" w:rsidRDefault="00F21264">
      <w:pPr>
        <w:spacing w:after="0" w:line="240" w:lineRule="auto"/>
      </w:pPr>
      <w:r>
        <w:separator/>
      </w:r>
    </w:p>
  </w:footnote>
  <w:footnote w:type="continuationSeparator" w:id="0">
    <w:p w:rsidR="00F21264" w:rsidRDefault="00F21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4E4FC9">
          <w:rPr>
            <w:noProof/>
          </w:rPr>
          <w:t>2</w:t>
        </w:r>
        <w:r>
          <w:fldChar w:fldCharType="end"/>
        </w:r>
      </w:p>
    </w:sdtContent>
  </w:sdt>
  <w:p w:rsidR="00126798" w:rsidRDefault="004E4FC9">
    <w:pPr>
      <w:pStyle w:val="Encabezado"/>
    </w:pPr>
    <w:bookmarkStart w:id="0" w:name="_GoBack"/>
    <w:r>
      <w:rPr>
        <w:noProof/>
      </w:rPr>
      <w:drawing>
        <wp:anchor distT="0" distB="0" distL="114300" distR="114300" simplePos="0" relativeHeight="251675136" behindDoc="0" locked="0" layoutInCell="1" allowOverlap="1" wp14:anchorId="0BED56AE" wp14:editId="2B230450">
          <wp:simplePos x="0" y="0"/>
          <wp:positionH relativeFrom="column">
            <wp:posOffset>5411769</wp:posOffset>
          </wp:positionH>
          <wp:positionV relativeFrom="paragraph">
            <wp:posOffset>3085914</wp:posOffset>
          </wp:positionV>
          <wp:extent cx="1188625" cy="12371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02" cy="1254383"/>
                  </a:xfrm>
                  <a:prstGeom prst="rect">
                    <a:avLst/>
                  </a:prstGeom>
                  <a:noFill/>
                </pic:spPr>
              </pic:pic>
            </a:graphicData>
          </a:graphic>
          <wp14:sizeRelV relativeFrom="margin">
            <wp14:pctHeight>0</wp14:pctHeight>
          </wp14:sizeRelV>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4E4FC9">
          <w:rPr>
            <w:noProof/>
          </w:rPr>
          <w:t>3</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7728" behindDoc="0" locked="0" layoutInCell="1" allowOverlap="1" wp14:anchorId="28296418" wp14:editId="56F1B912">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47488" behindDoc="1" locked="0" layoutInCell="1" allowOverlap="1" wp14:anchorId="1255C4E7" wp14:editId="7F6F91D4">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9" w:rsidRDefault="004E4F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5">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464F9"/>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60A97"/>
    <w:rsid w:val="00170E13"/>
    <w:rsid w:val="00172594"/>
    <w:rsid w:val="001948E6"/>
    <w:rsid w:val="00196B13"/>
    <w:rsid w:val="001A363F"/>
    <w:rsid w:val="001A40F6"/>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0DDA"/>
    <w:rsid w:val="00262A8F"/>
    <w:rsid w:val="00265F46"/>
    <w:rsid w:val="002761E3"/>
    <w:rsid w:val="00276DA9"/>
    <w:rsid w:val="00276F62"/>
    <w:rsid w:val="0028050B"/>
    <w:rsid w:val="0029582A"/>
    <w:rsid w:val="002A28E5"/>
    <w:rsid w:val="002A633A"/>
    <w:rsid w:val="002B3FCF"/>
    <w:rsid w:val="002C06DC"/>
    <w:rsid w:val="002E2484"/>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4A29"/>
    <w:rsid w:val="003B76B0"/>
    <w:rsid w:val="003C56CB"/>
    <w:rsid w:val="003E13E0"/>
    <w:rsid w:val="003E36AE"/>
    <w:rsid w:val="0040218E"/>
    <w:rsid w:val="004138F4"/>
    <w:rsid w:val="004200B9"/>
    <w:rsid w:val="004356C4"/>
    <w:rsid w:val="0044125F"/>
    <w:rsid w:val="00444F2C"/>
    <w:rsid w:val="004546F1"/>
    <w:rsid w:val="00454891"/>
    <w:rsid w:val="0047251D"/>
    <w:rsid w:val="00481D67"/>
    <w:rsid w:val="004A5C5B"/>
    <w:rsid w:val="004A764F"/>
    <w:rsid w:val="004B4BBD"/>
    <w:rsid w:val="004C03AB"/>
    <w:rsid w:val="004C7B31"/>
    <w:rsid w:val="004D3FD5"/>
    <w:rsid w:val="004E4FC9"/>
    <w:rsid w:val="004F032D"/>
    <w:rsid w:val="00501D58"/>
    <w:rsid w:val="00511C35"/>
    <w:rsid w:val="005153E1"/>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B21A8"/>
    <w:rsid w:val="005C202B"/>
    <w:rsid w:val="005C6512"/>
    <w:rsid w:val="005D1DED"/>
    <w:rsid w:val="005F1F09"/>
    <w:rsid w:val="005F7CC6"/>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242C"/>
    <w:rsid w:val="006938B1"/>
    <w:rsid w:val="00694FE2"/>
    <w:rsid w:val="006A274D"/>
    <w:rsid w:val="006A69F9"/>
    <w:rsid w:val="006B0E02"/>
    <w:rsid w:val="006D0D86"/>
    <w:rsid w:val="006E7970"/>
    <w:rsid w:val="006F2458"/>
    <w:rsid w:val="006F4A81"/>
    <w:rsid w:val="006F6823"/>
    <w:rsid w:val="0071291A"/>
    <w:rsid w:val="007313EF"/>
    <w:rsid w:val="007325BB"/>
    <w:rsid w:val="00734323"/>
    <w:rsid w:val="00735250"/>
    <w:rsid w:val="00744977"/>
    <w:rsid w:val="00751298"/>
    <w:rsid w:val="00755D02"/>
    <w:rsid w:val="0076094B"/>
    <w:rsid w:val="00761BFC"/>
    <w:rsid w:val="00771872"/>
    <w:rsid w:val="007825AD"/>
    <w:rsid w:val="007A2487"/>
    <w:rsid w:val="007C6D09"/>
    <w:rsid w:val="007D51A7"/>
    <w:rsid w:val="007D57D5"/>
    <w:rsid w:val="007D6535"/>
    <w:rsid w:val="007E5B25"/>
    <w:rsid w:val="007F0D2C"/>
    <w:rsid w:val="007F4F00"/>
    <w:rsid w:val="00814B86"/>
    <w:rsid w:val="008238CF"/>
    <w:rsid w:val="00826EEB"/>
    <w:rsid w:val="00830A05"/>
    <w:rsid w:val="00850959"/>
    <w:rsid w:val="00877885"/>
    <w:rsid w:val="00881D56"/>
    <w:rsid w:val="008931A0"/>
    <w:rsid w:val="008B3B96"/>
    <w:rsid w:val="008B4464"/>
    <w:rsid w:val="008C6A10"/>
    <w:rsid w:val="008D3B78"/>
    <w:rsid w:val="008E0DC8"/>
    <w:rsid w:val="008E742D"/>
    <w:rsid w:val="008F5AA5"/>
    <w:rsid w:val="00903ED0"/>
    <w:rsid w:val="00906BD1"/>
    <w:rsid w:val="00912974"/>
    <w:rsid w:val="009221B5"/>
    <w:rsid w:val="00937993"/>
    <w:rsid w:val="00943CDD"/>
    <w:rsid w:val="00944038"/>
    <w:rsid w:val="00944FC4"/>
    <w:rsid w:val="00952E02"/>
    <w:rsid w:val="009569A2"/>
    <w:rsid w:val="00960527"/>
    <w:rsid w:val="00967447"/>
    <w:rsid w:val="009B57EF"/>
    <w:rsid w:val="009B6852"/>
    <w:rsid w:val="009C3561"/>
    <w:rsid w:val="009D0511"/>
    <w:rsid w:val="009D1D1D"/>
    <w:rsid w:val="009D6432"/>
    <w:rsid w:val="009E1B3A"/>
    <w:rsid w:val="009F0158"/>
    <w:rsid w:val="00A0629B"/>
    <w:rsid w:val="00A07274"/>
    <w:rsid w:val="00A16F03"/>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40427"/>
    <w:rsid w:val="00B456BE"/>
    <w:rsid w:val="00B504C4"/>
    <w:rsid w:val="00B50C1D"/>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4AD0"/>
    <w:rsid w:val="00C36A0E"/>
    <w:rsid w:val="00C42D77"/>
    <w:rsid w:val="00C4480F"/>
    <w:rsid w:val="00C52086"/>
    <w:rsid w:val="00C72B25"/>
    <w:rsid w:val="00C90297"/>
    <w:rsid w:val="00C96B0F"/>
    <w:rsid w:val="00CA02A5"/>
    <w:rsid w:val="00CA101B"/>
    <w:rsid w:val="00CA625D"/>
    <w:rsid w:val="00D003C4"/>
    <w:rsid w:val="00D06D3B"/>
    <w:rsid w:val="00D10AB8"/>
    <w:rsid w:val="00D1314C"/>
    <w:rsid w:val="00D16F1E"/>
    <w:rsid w:val="00D17A65"/>
    <w:rsid w:val="00D20155"/>
    <w:rsid w:val="00D22E0D"/>
    <w:rsid w:val="00D25CA7"/>
    <w:rsid w:val="00D27F89"/>
    <w:rsid w:val="00D437B0"/>
    <w:rsid w:val="00D4438A"/>
    <w:rsid w:val="00D44764"/>
    <w:rsid w:val="00D6774B"/>
    <w:rsid w:val="00D73E98"/>
    <w:rsid w:val="00D8265B"/>
    <w:rsid w:val="00D838B9"/>
    <w:rsid w:val="00D86D0B"/>
    <w:rsid w:val="00D91377"/>
    <w:rsid w:val="00D94092"/>
    <w:rsid w:val="00DB42EB"/>
    <w:rsid w:val="00DC4D7A"/>
    <w:rsid w:val="00DD3B73"/>
    <w:rsid w:val="00DD76A5"/>
    <w:rsid w:val="00E03F45"/>
    <w:rsid w:val="00E14A1A"/>
    <w:rsid w:val="00E16D22"/>
    <w:rsid w:val="00E249FF"/>
    <w:rsid w:val="00E30BF5"/>
    <w:rsid w:val="00E43EDE"/>
    <w:rsid w:val="00E456F0"/>
    <w:rsid w:val="00E521E8"/>
    <w:rsid w:val="00E565F3"/>
    <w:rsid w:val="00E85F40"/>
    <w:rsid w:val="00E95328"/>
    <w:rsid w:val="00EB17A6"/>
    <w:rsid w:val="00EB3D98"/>
    <w:rsid w:val="00EC1535"/>
    <w:rsid w:val="00EC41E7"/>
    <w:rsid w:val="00ED597C"/>
    <w:rsid w:val="00EE34C7"/>
    <w:rsid w:val="00EE7540"/>
    <w:rsid w:val="00EF0F45"/>
    <w:rsid w:val="00F000FF"/>
    <w:rsid w:val="00F03067"/>
    <w:rsid w:val="00F067BF"/>
    <w:rsid w:val="00F11A03"/>
    <w:rsid w:val="00F14329"/>
    <w:rsid w:val="00F17CC3"/>
    <w:rsid w:val="00F21264"/>
    <w:rsid w:val="00F23422"/>
    <w:rsid w:val="00F25C95"/>
    <w:rsid w:val="00F30552"/>
    <w:rsid w:val="00F32E69"/>
    <w:rsid w:val="00F645B8"/>
    <w:rsid w:val="00F76F0F"/>
    <w:rsid w:val="00F77707"/>
    <w:rsid w:val="00F86802"/>
    <w:rsid w:val="00F87C02"/>
    <w:rsid w:val="00F91C14"/>
    <w:rsid w:val="00F92773"/>
    <w:rsid w:val="00F92BEA"/>
    <w:rsid w:val="00F973FF"/>
    <w:rsid w:val="00FB0A78"/>
    <w:rsid w:val="00FB27D3"/>
    <w:rsid w:val="00FB75F7"/>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E4161-4E44-492A-BE15-777A26CB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 w:type="paragraph" w:customStyle="1" w:styleId="Default">
    <w:name w:val="Default"/>
    <w:rsid w:val="006A274D"/>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40390693">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2D09-8841-44B0-B736-8407DA3B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2362</Words>
  <Characters>12992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39</cp:revision>
  <cp:lastPrinted>2019-05-23T17:17:00Z</cp:lastPrinted>
  <dcterms:created xsi:type="dcterms:W3CDTF">2019-04-12T01:57:00Z</dcterms:created>
  <dcterms:modified xsi:type="dcterms:W3CDTF">2019-07-01T18:42:00Z</dcterms:modified>
</cp:coreProperties>
</file>