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3C" w:rsidRDefault="00776D3C" w:rsidP="00776D3C">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776D3C" w:rsidRDefault="00776D3C" w:rsidP="00776D3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0178/2017</w:t>
      </w:r>
    </w:p>
    <w:p w:rsidR="00776D3C" w:rsidRDefault="00776D3C" w:rsidP="00776D3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0311/2016 DE LA SEXTA SALA UNITARIA DE PRIMERA INSTANCIA</w:t>
      </w:r>
    </w:p>
    <w:p w:rsidR="00776D3C" w:rsidRDefault="00776D3C" w:rsidP="00776D3C">
      <w:pPr>
        <w:spacing w:line="240" w:lineRule="auto"/>
        <w:ind w:left="2124"/>
        <w:jc w:val="both"/>
        <w:rPr>
          <w:rFonts w:ascii="Arial" w:hAnsi="Arial" w:cs="Arial"/>
          <w:b/>
          <w:sz w:val="26"/>
          <w:szCs w:val="26"/>
        </w:rPr>
      </w:pPr>
      <w:r>
        <w:rPr>
          <w:rFonts w:ascii="Arial" w:hAnsi="Arial" w:cs="Arial"/>
          <w:b/>
          <w:sz w:val="26"/>
          <w:szCs w:val="26"/>
        </w:rPr>
        <w:t>PONENTE: MAGISTRADO ADRIÁN QUIROGA AVENDAÑO.</w:t>
      </w:r>
    </w:p>
    <w:p w:rsidR="00776D3C" w:rsidRDefault="00776D3C" w:rsidP="00776D3C">
      <w:pPr>
        <w:spacing w:before="240" w:line="360" w:lineRule="auto"/>
        <w:jc w:val="both"/>
        <w:rPr>
          <w:rFonts w:ascii="Arial" w:hAnsi="Arial" w:cs="Arial"/>
          <w:b/>
          <w:sz w:val="26"/>
          <w:szCs w:val="26"/>
        </w:rPr>
      </w:pPr>
    </w:p>
    <w:p w:rsidR="00776D3C" w:rsidRDefault="00776D3C" w:rsidP="00776D3C">
      <w:pPr>
        <w:spacing w:before="240" w:line="360" w:lineRule="auto"/>
        <w:jc w:val="both"/>
        <w:rPr>
          <w:rFonts w:ascii="Arial" w:hAnsi="Arial" w:cs="Arial"/>
          <w:b/>
          <w:sz w:val="26"/>
          <w:szCs w:val="26"/>
        </w:rPr>
      </w:pPr>
      <w:r>
        <w:rPr>
          <w:rFonts w:ascii="Arial" w:hAnsi="Arial" w:cs="Arial"/>
          <w:b/>
          <w:sz w:val="26"/>
          <w:szCs w:val="26"/>
        </w:rPr>
        <w:t xml:space="preserve">OAXACA DE JUÁREZ, OAXACA, VEINTIUNO DE MARZO DE DOS MIL DIECINUEVE. </w:t>
      </w:r>
    </w:p>
    <w:p w:rsidR="00776D3C" w:rsidRDefault="00776D3C" w:rsidP="00776D3C">
      <w:pPr>
        <w:spacing w:before="240" w:line="360" w:lineRule="auto"/>
        <w:ind w:firstLine="708"/>
        <w:jc w:val="both"/>
        <w:rPr>
          <w:rFonts w:ascii="Arial" w:hAnsi="Arial" w:cs="Arial"/>
          <w:sz w:val="26"/>
          <w:szCs w:val="26"/>
        </w:rPr>
      </w:pPr>
      <w:r>
        <w:rPr>
          <w:rFonts w:ascii="Arial" w:hAnsi="Arial" w:cs="Arial"/>
          <w:color w:val="000000" w:themeColor="text1"/>
          <w:sz w:val="26"/>
          <w:szCs w:val="26"/>
        </w:rPr>
        <w:t xml:space="preserve">Por recibido el Cuaderno de Revisión </w:t>
      </w:r>
      <w:r>
        <w:rPr>
          <w:rFonts w:ascii="Arial" w:hAnsi="Arial" w:cs="Arial"/>
          <w:b/>
          <w:color w:val="000000" w:themeColor="text1"/>
          <w:sz w:val="26"/>
          <w:szCs w:val="26"/>
        </w:rPr>
        <w:t>178/2017</w:t>
      </w:r>
      <w:r>
        <w:rPr>
          <w:rFonts w:ascii="Arial" w:hAnsi="Arial" w:cs="Arial"/>
          <w:sz w:val="26"/>
          <w:szCs w:val="26"/>
        </w:rPr>
        <w:t>,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BE2C95">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 la resolución de 22 veintidós de junio de 2017 dos mil diecisiete, dictada por la Sala Superior del entonces Tribunal de lo Contencioso Administrativo y de Cuentas del Poder Judicial del Estado de Oaxaca, relativa al cumplimiento de este órgano jurisdiccional respecto a la ejecutoria de amparo 226/2018, dictada por el Juzgado Segundo de Distrito, con residencia en San Bartolo Coyotepec, Oaxaca, de 18 dieciocho de abril de</w:t>
      </w:r>
      <w:r w:rsidR="00A70D65">
        <w:rPr>
          <w:rFonts w:ascii="Arial" w:hAnsi="Arial" w:cs="Arial"/>
          <w:sz w:val="26"/>
          <w:szCs w:val="26"/>
        </w:rPr>
        <w:t xml:space="preserve"> 2018 dos mil dieciocho</w:t>
      </w:r>
      <w:r>
        <w:rPr>
          <w:rFonts w:ascii="Arial" w:hAnsi="Arial" w:cs="Arial"/>
          <w:sz w:val="26"/>
          <w:szCs w:val="26"/>
        </w:rPr>
        <w:t>; en consecuencia, con fundamento en los artículos 207 y 208 de la Ley de Justicia Administrativa para el Estado de Oaxaca, vigente al inicio del juicio principal</w:t>
      </w:r>
      <w:r w:rsidR="00A70D65">
        <w:rPr>
          <w:rFonts w:ascii="Arial" w:hAnsi="Arial" w:cs="Arial"/>
          <w:sz w:val="26"/>
          <w:szCs w:val="26"/>
        </w:rPr>
        <w:t>,</w:t>
      </w:r>
      <w:r>
        <w:rPr>
          <w:rFonts w:ascii="Arial" w:hAnsi="Arial" w:cs="Arial"/>
          <w:sz w:val="26"/>
          <w:szCs w:val="26"/>
        </w:rPr>
        <w:t xml:space="preserve"> se admite dicho recuso y se procede a dictar una nueva resolución en los siguientes términos:</w:t>
      </w:r>
    </w:p>
    <w:p w:rsidR="00776D3C" w:rsidRDefault="00776D3C" w:rsidP="00776D3C">
      <w:pPr>
        <w:spacing w:before="240" w:line="360" w:lineRule="auto"/>
        <w:ind w:firstLine="708"/>
        <w:jc w:val="center"/>
        <w:rPr>
          <w:rFonts w:ascii="Arial" w:hAnsi="Arial" w:cs="Arial"/>
          <w:b/>
          <w:bCs/>
          <w:sz w:val="26"/>
          <w:szCs w:val="26"/>
        </w:rPr>
      </w:pPr>
      <w:r>
        <w:rPr>
          <w:rFonts w:ascii="Arial" w:hAnsi="Arial" w:cs="Arial"/>
          <w:b/>
          <w:bCs/>
          <w:sz w:val="26"/>
          <w:szCs w:val="26"/>
        </w:rPr>
        <w:t>R E S U L T A N D O</w:t>
      </w:r>
    </w:p>
    <w:p w:rsidR="00776D3C" w:rsidRDefault="00776D3C" w:rsidP="00776D3C">
      <w:pPr>
        <w:spacing w:before="240" w:line="360" w:lineRule="auto"/>
        <w:ind w:firstLine="708"/>
        <w:jc w:val="both"/>
        <w:rPr>
          <w:rFonts w:ascii="Arial" w:hAnsi="Arial" w:cs="Arial"/>
          <w:b/>
          <w:sz w:val="26"/>
          <w:szCs w:val="26"/>
        </w:rPr>
      </w:pPr>
      <w:r>
        <w:rPr>
          <w:rFonts w:ascii="Arial" w:hAnsi="Arial" w:cs="Arial"/>
          <w:b/>
          <w:bCs/>
          <w:sz w:val="26"/>
          <w:szCs w:val="26"/>
        </w:rPr>
        <w:t xml:space="preserve">PRIMERO. </w:t>
      </w:r>
      <w:r>
        <w:rPr>
          <w:rFonts w:ascii="Arial" w:hAnsi="Arial" w:cs="Arial"/>
          <w:sz w:val="26"/>
          <w:szCs w:val="26"/>
        </w:rPr>
        <w:t>La Sala Superior del Tribunal de lo Contencioso Administrativo y de Cuentas, el 22 veintidós de junio de 2017 dos mil diecisiete, dictó resolución, en cuyos puntos resolutivos determinó:</w:t>
      </w:r>
    </w:p>
    <w:p w:rsidR="00776D3C" w:rsidRDefault="00776D3C" w:rsidP="00776D3C">
      <w:pPr>
        <w:spacing w:line="360" w:lineRule="auto"/>
        <w:ind w:left="709" w:right="760"/>
        <w:jc w:val="both"/>
        <w:rPr>
          <w:rFonts w:ascii="Gisha" w:hAnsi="Gisha" w:cs="Gisha"/>
          <w:i/>
        </w:rPr>
      </w:pPr>
      <w:r>
        <w:rPr>
          <w:rFonts w:ascii="Gisha" w:hAnsi="Gisha" w:cs="Gisha"/>
          <w:b/>
          <w:i/>
        </w:rPr>
        <w:t>“PRIMERO</w:t>
      </w:r>
      <w:r>
        <w:rPr>
          <w:rFonts w:ascii="Gisha" w:hAnsi="Gisha" w:cs="Gisha"/>
          <w:i/>
        </w:rPr>
        <w:t xml:space="preserve">. Se </w:t>
      </w:r>
      <w:r>
        <w:rPr>
          <w:rFonts w:ascii="Gisha" w:hAnsi="Gisha" w:cs="Gisha"/>
          <w:b/>
          <w:i/>
        </w:rPr>
        <w:t xml:space="preserve">CONFIRMA </w:t>
      </w:r>
      <w:r>
        <w:rPr>
          <w:rFonts w:ascii="Gisha" w:hAnsi="Gisha" w:cs="Gisha"/>
          <w:i/>
        </w:rPr>
        <w:t xml:space="preserve">el acuerdo recurrido, </w:t>
      </w:r>
      <w:r>
        <w:rPr>
          <w:rFonts w:ascii="Gisha" w:hAnsi="Gisha" w:cs="Gisha"/>
          <w:i/>
          <w:lang w:eastAsia="es-ES"/>
        </w:rPr>
        <w:t>por las razones expuestas en el considerando que antecede</w:t>
      </w:r>
      <w:r>
        <w:rPr>
          <w:rFonts w:ascii="Gisha" w:hAnsi="Gisha" w:cs="Gisha"/>
          <w:i/>
        </w:rPr>
        <w:t xml:space="preserve">. </w:t>
      </w:r>
    </w:p>
    <w:p w:rsidR="00776D3C" w:rsidRDefault="00776D3C" w:rsidP="00776D3C">
      <w:pPr>
        <w:spacing w:line="360" w:lineRule="auto"/>
        <w:ind w:left="709" w:right="760"/>
        <w:jc w:val="both"/>
        <w:rPr>
          <w:rFonts w:ascii="Gisha" w:hAnsi="Gisha" w:cs="Gisha"/>
          <w:i/>
        </w:rPr>
      </w:pPr>
      <w:r>
        <w:rPr>
          <w:rFonts w:ascii="Gisha" w:hAnsi="Gisha" w:cs="Gisha"/>
          <w:b/>
          <w:i/>
        </w:rPr>
        <w:t>SEGUNDO</w:t>
      </w:r>
      <w:r>
        <w:rPr>
          <w:rFonts w:ascii="Gisha" w:hAnsi="Gisha" w:cs="Gisha"/>
          <w:i/>
        </w:rPr>
        <w:t>.</w:t>
      </w:r>
      <w:r>
        <w:rPr>
          <w:rFonts w:ascii="Gisha" w:hAnsi="Gisha" w:cs="Gisha"/>
          <w:b/>
          <w:i/>
        </w:rPr>
        <w:t xml:space="preserve"> NOTIFÍQUESE Y CÚMPLASE,</w:t>
      </w:r>
      <w:r>
        <w:rPr>
          <w:rFonts w:ascii="Gisha" w:hAnsi="Gisha" w:cs="Gisha"/>
          <w:i/>
        </w:rPr>
        <w:t xml:space="preserve"> con copia certificada de la presente resolución, vuelvan las constancias remitidas a la Sexta Sala Unitaria de Primera Instancia, y en su oportunidad archívese el cuaderno de revisión como concluido.”</w:t>
      </w:r>
    </w:p>
    <w:p w:rsidR="00776D3C" w:rsidRDefault="00776D3C" w:rsidP="00776D3C">
      <w:pPr>
        <w:spacing w:line="360" w:lineRule="auto"/>
        <w:ind w:firstLine="708"/>
        <w:jc w:val="both"/>
        <w:rPr>
          <w:rFonts w:ascii="Arial" w:hAnsi="Arial" w:cs="Arial"/>
          <w:bCs/>
          <w:sz w:val="26"/>
          <w:szCs w:val="26"/>
        </w:rPr>
      </w:pPr>
      <w:r>
        <w:rPr>
          <w:rFonts w:ascii="Arial" w:hAnsi="Arial" w:cs="Arial"/>
          <w:b/>
          <w:bCs/>
          <w:sz w:val="26"/>
          <w:szCs w:val="26"/>
        </w:rPr>
        <w:t>SEGUNDO.</w:t>
      </w:r>
      <w:r>
        <w:rPr>
          <w:rFonts w:ascii="Arial" w:hAnsi="Arial" w:cs="Arial"/>
          <w:bCs/>
          <w:sz w:val="26"/>
          <w:szCs w:val="26"/>
        </w:rPr>
        <w:t xml:space="preserve"> En contra de dicha resolución </w:t>
      </w:r>
      <w:r w:rsidR="00BE2C95">
        <w:rPr>
          <w:rFonts w:ascii="Arial" w:hAnsi="Arial" w:cs="Arial"/>
          <w:bCs/>
          <w:sz w:val="26"/>
          <w:szCs w:val="26"/>
        </w:rPr>
        <w:t>**********</w:t>
      </w:r>
      <w:r>
        <w:rPr>
          <w:rFonts w:ascii="Arial" w:hAnsi="Arial" w:cs="Arial"/>
          <w:bCs/>
          <w:sz w:val="26"/>
          <w:szCs w:val="26"/>
        </w:rPr>
        <w:t xml:space="preserve">, promovió amparo ante el Tribunal Colegiado en Materias de Trabajo  y </w:t>
      </w:r>
      <w:r>
        <w:rPr>
          <w:rFonts w:ascii="Arial" w:hAnsi="Arial" w:cs="Arial"/>
          <w:bCs/>
          <w:sz w:val="26"/>
          <w:szCs w:val="26"/>
        </w:rPr>
        <w:lastRenderedPageBreak/>
        <w:t>Administrativa del Decimotercer Circuito, sin embargo dicho Tribunal determinó carecer de competencia para conocer de la aludida demanda de amparo</w:t>
      </w:r>
      <w:r>
        <w:rPr>
          <w:rFonts w:ascii="Arial" w:hAnsi="Arial" w:cs="Arial"/>
          <w:sz w:val="26"/>
          <w:szCs w:val="26"/>
        </w:rPr>
        <w:t>, por lo que ordenó su remisión al Juez de Distrito en el Estado; tocando por razón de turno al Juzgado Segundo de Distrito, con residencia en San Bartolo Coyotepec, Oaxaca</w:t>
      </w:r>
      <w:r>
        <w:rPr>
          <w:rFonts w:ascii="Arial" w:hAnsi="Arial" w:cs="Arial"/>
          <w:bCs/>
          <w:sz w:val="26"/>
          <w:szCs w:val="26"/>
        </w:rPr>
        <w:t xml:space="preserve">, el cual, concedió el AMPARO Y PROTECCIÓN DE LA JUSTICIA FEDERAL al quejoso mediante resolución de </w:t>
      </w:r>
      <w:r w:rsidR="00A70D65">
        <w:rPr>
          <w:rFonts w:ascii="Arial" w:hAnsi="Arial" w:cs="Arial"/>
          <w:sz w:val="26"/>
          <w:szCs w:val="26"/>
        </w:rPr>
        <w:t>18 dieciocho de abril  de 2018 dos mil dieciocho</w:t>
      </w:r>
      <w:r>
        <w:rPr>
          <w:rFonts w:ascii="Arial" w:hAnsi="Arial" w:cs="Arial"/>
          <w:bCs/>
          <w:sz w:val="26"/>
          <w:szCs w:val="26"/>
        </w:rPr>
        <w:t>, al considerar lo siguiente:</w:t>
      </w:r>
    </w:p>
    <w:p w:rsidR="00776D3C" w:rsidRDefault="00776D3C" w:rsidP="00776D3C">
      <w:pPr>
        <w:spacing w:after="0" w:line="360" w:lineRule="auto"/>
        <w:ind w:left="851" w:right="758" w:firstLine="425"/>
        <w:jc w:val="both"/>
        <w:rPr>
          <w:rFonts w:ascii="Gisha" w:hAnsi="Gisha" w:cs="Gisha"/>
          <w:i/>
        </w:rPr>
      </w:pPr>
      <w:r>
        <w:rPr>
          <w:rFonts w:ascii="Arial" w:hAnsi="Arial" w:cs="Arial"/>
          <w:i/>
        </w:rPr>
        <w:t xml:space="preserve"> “</w:t>
      </w:r>
      <w:r>
        <w:rPr>
          <w:rFonts w:ascii="Gisha" w:hAnsi="Gisha" w:cs="Gisha"/>
          <w:b/>
          <w:i/>
        </w:rPr>
        <w:t xml:space="preserve">SEXTA. </w:t>
      </w:r>
      <w:r>
        <w:rPr>
          <w:rFonts w:ascii="Gisha" w:hAnsi="Gisha" w:cs="Gisha"/>
          <w:i/>
        </w:rPr>
        <w:t>¨[…]</w:t>
      </w:r>
    </w:p>
    <w:p w:rsidR="00776D3C" w:rsidRDefault="00776D3C" w:rsidP="00776D3C">
      <w:pPr>
        <w:spacing w:after="0" w:line="360" w:lineRule="auto"/>
        <w:ind w:left="851" w:right="758" w:firstLine="425"/>
        <w:jc w:val="both"/>
        <w:rPr>
          <w:rFonts w:ascii="Gisha" w:hAnsi="Gisha" w:cs="Gisha"/>
          <w:i/>
        </w:rPr>
      </w:pPr>
      <w:r>
        <w:rPr>
          <w:rFonts w:ascii="Arial" w:hAnsi="Arial" w:cs="Arial"/>
          <w:i/>
        </w:rPr>
        <w:t xml:space="preserve">La responsable en la resolución reclamada confirmó de la Sala de Primera Instancia que tuvo por cumplida la sentencia de nulidad, pues consideró que como el sentido del fallo fue declarar la nulidad del oficio SEVITRA/DJ/DCAA/3704/2016 para el efecto de que la Directora de Concesiones de la Secretaría de Vialidad y Transporte del Estado de Oaxaca, dictara otro en el que fundara y motivara debidamente su competencia, lo cual refirió que hizo al declararse incompetente para continuar conociendo de la petición del aquí </w:t>
      </w:r>
      <w:proofErr w:type="spellStart"/>
      <w:r>
        <w:rPr>
          <w:rFonts w:ascii="Arial" w:hAnsi="Arial" w:cs="Arial"/>
          <w:i/>
        </w:rPr>
        <w:t>aquí</w:t>
      </w:r>
      <w:proofErr w:type="spellEnd"/>
      <w:r>
        <w:rPr>
          <w:rFonts w:ascii="Arial" w:hAnsi="Arial" w:cs="Arial"/>
          <w:i/>
        </w:rPr>
        <w:t xml:space="preserve"> quejoso y la remitió al titular de dicha secretaría para que se pronunciara al respecto.</w:t>
      </w:r>
    </w:p>
    <w:p w:rsidR="00776D3C" w:rsidRDefault="00776D3C" w:rsidP="00776D3C">
      <w:pPr>
        <w:spacing w:after="0" w:line="360" w:lineRule="auto"/>
        <w:ind w:left="851" w:right="758" w:firstLine="425"/>
        <w:jc w:val="both"/>
        <w:rPr>
          <w:rFonts w:ascii="Gisha" w:hAnsi="Gisha" w:cs="Gisha"/>
          <w:i/>
        </w:rPr>
      </w:pPr>
      <w:r>
        <w:rPr>
          <w:rFonts w:ascii="Gisha" w:hAnsi="Gisha" w:cs="Gisha"/>
          <w:i/>
        </w:rPr>
        <w:t>Asimismo, estableció que como la materia del cumplimiento sólo debe limitarse a lo pronunciado en la sentencia de nulidad, no es posible analizar en segunda instancia la legalidad de las consideraciones y la fundamentación en que se apoyó el Secretario de Vialidad y Transporte del Estado de Oaxaca para emitir su respuesta a la solicitud planteada.</w:t>
      </w:r>
    </w:p>
    <w:p w:rsidR="00776D3C" w:rsidRDefault="00776D3C" w:rsidP="00776D3C">
      <w:pPr>
        <w:spacing w:after="0" w:line="360" w:lineRule="auto"/>
        <w:ind w:left="851" w:right="758" w:firstLine="425"/>
        <w:jc w:val="both"/>
        <w:rPr>
          <w:rFonts w:ascii="Gisha" w:hAnsi="Gisha" w:cs="Gisha"/>
          <w:i/>
        </w:rPr>
      </w:pPr>
      <w:r>
        <w:rPr>
          <w:rFonts w:ascii="Gisha" w:hAnsi="Gisha" w:cs="Gisha"/>
          <w:i/>
        </w:rPr>
        <w:t>Por tanto, -señaló- son inoperantes los agravios encaminados a combatir la legalidad del acuerdo emitido por la autoridad demandada en cumplimiento a la sentencia de nulidad, así como el diverso acto pronunciado por el Secretario de Vialidad y Transporte del Estado de Oaxaca, además, éste no tiene el carácter de autoridad demandada.</w:t>
      </w:r>
    </w:p>
    <w:p w:rsidR="00776D3C" w:rsidRDefault="00776D3C" w:rsidP="00776D3C">
      <w:pPr>
        <w:spacing w:after="0" w:line="360" w:lineRule="auto"/>
        <w:ind w:left="851" w:right="758" w:firstLine="425"/>
        <w:jc w:val="both"/>
        <w:rPr>
          <w:rFonts w:ascii="Gisha" w:hAnsi="Gisha" w:cs="Gisha"/>
          <w:i/>
        </w:rPr>
      </w:pPr>
      <w:r>
        <w:rPr>
          <w:rFonts w:ascii="Gisha" w:hAnsi="Gisha" w:cs="Gisha"/>
          <w:i/>
        </w:rPr>
        <w:t xml:space="preserve">El ahora quejoso en sus conceptos de violación alega que es ilegal la declaración de inoperancia de los agravios expuestos en el recurso de revisión, porque en estos sí se dirige a combatir determinaciones de la Sexta Sala Unitaria del Tribunal de lo Contencioso Administrativo del Poder </w:t>
      </w:r>
      <w:r>
        <w:rPr>
          <w:rFonts w:ascii="Gisha" w:hAnsi="Gisha" w:cs="Gisha"/>
          <w:i/>
        </w:rPr>
        <w:lastRenderedPageBreak/>
        <w:t>Judicial del Estado, en cuanto tuvo al Secretario de Vialidad y Transporte del Gobierno del Estado de Oaxaca como competente para resolver respecto de la renovación de la concesión de transporte público.</w:t>
      </w:r>
    </w:p>
    <w:p w:rsidR="00776D3C" w:rsidRDefault="00776D3C" w:rsidP="00776D3C">
      <w:pPr>
        <w:spacing w:after="0" w:line="360" w:lineRule="auto"/>
        <w:ind w:left="851" w:right="758" w:firstLine="425"/>
        <w:jc w:val="both"/>
        <w:rPr>
          <w:rFonts w:ascii="Gisha" w:hAnsi="Gisha" w:cs="Gisha"/>
          <w:b/>
          <w:i/>
        </w:rPr>
      </w:pPr>
      <w:r>
        <w:rPr>
          <w:rFonts w:ascii="Gisha" w:hAnsi="Gisha" w:cs="Gisha"/>
          <w:b/>
          <w:i/>
        </w:rPr>
        <w:t>El anterior motivo de disenso es fundado.</w:t>
      </w:r>
    </w:p>
    <w:p w:rsidR="00776D3C" w:rsidRDefault="00776D3C" w:rsidP="00776D3C">
      <w:pPr>
        <w:spacing w:after="0" w:line="360" w:lineRule="auto"/>
        <w:ind w:left="851" w:right="758" w:firstLine="425"/>
        <w:jc w:val="both"/>
        <w:rPr>
          <w:rFonts w:ascii="Gisha" w:hAnsi="Gisha" w:cs="Gisha"/>
          <w:i/>
        </w:rPr>
      </w:pPr>
      <w:r>
        <w:rPr>
          <w:rFonts w:ascii="Gisha" w:hAnsi="Gisha" w:cs="Gisha"/>
          <w:i/>
        </w:rPr>
        <w:t>En efecto tiene razón el quejoso cuando aduce que fue incorrecto que la Sala responsable haya declarado inoperantes los agravios donde hizo valer la incompetencia del Secretario de Vialidad y Transporte para dar respuesta a la petición de renovación de concesión de transporte público en su modalidad de taxi.</w:t>
      </w:r>
    </w:p>
    <w:p w:rsidR="00776D3C" w:rsidRDefault="00776D3C" w:rsidP="00776D3C">
      <w:pPr>
        <w:spacing w:after="0" w:line="360" w:lineRule="auto"/>
        <w:ind w:left="993" w:right="758"/>
        <w:jc w:val="both"/>
        <w:rPr>
          <w:rFonts w:ascii="Gisha" w:hAnsi="Gisha" w:cs="Gisha"/>
          <w:i/>
        </w:rPr>
      </w:pPr>
      <w:r>
        <w:rPr>
          <w:rFonts w:ascii="Gisha" w:hAnsi="Gisha" w:cs="Gisha"/>
          <w:i/>
        </w:rPr>
        <w:t>Para demostrar lo anterior, se transcribe la parte conducente del acuerdo emitido por la Sexta Sala Unitaria de Primera Instancia y de Cuentas del Poder Judicial del Estado de Oaxaca, donde declaró cumplida la sentencia de veintisiete de mayo de dos mil quince en lo que interesa señaló:</w:t>
      </w:r>
    </w:p>
    <w:p w:rsidR="00776D3C" w:rsidRDefault="00776D3C" w:rsidP="00776D3C">
      <w:pPr>
        <w:spacing w:after="0" w:line="360" w:lineRule="auto"/>
        <w:ind w:left="851" w:right="758"/>
        <w:jc w:val="both"/>
        <w:rPr>
          <w:rFonts w:ascii="Gisha" w:hAnsi="Gisha" w:cs="Gisha"/>
          <w:i/>
        </w:rPr>
      </w:pPr>
      <w:r>
        <w:rPr>
          <w:rFonts w:ascii="Gisha" w:hAnsi="Gisha" w:cs="Gisha"/>
          <w:i/>
        </w:rPr>
        <w:t xml:space="preserve">“[…] se determina que SE DECLARA CUMPLIDA LA SENTENCIA  de veintisiete de mayo de 2015 dos mil quince que dictó el Segundo Juzgado del extinto Tribunal de lo contencioso Administrativo de Primera Instancia, porque la autoridad demandada se declaró incompetente para seguir conociendo de la petición planteada por el actor y turnándola </w:t>
      </w:r>
      <w:r>
        <w:rPr>
          <w:rFonts w:ascii="Gisha" w:hAnsi="Gisha" w:cs="Gisha"/>
          <w:b/>
          <w:i/>
        </w:rPr>
        <w:t xml:space="preserve">al Secretario de Vialidad y Transporte del Estado, </w:t>
      </w:r>
      <w:r>
        <w:rPr>
          <w:rFonts w:ascii="Gisha" w:hAnsi="Gisha" w:cs="Gisha"/>
          <w:b/>
          <w:i/>
          <w:u w:val="single"/>
        </w:rPr>
        <w:t xml:space="preserve">quien es la autoridad competente para conocer a(sic)cerca de si otorga o no la renovación de la concesión, </w:t>
      </w:r>
      <w:r>
        <w:rPr>
          <w:rFonts w:ascii="Gisha" w:hAnsi="Gisha" w:cs="Gisha"/>
          <w:i/>
        </w:rPr>
        <w:t xml:space="preserve">quien en base  a sus facultades otorgadas por el Gobernador Constitucional del Estado Libre y Soberano de Oaxaca, resolvió respecto de la renovación de concesiones solicitada por </w:t>
      </w:r>
      <w:r w:rsidR="00BE2C95">
        <w:rPr>
          <w:rFonts w:ascii="Gisha" w:hAnsi="Gisha" w:cs="Gisha"/>
          <w:i/>
        </w:rPr>
        <w:t>**********</w:t>
      </w:r>
      <w:r>
        <w:rPr>
          <w:rFonts w:ascii="Gisha" w:hAnsi="Gisha" w:cs="Gisha"/>
          <w:i/>
        </w:rPr>
        <w:t>, fundando y motivando debidamente el acto que emitió.</w:t>
      </w:r>
    </w:p>
    <w:p w:rsidR="00776D3C" w:rsidRDefault="00776D3C" w:rsidP="00776D3C">
      <w:pPr>
        <w:spacing w:after="0" w:line="360" w:lineRule="auto"/>
        <w:ind w:left="851" w:right="758" w:firstLine="567"/>
        <w:jc w:val="both"/>
        <w:rPr>
          <w:rFonts w:ascii="Gisha" w:hAnsi="Gisha" w:cs="Gisha"/>
          <w:i/>
        </w:rPr>
      </w:pPr>
      <w:r>
        <w:rPr>
          <w:rFonts w:ascii="Gisha" w:hAnsi="Gisha" w:cs="Gisha"/>
          <w:i/>
        </w:rPr>
        <w:t xml:space="preserve">Como se lee de la transcripción, la Sala de origen tuvo por cumplida la sentencia de nulidad porque la autoridad demandada se declaró incompetente para seguir conociendo de la petición de renovación de concesión y refirió que el Secretario de Vialidad y Transporte del Estado de Oaxaca, es </w:t>
      </w:r>
      <w:r>
        <w:rPr>
          <w:rFonts w:ascii="Gisha" w:hAnsi="Gisha" w:cs="Gisha"/>
          <w:i/>
        </w:rPr>
        <w:lastRenderedPageBreak/>
        <w:t xml:space="preserve">la autoridad competente para resolver si se otorga o no dicha renovación de concesión a </w:t>
      </w:r>
      <w:r w:rsidR="00BE2C95">
        <w:rPr>
          <w:rFonts w:ascii="Gisha" w:hAnsi="Gisha" w:cs="Gisha"/>
          <w:i/>
        </w:rPr>
        <w:t>**********</w:t>
      </w:r>
      <w:r>
        <w:rPr>
          <w:rFonts w:ascii="Gisha" w:hAnsi="Gisha" w:cs="Gisha"/>
          <w:i/>
        </w:rPr>
        <w:t>.</w:t>
      </w:r>
    </w:p>
    <w:p w:rsidR="00776D3C" w:rsidRDefault="00776D3C" w:rsidP="00776D3C">
      <w:pPr>
        <w:spacing w:after="0" w:line="360" w:lineRule="auto"/>
        <w:ind w:left="851" w:right="758" w:firstLine="567"/>
        <w:jc w:val="both"/>
        <w:rPr>
          <w:rFonts w:ascii="Gisha" w:hAnsi="Gisha" w:cs="Gisha"/>
          <w:i/>
        </w:rPr>
      </w:pPr>
      <w:r>
        <w:rPr>
          <w:rFonts w:ascii="Gisha" w:hAnsi="Gisha" w:cs="Gisha"/>
          <w:i/>
        </w:rPr>
        <w:t xml:space="preserve">Luego, si el quejoso en sus agravios controvirtió esa consideración de la Sexta Sala Unitaria de Primera Instancia, en cuanto declaró competente al Secretario de Vialidad y Transporte del Estado de Oaxaca para resolver sobre la petición de la renovación de concesión de transporte público; la Sala Superior debió dar respuesta a los argumentos aducidos en contra de la competencia de esa autoridad, precisamente porque fue materia del acuerdo recurrido. </w:t>
      </w:r>
    </w:p>
    <w:p w:rsidR="00776D3C" w:rsidRDefault="00776D3C" w:rsidP="00776D3C">
      <w:pPr>
        <w:spacing w:after="0" w:line="360" w:lineRule="auto"/>
        <w:ind w:left="851" w:right="758" w:firstLine="567"/>
        <w:jc w:val="both"/>
        <w:rPr>
          <w:rFonts w:ascii="Gisha" w:hAnsi="Gisha" w:cs="Gisha"/>
          <w:i/>
        </w:rPr>
      </w:pPr>
      <w:r>
        <w:rPr>
          <w:rFonts w:ascii="Gisha" w:hAnsi="Gisha" w:cs="Gisha"/>
          <w:i/>
        </w:rPr>
        <w:t xml:space="preserve">Por tanto, es inexacto que la Sala responsable haya considerado inoperante los agravios tendientes a controvertir la competencia del Secretario de Vialidad y Transporte del Estado de Oaxaca; pues la resolución que éste emitió no es el acto materia del análisis de la sentencia de nulidad,  sino únicamente el acuerdo de catorce de noviembre de dos mil dieciséis (foja 106 del I tomo de pruebas) emitido por el Director de Concesiones de la Secretaría de Vialidad y Transporte del Estado de Oaxaca, donde se declaró incompetente para continuar conociendo de la petición formulada por el Ciudadano </w:t>
      </w:r>
      <w:r w:rsidR="00BE2C95">
        <w:rPr>
          <w:rFonts w:ascii="Gisha" w:hAnsi="Gisha" w:cs="Gisha"/>
          <w:i/>
        </w:rPr>
        <w:t>**********</w:t>
      </w:r>
      <w:r>
        <w:rPr>
          <w:rFonts w:ascii="Gisha" w:hAnsi="Gisha" w:cs="Gisha"/>
          <w:i/>
        </w:rPr>
        <w:t xml:space="preserve"> y lo turnó al referido Secretario de Vialidad y Transporte, y que la propia Sala de primera instancia hizo pronunciamiento al considerarlo competente.</w:t>
      </w:r>
    </w:p>
    <w:p w:rsidR="00776D3C" w:rsidRDefault="00776D3C" w:rsidP="00776D3C">
      <w:pPr>
        <w:spacing w:before="120" w:after="0" w:line="360" w:lineRule="auto"/>
        <w:ind w:left="851" w:right="758" w:firstLine="567"/>
        <w:jc w:val="both"/>
        <w:rPr>
          <w:rFonts w:ascii="Gisha" w:hAnsi="Gisha" w:cs="Gisha"/>
          <w:i/>
        </w:rPr>
      </w:pPr>
      <w:r>
        <w:rPr>
          <w:rFonts w:ascii="Gisha" w:hAnsi="Gisha" w:cs="Gisha"/>
          <w:i/>
        </w:rPr>
        <w:t xml:space="preserve">Al resultar </w:t>
      </w:r>
      <w:r>
        <w:rPr>
          <w:rFonts w:ascii="Gisha" w:hAnsi="Gisha" w:cs="Gisha"/>
          <w:b/>
          <w:i/>
        </w:rPr>
        <w:t xml:space="preserve">fundados </w:t>
      </w:r>
      <w:r>
        <w:rPr>
          <w:rFonts w:ascii="Gisha" w:hAnsi="Gisha" w:cs="Gisha"/>
          <w:i/>
        </w:rPr>
        <w:t xml:space="preserve">los conceptos de violación expresados por el quejosos </w:t>
      </w:r>
      <w:r w:rsidR="00BE2C95">
        <w:rPr>
          <w:rFonts w:ascii="Gisha" w:hAnsi="Gisha" w:cs="Gisha"/>
          <w:i/>
        </w:rPr>
        <w:t>**********</w:t>
      </w:r>
      <w:r>
        <w:rPr>
          <w:rFonts w:ascii="Gisha" w:hAnsi="Gisha" w:cs="Gisha"/>
          <w:i/>
        </w:rPr>
        <w:t xml:space="preserve">, lo procedente es </w:t>
      </w:r>
      <w:r>
        <w:rPr>
          <w:rFonts w:ascii="Gisha" w:hAnsi="Gisha" w:cs="Gisha"/>
          <w:b/>
          <w:i/>
        </w:rPr>
        <w:t xml:space="preserve">conceder </w:t>
      </w:r>
      <w:r>
        <w:rPr>
          <w:rFonts w:ascii="Gisha" w:hAnsi="Gisha" w:cs="Gisha"/>
          <w:i/>
        </w:rPr>
        <w:t>la protección federal solicitada.</w:t>
      </w:r>
    </w:p>
    <w:p w:rsidR="00776D3C" w:rsidRDefault="00776D3C" w:rsidP="00776D3C">
      <w:pPr>
        <w:spacing w:before="120" w:after="0" w:line="360" w:lineRule="auto"/>
        <w:ind w:left="851" w:right="758" w:firstLine="567"/>
        <w:jc w:val="both"/>
        <w:rPr>
          <w:rFonts w:ascii="Gisha" w:hAnsi="Gisha" w:cs="Gisha"/>
          <w:i/>
        </w:rPr>
      </w:pPr>
      <w:r>
        <w:rPr>
          <w:rFonts w:ascii="Gisha" w:hAnsi="Gisha" w:cs="Gisha"/>
          <w:b/>
          <w:i/>
        </w:rPr>
        <w:t xml:space="preserve">SÉPTIMA.  </w:t>
      </w:r>
      <w:r>
        <w:rPr>
          <w:rFonts w:ascii="Gisha" w:hAnsi="Gisha" w:cs="Gisha"/>
          <w:b/>
          <w:i/>
          <w:u w:val="single"/>
        </w:rPr>
        <w:t xml:space="preserve">Efectos del amparo. </w:t>
      </w:r>
      <w:r>
        <w:rPr>
          <w:rFonts w:ascii="Gisha" w:hAnsi="Gisha" w:cs="Gisha"/>
          <w:i/>
        </w:rPr>
        <w:t>La Sala Superior del Tribunal de lo Contencioso Administrativo y de Cuentas del Poder Judicial del Estado de Oaxaca, deberá:</w:t>
      </w:r>
    </w:p>
    <w:p w:rsidR="00776D3C" w:rsidRDefault="00776D3C" w:rsidP="00776D3C">
      <w:pPr>
        <w:pStyle w:val="Prrafodelista"/>
        <w:numPr>
          <w:ilvl w:val="0"/>
          <w:numId w:val="15"/>
        </w:numPr>
        <w:spacing w:before="120" w:after="0" w:line="360" w:lineRule="auto"/>
        <w:ind w:right="758"/>
        <w:jc w:val="both"/>
        <w:rPr>
          <w:rFonts w:ascii="Gisha" w:hAnsi="Gisha" w:cs="Gisha"/>
          <w:i/>
        </w:rPr>
      </w:pPr>
      <w:r>
        <w:rPr>
          <w:rFonts w:ascii="Gisha" w:hAnsi="Gisha" w:cs="Gisha"/>
          <w:b/>
          <w:i/>
        </w:rPr>
        <w:t xml:space="preserve">Dejar insubsistente </w:t>
      </w:r>
      <w:r>
        <w:rPr>
          <w:rFonts w:ascii="Gisha" w:hAnsi="Gisha" w:cs="Gisha"/>
          <w:i/>
        </w:rPr>
        <w:t>la resolución de veintidós de junio de dos mil diecisiete, emitida en el recurso de revisión 178/2017, de su índice.</w:t>
      </w:r>
    </w:p>
    <w:p w:rsidR="00776D3C" w:rsidRDefault="00776D3C" w:rsidP="00776D3C">
      <w:pPr>
        <w:pStyle w:val="Prrafodelista"/>
        <w:numPr>
          <w:ilvl w:val="0"/>
          <w:numId w:val="15"/>
        </w:numPr>
        <w:spacing w:before="120" w:after="0" w:line="360" w:lineRule="auto"/>
        <w:ind w:right="758"/>
        <w:jc w:val="both"/>
        <w:rPr>
          <w:rFonts w:ascii="Gisha" w:hAnsi="Gisha" w:cs="Gisha"/>
          <w:i/>
        </w:rPr>
      </w:pPr>
      <w:r>
        <w:rPr>
          <w:rFonts w:ascii="Gisha" w:hAnsi="Gisha" w:cs="Gisha"/>
          <w:b/>
          <w:i/>
        </w:rPr>
        <w:lastRenderedPageBreak/>
        <w:t>Con libertad de jurisdicción, dicte nueva determinación</w:t>
      </w:r>
      <w:r>
        <w:rPr>
          <w:rFonts w:ascii="Gisha" w:hAnsi="Gisha" w:cs="Gisha"/>
          <w:i/>
        </w:rPr>
        <w:t xml:space="preserve">, en la cual, dé respuesta a los agravios de </w:t>
      </w:r>
      <w:r w:rsidR="00BE2C95">
        <w:rPr>
          <w:rFonts w:ascii="Gisha" w:hAnsi="Gisha" w:cs="Gisha"/>
          <w:i/>
        </w:rPr>
        <w:t>**********</w:t>
      </w:r>
      <w:r>
        <w:rPr>
          <w:rFonts w:ascii="Gisha" w:hAnsi="Gisha" w:cs="Gisha"/>
          <w:i/>
        </w:rPr>
        <w:t>expresados en el escrito de recurso de revisión ante ella interpuesto, conforme a lo precisado en esta ejecutoria.”</w:t>
      </w:r>
    </w:p>
    <w:p w:rsidR="00776D3C" w:rsidRDefault="00776D3C" w:rsidP="00776D3C">
      <w:pPr>
        <w:spacing w:before="120" w:after="0" w:line="360" w:lineRule="auto"/>
        <w:ind w:right="49" w:firstLine="708"/>
        <w:jc w:val="both"/>
        <w:rPr>
          <w:rFonts w:ascii="Arial" w:hAnsi="Arial" w:cs="Arial"/>
          <w:bCs/>
          <w:sz w:val="26"/>
          <w:szCs w:val="26"/>
        </w:rPr>
      </w:pPr>
      <w:r>
        <w:rPr>
          <w:rFonts w:ascii="Arial" w:hAnsi="Arial" w:cs="Arial"/>
          <w:b/>
          <w:bCs/>
          <w:sz w:val="26"/>
          <w:szCs w:val="26"/>
        </w:rPr>
        <w:t>TERCERO</w:t>
      </w:r>
      <w:r>
        <w:rPr>
          <w:rFonts w:ascii="Arial" w:hAnsi="Arial" w:cs="Arial"/>
          <w:bCs/>
          <w:sz w:val="26"/>
          <w:szCs w:val="26"/>
        </w:rPr>
        <w:t xml:space="preserve">. Mediante oficio 12741/2018 del 18 dieciocho de abril de 2018 dos mil dieciocho, el Secretario Judicial del Juzgado Segundo de Distrito en San Bartolo Coyotepec, Oaxaca, da a conocer la resolución dictada en la misma fecha dentro del juicio de amparo 226/2018, en la cual se concedió el amparo y protección de la Justicia Federal a </w:t>
      </w:r>
      <w:r w:rsidR="00BE2C95">
        <w:rPr>
          <w:rFonts w:ascii="Arial" w:hAnsi="Arial" w:cs="Arial"/>
          <w:bCs/>
          <w:sz w:val="26"/>
          <w:szCs w:val="26"/>
        </w:rPr>
        <w:t>**********</w:t>
      </w:r>
      <w:r>
        <w:rPr>
          <w:rFonts w:ascii="Arial" w:hAnsi="Arial" w:cs="Arial"/>
          <w:bCs/>
          <w:sz w:val="26"/>
          <w:szCs w:val="26"/>
        </w:rPr>
        <w:t>.</w:t>
      </w:r>
    </w:p>
    <w:p w:rsidR="00776D3C" w:rsidRDefault="00776D3C" w:rsidP="00776D3C">
      <w:pPr>
        <w:spacing w:before="120" w:after="0" w:line="360" w:lineRule="auto"/>
        <w:ind w:right="49" w:firstLine="708"/>
        <w:jc w:val="both"/>
        <w:rPr>
          <w:rFonts w:ascii="Arial" w:hAnsi="Arial" w:cs="Arial"/>
          <w:bCs/>
          <w:sz w:val="26"/>
          <w:szCs w:val="26"/>
        </w:rPr>
      </w:pPr>
      <w:r>
        <w:rPr>
          <w:rFonts w:ascii="Arial" w:hAnsi="Arial" w:cs="Arial"/>
          <w:b/>
          <w:bCs/>
          <w:sz w:val="26"/>
          <w:szCs w:val="26"/>
        </w:rPr>
        <w:t xml:space="preserve">CUARTO. </w:t>
      </w:r>
      <w:r>
        <w:rPr>
          <w:rFonts w:ascii="Arial" w:hAnsi="Arial" w:cs="Arial"/>
          <w:bCs/>
          <w:sz w:val="26"/>
          <w:szCs w:val="26"/>
        </w:rPr>
        <w:t>Por oficio 4211/2018 de fecha 22 de veintidós de mayo de  2018 dos mil dieciocho, la Secretaria de Acuerdos del Tribunal Colegiado en Materias de Trabajo y Administrativa del Décimo Tercer Circuito en San Bartolo Coyotepec, Oaxaca, informa del recurso de revisión número 140/2018 interpuesto por el Secretario de Vialidad y Transporte del Poder Ejecutivo del Estado de Oaxaca, en contra de la sentencia de dieciocho de abril de dos mil dieciocho, dictada en el juicio de amparo número 226/2018 del Juzgado Segundo de Distrito en el Estado.</w:t>
      </w:r>
    </w:p>
    <w:p w:rsidR="00776D3C" w:rsidRDefault="00776D3C" w:rsidP="00776D3C">
      <w:pPr>
        <w:spacing w:before="120" w:after="0" w:line="360" w:lineRule="auto"/>
        <w:ind w:right="49" w:firstLine="708"/>
        <w:jc w:val="both"/>
        <w:rPr>
          <w:rFonts w:ascii="Arial" w:hAnsi="Arial" w:cs="Arial"/>
          <w:bCs/>
          <w:sz w:val="26"/>
          <w:szCs w:val="26"/>
        </w:rPr>
      </w:pPr>
      <w:r>
        <w:rPr>
          <w:rFonts w:ascii="Arial" w:hAnsi="Arial" w:cs="Arial"/>
          <w:bCs/>
          <w:sz w:val="26"/>
          <w:szCs w:val="26"/>
        </w:rPr>
        <w:t xml:space="preserve"> </w:t>
      </w:r>
      <w:r>
        <w:rPr>
          <w:rFonts w:ascii="Arial" w:hAnsi="Arial" w:cs="Arial"/>
          <w:b/>
          <w:bCs/>
          <w:sz w:val="26"/>
          <w:szCs w:val="26"/>
        </w:rPr>
        <w:t xml:space="preserve">QUINTO. </w:t>
      </w:r>
      <w:r w:rsidR="006F4042">
        <w:rPr>
          <w:rFonts w:ascii="Arial" w:hAnsi="Arial" w:cs="Arial"/>
          <w:bCs/>
          <w:sz w:val="26"/>
          <w:szCs w:val="26"/>
        </w:rPr>
        <w:t>Mediante oficio 4686/2019 recibido en este Tribunal el</w:t>
      </w:r>
      <w:r>
        <w:rPr>
          <w:rFonts w:ascii="Arial" w:hAnsi="Arial" w:cs="Arial"/>
          <w:bCs/>
          <w:sz w:val="26"/>
          <w:szCs w:val="26"/>
        </w:rPr>
        <w:t xml:space="preserve"> 05 cinco de marzo de 2019 dos mil diecinueve, el Secretario Judicial del Juzgado Segundo de Distrito en San Bartolo Coyotepec, Oaxaca, informa que el Tribunal Colegiado en Materias de Trabajo y Administrativa, confirmó la sentencia de dieciocho de abril de dos mil dieciocho; por lo que,  requiere a este Órgano Jurisdiccional, para que en el plazo de tres días dé cumplimiento a dicho fallo.</w:t>
      </w:r>
    </w:p>
    <w:p w:rsidR="00776D3C" w:rsidRDefault="00776D3C" w:rsidP="00776D3C">
      <w:pPr>
        <w:spacing w:before="120" w:after="0" w:line="360" w:lineRule="auto"/>
        <w:ind w:right="49" w:firstLine="708"/>
        <w:jc w:val="both"/>
        <w:rPr>
          <w:rFonts w:ascii="Arial" w:hAnsi="Arial" w:cs="Arial"/>
          <w:bCs/>
          <w:sz w:val="26"/>
          <w:szCs w:val="26"/>
        </w:rPr>
      </w:pPr>
      <w:r>
        <w:rPr>
          <w:rFonts w:ascii="Arial" w:hAnsi="Arial" w:cs="Arial"/>
          <w:b/>
          <w:bCs/>
          <w:sz w:val="26"/>
          <w:szCs w:val="26"/>
        </w:rPr>
        <w:t xml:space="preserve">SEXTO. </w:t>
      </w:r>
      <w:r>
        <w:rPr>
          <w:rFonts w:ascii="Arial" w:hAnsi="Arial" w:cs="Arial"/>
          <w:bCs/>
          <w:sz w:val="26"/>
          <w:szCs w:val="26"/>
        </w:rPr>
        <w:t xml:space="preserve">Por oficio número </w:t>
      </w:r>
      <w:r>
        <w:rPr>
          <w:rFonts w:ascii="Arial" w:hAnsi="Arial" w:cs="Arial"/>
          <w:b/>
          <w:bCs/>
          <w:sz w:val="26"/>
          <w:szCs w:val="26"/>
        </w:rPr>
        <w:t>5982/2019</w:t>
      </w:r>
      <w:r>
        <w:rPr>
          <w:rFonts w:ascii="Arial" w:hAnsi="Arial" w:cs="Arial"/>
          <w:bCs/>
          <w:sz w:val="26"/>
          <w:szCs w:val="26"/>
        </w:rPr>
        <w:t xml:space="preserve"> de 08 de marzo de 2019 dos mil diecinueve, del Secretario de Acuerdos del Juzgado Segundo de Distrito en el Estado de Oaxaca, con residencia en San Bartolo Coyotepec, Oaxaca, se concede a esta Sala Superior el plazo de diez días hábiles más, para que se cumpla cabalmente con la ejecutoria de amparo. </w:t>
      </w:r>
    </w:p>
    <w:p w:rsidR="00776D3C" w:rsidRDefault="00776D3C" w:rsidP="00776D3C">
      <w:pPr>
        <w:spacing w:before="120" w:after="0" w:line="360" w:lineRule="auto"/>
        <w:ind w:right="49" w:firstLine="708"/>
        <w:jc w:val="center"/>
        <w:rPr>
          <w:rFonts w:ascii="Arial" w:hAnsi="Arial" w:cs="Arial"/>
          <w:bCs/>
          <w:sz w:val="26"/>
          <w:szCs w:val="26"/>
        </w:rPr>
      </w:pPr>
      <w:r>
        <w:rPr>
          <w:rFonts w:ascii="Arial" w:hAnsi="Arial" w:cs="Arial"/>
          <w:b/>
          <w:bCs/>
          <w:sz w:val="26"/>
          <w:szCs w:val="26"/>
        </w:rPr>
        <w:t>C O N S I D E R A N D O</w:t>
      </w:r>
    </w:p>
    <w:p w:rsidR="00776D3C" w:rsidRDefault="00776D3C" w:rsidP="00776D3C">
      <w:pPr>
        <w:spacing w:before="120" w:after="0" w:line="360" w:lineRule="auto"/>
        <w:ind w:right="49" w:firstLine="70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 xml:space="preserve">PRIMERO. </w:t>
      </w:r>
      <w:r>
        <w:rPr>
          <w:rFonts w:ascii="Arial" w:eastAsia="Times New Roman" w:hAnsi="Arial" w:cs="Arial"/>
          <w:bCs/>
          <w:iCs/>
          <w:sz w:val="26"/>
          <w:szCs w:val="26"/>
          <w:lang w:eastAsia="es-ES"/>
        </w:rPr>
        <w:t xml:space="preserve">Se deja insubsistente la resolución de 22 veintidós de junio de 2017 dos mil diecisiete, dictada por la Sala Superior del </w:t>
      </w:r>
      <w:r>
        <w:rPr>
          <w:rFonts w:ascii="Arial" w:eastAsia="Times New Roman" w:hAnsi="Arial" w:cs="Arial"/>
          <w:bCs/>
          <w:iCs/>
          <w:sz w:val="26"/>
          <w:szCs w:val="26"/>
          <w:lang w:eastAsia="es-ES"/>
        </w:rPr>
        <w:lastRenderedPageBreak/>
        <w:t>entonces Tribunal de lo Contencioso Administrativo y de Cuentas del Poder Judicial del Estado.</w:t>
      </w:r>
    </w:p>
    <w:p w:rsidR="00776D3C" w:rsidRDefault="00776D3C" w:rsidP="00776D3C">
      <w:pPr>
        <w:spacing w:before="120" w:after="0" w:line="360" w:lineRule="auto"/>
        <w:ind w:right="49" w:firstLine="708"/>
        <w:jc w:val="both"/>
        <w:rPr>
          <w:rFonts w:ascii="Arial" w:hAnsi="Arial" w:cs="Arial"/>
          <w:bCs/>
          <w:iCs/>
          <w:sz w:val="26"/>
          <w:szCs w:val="26"/>
          <w:lang w:eastAsia="es-ES"/>
        </w:rPr>
      </w:pPr>
      <w:r>
        <w:rPr>
          <w:rFonts w:ascii="Arial" w:eastAsia="Times New Roman" w:hAnsi="Arial" w:cs="Arial"/>
          <w:b/>
          <w:bCs/>
          <w:iCs/>
          <w:sz w:val="26"/>
          <w:szCs w:val="26"/>
          <w:lang w:eastAsia="es-ES"/>
        </w:rPr>
        <w:t>SEGUNDO.</w:t>
      </w:r>
      <w:r>
        <w:rPr>
          <w:rFonts w:ascii="Arial" w:hAnsi="Arial" w:cs="Arial"/>
          <w:b/>
          <w:bCs/>
          <w:iCs/>
          <w:sz w:val="26"/>
          <w:szCs w:val="26"/>
          <w:lang w:eastAsia="es-ES"/>
        </w:rPr>
        <w:t xml:space="preserve"> </w:t>
      </w:r>
      <w:r w:rsidR="006F4042"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6F4042">
        <w:rPr>
          <w:rFonts w:ascii="Arial" w:hAnsi="Arial" w:cs="Arial"/>
          <w:bCs/>
          <w:iCs/>
          <w:sz w:val="26"/>
          <w:szCs w:val="26"/>
          <w:lang w:eastAsia="es-ES"/>
        </w:rPr>
        <w:t>, vigente hasta el veinte de octubre de dos mil diecisiete,</w:t>
      </w:r>
      <w:r>
        <w:rPr>
          <w:rFonts w:ascii="Arial" w:hAnsi="Arial" w:cs="Arial"/>
          <w:bCs/>
          <w:iCs/>
          <w:sz w:val="26"/>
          <w:szCs w:val="26"/>
          <w:lang w:eastAsia="es-ES"/>
        </w:rPr>
        <w:t xml:space="preserve"> </w:t>
      </w:r>
      <w:r>
        <w:rPr>
          <w:rFonts w:ascii="Arial" w:hAnsi="Arial" w:cs="Arial"/>
          <w:bCs/>
          <w:iCs/>
          <w:sz w:val="26"/>
          <w:szCs w:val="26"/>
        </w:rPr>
        <w:t xml:space="preserve">toda vez se trata del Recurso de Revisión interpuesto en contra del acuerdo de 12 doce de diciembre de 2016 dos mil dieciséis, dictado por la Sexta Sala Unitaria de Primera Instancia de este Tribunal, en el expediente </w:t>
      </w:r>
      <w:r>
        <w:rPr>
          <w:rFonts w:ascii="Arial" w:hAnsi="Arial" w:cs="Arial"/>
          <w:b/>
          <w:bCs/>
          <w:iCs/>
          <w:sz w:val="26"/>
          <w:szCs w:val="26"/>
        </w:rPr>
        <w:t>311/2016.</w:t>
      </w:r>
    </w:p>
    <w:p w:rsidR="00776D3C" w:rsidRDefault="00776D3C" w:rsidP="00776D3C">
      <w:pPr>
        <w:spacing w:before="120" w:after="0" w:line="360" w:lineRule="auto"/>
        <w:ind w:right="49" w:firstLine="708"/>
        <w:jc w:val="both"/>
        <w:rPr>
          <w:rFonts w:ascii="Arial" w:hAnsi="Arial" w:cs="Arial"/>
        </w:rPr>
      </w:pPr>
      <w:r>
        <w:rPr>
          <w:rFonts w:ascii="Arial" w:hAnsi="Arial" w:cs="Arial"/>
          <w:b/>
          <w:bCs/>
          <w:sz w:val="26"/>
          <w:szCs w:val="26"/>
        </w:rPr>
        <w:t xml:space="preserve">TERCERO. </w:t>
      </w:r>
      <w:r>
        <w:rPr>
          <w:rFonts w:ascii="Arial" w:hAnsi="Arial" w:cs="Arial"/>
          <w:bCs/>
          <w:sz w:val="26"/>
          <w:szCs w:val="26"/>
        </w:rPr>
        <w:t>Los agravios hechos valer se encuentran expuestos en el escrito del recurrente, por lo que no existe necesidad de transcribirlos, al no transgredirle derecho alguno, como tampoco se vulnera disposición expresa que imponga tal obligación</w:t>
      </w:r>
      <w:r>
        <w:rPr>
          <w:rFonts w:ascii="Arial" w:hAnsi="Arial" w:cs="Arial"/>
          <w:sz w:val="26"/>
          <w:szCs w:val="26"/>
        </w:rPr>
        <w:t>.</w:t>
      </w:r>
      <w:r>
        <w:rPr>
          <w:rFonts w:ascii="Arial" w:hAnsi="Arial" w:cs="Arial"/>
          <w:bCs/>
          <w:sz w:val="26"/>
          <w:szCs w:val="26"/>
        </w:rPr>
        <w:t xml:space="preserve"> Se invoca en apoyo, la Tesis, publicada en la Gaceta del Semanario Judicial de la Federación, Volumen 81, Sexta Parte, Séptima  Época, pagina 23, bajo el rubro y texto siguiente</w:t>
      </w:r>
      <w:r>
        <w:rPr>
          <w:rFonts w:ascii="Arial" w:hAnsi="Arial" w:cs="Arial"/>
        </w:rPr>
        <w:t xml:space="preserve">: </w:t>
      </w:r>
    </w:p>
    <w:p w:rsidR="00776D3C" w:rsidRDefault="00776D3C" w:rsidP="00776D3C">
      <w:pPr>
        <w:spacing w:after="120" w:line="360" w:lineRule="auto"/>
        <w:ind w:left="851" w:right="618"/>
        <w:jc w:val="both"/>
        <w:rPr>
          <w:rFonts w:ascii="Arial" w:hAnsi="Arial" w:cs="Arial"/>
        </w:rPr>
      </w:pPr>
    </w:p>
    <w:p w:rsidR="00776D3C" w:rsidRDefault="00776D3C" w:rsidP="00776D3C">
      <w:pPr>
        <w:spacing w:after="120" w:line="360" w:lineRule="auto"/>
        <w:ind w:left="851" w:right="618"/>
        <w:jc w:val="both"/>
        <w:rPr>
          <w:rFonts w:ascii="Arial" w:eastAsia="Times New Roman" w:hAnsi="Arial" w:cs="Arial"/>
          <w:lang w:eastAsia="es-MX"/>
        </w:rPr>
      </w:pPr>
      <w:r>
        <w:rPr>
          <w:rFonts w:ascii="Arial" w:eastAsia="Times New Roman" w:hAnsi="Arial" w:cs="Arial"/>
          <w:bCs/>
          <w:lang w:eastAsia="es-MX"/>
        </w:rPr>
        <w:t xml:space="preserve"> “</w:t>
      </w:r>
      <w:r>
        <w:rPr>
          <w:rFonts w:ascii="Arial" w:eastAsia="Times New Roman" w:hAnsi="Arial" w:cs="Arial"/>
          <w:b/>
          <w:bCs/>
          <w:lang w:eastAsia="es-MX"/>
        </w:rPr>
        <w:t>CONCEPTOS DE VIOLACION. NO </w:t>
      </w:r>
      <w:r>
        <w:rPr>
          <w:rFonts w:ascii="Arial" w:eastAsia="Times New Roman" w:hAnsi="Arial" w:cs="Arial"/>
          <w:b/>
          <w:bCs/>
          <w:bdr w:val="none" w:sz="0" w:space="0" w:color="auto" w:frame="1"/>
          <w:lang w:eastAsia="es-MX"/>
        </w:rPr>
        <w:t>ES</w:t>
      </w:r>
      <w:r>
        <w:rPr>
          <w:rFonts w:ascii="Arial" w:eastAsia="Times New Roman" w:hAnsi="Arial" w:cs="Arial"/>
          <w:b/>
          <w:bCs/>
          <w:lang w:eastAsia="es-MX"/>
        </w:rPr>
        <w:t> </w:t>
      </w:r>
      <w:r>
        <w:rPr>
          <w:rFonts w:ascii="Arial" w:eastAsia="Times New Roman" w:hAnsi="Arial" w:cs="Arial"/>
          <w:b/>
          <w:bCs/>
          <w:bdr w:val="none" w:sz="0" w:space="0" w:color="auto" w:frame="1"/>
          <w:lang w:eastAsia="es-MX"/>
        </w:rPr>
        <w:t>OBLIGATORIO</w:t>
      </w:r>
      <w:r>
        <w:rPr>
          <w:rFonts w:ascii="Arial" w:eastAsia="Times New Roman" w:hAnsi="Arial" w:cs="Arial"/>
          <w:b/>
          <w:bCs/>
          <w:lang w:eastAsia="es-MX"/>
        </w:rPr>
        <w:t> TRANSCRIBIRLOS EN LA SENTENCIA</w:t>
      </w:r>
      <w:r>
        <w:rPr>
          <w:rFonts w:ascii="Arial" w:eastAsia="Times New Roman" w:hAnsi="Arial" w:cs="Arial"/>
          <w:bCs/>
          <w:lang w:eastAsia="es-MX"/>
        </w:rPr>
        <w:t xml:space="preserve">. </w:t>
      </w:r>
      <w:r>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Pr>
          <w:rFonts w:ascii="Arial" w:eastAsia="Times New Roman" w:hAnsi="Arial" w:cs="Arial"/>
          <w:bCs/>
          <w:bdr w:val="none" w:sz="0" w:space="0" w:color="auto" w:frame="1"/>
          <w:lang w:eastAsia="es-MX"/>
        </w:rPr>
        <w:t>es</w:t>
      </w:r>
      <w:r>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Pr>
          <w:rFonts w:ascii="Arial" w:hAnsi="Arial" w:cs="Arial"/>
          <w:lang w:eastAsia="es-MX"/>
        </w:rPr>
        <w:t>aler, aun cuando no transcritos</w:t>
      </w:r>
      <w:r>
        <w:rPr>
          <w:rFonts w:ascii="Arial" w:eastAsia="Times New Roman" w:hAnsi="Arial" w:cs="Arial"/>
          <w:lang w:eastAsia="es-MX"/>
        </w:rPr>
        <w:t>(sic)</w:t>
      </w:r>
      <w:r>
        <w:rPr>
          <w:rFonts w:ascii="Arial" w:hAnsi="Arial" w:cs="Arial"/>
          <w:lang w:eastAsia="es-MX"/>
        </w:rPr>
        <w:t>.”</w:t>
      </w:r>
      <w:r>
        <w:rPr>
          <w:rFonts w:ascii="Arial" w:eastAsia="Times New Roman" w:hAnsi="Arial" w:cs="Arial"/>
          <w:lang w:eastAsia="es-MX"/>
        </w:rPr>
        <w:t xml:space="preserve"> </w:t>
      </w:r>
    </w:p>
    <w:p w:rsidR="00776D3C" w:rsidRDefault="00776D3C" w:rsidP="00776D3C">
      <w:pPr>
        <w:tabs>
          <w:tab w:val="left" w:pos="6435"/>
        </w:tabs>
        <w:spacing w:after="0" w:line="360" w:lineRule="auto"/>
        <w:jc w:val="both"/>
        <w:rPr>
          <w:rFonts w:ascii="Arial" w:eastAsia="Calibri" w:hAnsi="Arial" w:cs="Arial"/>
          <w:b/>
          <w:sz w:val="26"/>
          <w:szCs w:val="26"/>
        </w:rPr>
      </w:pPr>
    </w:p>
    <w:p w:rsidR="00776D3C" w:rsidRDefault="00776D3C" w:rsidP="00776D3C">
      <w:pPr>
        <w:tabs>
          <w:tab w:val="left" w:pos="6435"/>
        </w:tabs>
        <w:spacing w:after="0" w:line="360" w:lineRule="auto"/>
        <w:jc w:val="both"/>
        <w:rPr>
          <w:rFonts w:ascii="Arial" w:eastAsia="Calibri" w:hAnsi="Arial" w:cs="Arial"/>
          <w:sz w:val="26"/>
          <w:szCs w:val="26"/>
        </w:rPr>
      </w:pPr>
      <w:r>
        <w:rPr>
          <w:rFonts w:ascii="Arial" w:eastAsia="Calibri" w:hAnsi="Arial" w:cs="Arial"/>
          <w:b/>
          <w:sz w:val="26"/>
          <w:szCs w:val="26"/>
        </w:rPr>
        <w:t xml:space="preserve">         CUARTO. </w:t>
      </w:r>
      <w:r>
        <w:rPr>
          <w:rFonts w:ascii="Arial" w:eastAsia="Calibri" w:hAnsi="Arial" w:cs="Arial"/>
          <w:sz w:val="26"/>
          <w:szCs w:val="26"/>
        </w:rPr>
        <w:t>Señala el recurrente que le causa agravio el acuer</w:t>
      </w:r>
      <w:r>
        <w:rPr>
          <w:rFonts w:ascii="Arial" w:eastAsia="Calibri" w:hAnsi="Arial" w:cs="Arial"/>
          <w:bCs/>
          <w:sz w:val="26"/>
          <w:szCs w:val="26"/>
        </w:rPr>
        <w:t>do combatido, en virtud de que adolece de la fundamentación y motivación que exige el artículo 177 fracciones I y II, de la Ley de Justicia Administrativa para el Estado de Oaxaca, ya que l</w:t>
      </w:r>
      <w:r>
        <w:rPr>
          <w:rFonts w:ascii="Arial" w:eastAsia="Calibri" w:hAnsi="Arial" w:cs="Arial"/>
          <w:sz w:val="26"/>
          <w:szCs w:val="26"/>
        </w:rPr>
        <w:t xml:space="preserve">a primera instancia no realiza ningún análisis de la resolución </w:t>
      </w:r>
      <w:r w:rsidRPr="00346273">
        <w:rPr>
          <w:rFonts w:ascii="Arial" w:eastAsia="Calibri" w:hAnsi="Arial" w:cs="Arial"/>
          <w:sz w:val="26"/>
          <w:szCs w:val="26"/>
          <w:highlight w:val="yellow"/>
        </w:rPr>
        <w:t>de 15 quince de noviembre</w:t>
      </w:r>
      <w:r>
        <w:rPr>
          <w:rFonts w:ascii="Arial" w:eastAsia="Calibri" w:hAnsi="Arial" w:cs="Arial"/>
          <w:sz w:val="26"/>
          <w:szCs w:val="26"/>
        </w:rPr>
        <w:t xml:space="preserve"> </w:t>
      </w:r>
      <w:r>
        <w:rPr>
          <w:rFonts w:ascii="Arial" w:eastAsia="Calibri" w:hAnsi="Arial" w:cs="Arial"/>
          <w:sz w:val="26"/>
          <w:szCs w:val="26"/>
        </w:rPr>
        <w:lastRenderedPageBreak/>
        <w:t>de 2016 dos mil dieciséis, dictada por el Secretario de Vialidad y Transporte del Estado de Oaxaca, con la cual le niega la renovación de la concesión para prestar el servicio público de transporte en la modalidad de taxi, en la población de Agua Dulce, Huajuapan de León, Oaxaca; y tuvo por cumplida la sentencia pronunciada el 27 veintisiete de mayo de 2015 dos mil quince, exponiendo motivos por los cuales considera que el Secretario de Vialidad es autoridad competente para resolver su petición. Por otra parte manifiesta que los fundamentos en  que se apoya el Director de Concesiones de la Secretaría de Vialidad y Transporte, para turnar su escrito de petición al titular de la citada Secretaría, son incorrectos, al no otorgarle facultades para resolver sobre la renovación o prórroga de las concesiones de transporte público, por lo que no pueden servir de fundamento para sostener su competencia.</w:t>
      </w:r>
    </w:p>
    <w:p w:rsidR="00776D3C" w:rsidRDefault="00776D3C" w:rsidP="00776D3C">
      <w:pPr>
        <w:tabs>
          <w:tab w:val="left" w:pos="6435"/>
        </w:tabs>
        <w:spacing w:after="0" w:line="360" w:lineRule="auto"/>
        <w:jc w:val="both"/>
        <w:rPr>
          <w:rFonts w:ascii="Arial" w:eastAsia="Calibri" w:hAnsi="Arial" w:cs="Arial"/>
          <w:sz w:val="26"/>
          <w:szCs w:val="26"/>
        </w:rPr>
      </w:pPr>
    </w:p>
    <w:p w:rsidR="00776D3C" w:rsidRDefault="00776D3C" w:rsidP="00776D3C">
      <w:pPr>
        <w:tabs>
          <w:tab w:val="left" w:pos="6435"/>
        </w:tabs>
        <w:spacing w:after="0" w:line="360" w:lineRule="auto"/>
        <w:jc w:val="both"/>
        <w:rPr>
          <w:rFonts w:ascii="Arial" w:eastAsia="Calibri" w:hAnsi="Arial" w:cs="Arial"/>
          <w:sz w:val="26"/>
          <w:szCs w:val="26"/>
        </w:rPr>
      </w:pPr>
      <w:r>
        <w:rPr>
          <w:rFonts w:ascii="Arial" w:eastAsia="Calibri" w:hAnsi="Arial" w:cs="Arial"/>
          <w:sz w:val="26"/>
          <w:szCs w:val="26"/>
        </w:rPr>
        <w:t xml:space="preserve">            Resultan </w:t>
      </w:r>
      <w:r>
        <w:rPr>
          <w:rFonts w:ascii="Arial" w:eastAsia="Calibri" w:hAnsi="Arial" w:cs="Arial"/>
          <w:b/>
          <w:sz w:val="26"/>
          <w:szCs w:val="26"/>
        </w:rPr>
        <w:t>infundadas</w:t>
      </w:r>
      <w:r>
        <w:rPr>
          <w:rFonts w:ascii="Arial" w:eastAsia="Calibri" w:hAnsi="Arial" w:cs="Arial"/>
          <w:sz w:val="26"/>
          <w:szCs w:val="26"/>
        </w:rPr>
        <w:t xml:space="preserve"> las consideraciones que alude la recurrente al señalar que el acuerdo recurrido trasgrede lo dispuesto por las dos primeras fracciones del artículo 177 de la ley de la materia, al carecer de la fijación clara y precisa de los puntos controvertidos; esto es así, porque dicho precepto legal hace referencia a las sentencias que emita el Tribunal y no a los acuerdos de trámite, pues los puntos controvertidos son aquellos hechos que sustentan las pretensiones procesales propuestas por las partes y sobre los que existe discrepancia y deberán ser probados, para finalmente analizarse por el juzgador al emitir la sentencia respectiva, lo que en el caso no acontece, pues se está ante un acuerdo en el que se tiene por cumplida la sentencia y  respecto del cual, lo que corresponde es analizar si se ha cumplido o no;  siendo así, por la naturaleza del acuerdo combatido no es de resolverse una controversia.</w:t>
      </w:r>
    </w:p>
    <w:p w:rsidR="00776D3C" w:rsidRDefault="00776D3C" w:rsidP="00776D3C">
      <w:pPr>
        <w:tabs>
          <w:tab w:val="left" w:pos="6435"/>
        </w:tabs>
        <w:spacing w:after="0" w:line="360" w:lineRule="auto"/>
        <w:jc w:val="both"/>
        <w:rPr>
          <w:rFonts w:ascii="Arial" w:eastAsia="Calibri" w:hAnsi="Arial" w:cs="Arial"/>
          <w:sz w:val="26"/>
          <w:szCs w:val="26"/>
        </w:rPr>
      </w:pPr>
    </w:p>
    <w:p w:rsidR="00776D3C" w:rsidRDefault="00776D3C" w:rsidP="00776D3C">
      <w:pPr>
        <w:tabs>
          <w:tab w:val="left" w:pos="6435"/>
        </w:tabs>
        <w:spacing w:after="0" w:line="360" w:lineRule="auto"/>
        <w:jc w:val="both"/>
        <w:rPr>
          <w:rFonts w:ascii="Arial" w:hAnsi="Arial"/>
          <w:sz w:val="26"/>
        </w:rPr>
      </w:pPr>
      <w:r>
        <w:rPr>
          <w:rFonts w:ascii="Arial" w:eastAsia="Calibri" w:hAnsi="Arial" w:cs="Arial"/>
          <w:sz w:val="26"/>
          <w:szCs w:val="26"/>
        </w:rPr>
        <w:t xml:space="preserve">           Asimismo, resulta </w:t>
      </w:r>
      <w:r>
        <w:rPr>
          <w:rFonts w:ascii="Arial" w:eastAsia="Calibri" w:hAnsi="Arial" w:cs="Arial"/>
          <w:b/>
          <w:sz w:val="26"/>
          <w:szCs w:val="26"/>
        </w:rPr>
        <w:t>infundado</w:t>
      </w:r>
      <w:r>
        <w:rPr>
          <w:rFonts w:ascii="Arial" w:eastAsia="Calibri" w:hAnsi="Arial" w:cs="Arial"/>
          <w:sz w:val="26"/>
          <w:szCs w:val="26"/>
        </w:rPr>
        <w:t xml:space="preserve"> lo alegado por el recurrente respecto a que el acuerdo de mérito, carece de la exposición fundada y motivada </w:t>
      </w:r>
      <w:r>
        <w:rPr>
          <w:rFonts w:ascii="Arial" w:eastAsia="Calibri" w:hAnsi="Arial" w:cs="Arial"/>
          <w:bCs/>
          <w:sz w:val="26"/>
          <w:szCs w:val="26"/>
        </w:rPr>
        <w:t>pues l</w:t>
      </w:r>
      <w:r>
        <w:rPr>
          <w:rFonts w:ascii="Arial" w:eastAsia="Calibri" w:hAnsi="Arial" w:cs="Arial"/>
          <w:sz w:val="26"/>
          <w:szCs w:val="26"/>
        </w:rPr>
        <w:t xml:space="preserve">a primera instancia no realiza ningún análisis de la resolución </w:t>
      </w:r>
      <w:r w:rsidRPr="00346273">
        <w:rPr>
          <w:rFonts w:ascii="Arial" w:eastAsia="Calibri" w:hAnsi="Arial" w:cs="Arial"/>
          <w:sz w:val="26"/>
          <w:szCs w:val="26"/>
        </w:rPr>
        <w:t>de 14 catorce de noviembre de 2016 dos</w:t>
      </w:r>
      <w:r>
        <w:rPr>
          <w:rFonts w:ascii="Arial" w:eastAsia="Calibri" w:hAnsi="Arial" w:cs="Arial"/>
          <w:sz w:val="26"/>
          <w:szCs w:val="26"/>
        </w:rPr>
        <w:t xml:space="preserve"> mil dieciséis, dictada por el Secretario de Vialidad y Transporte del Estado de Oaxaca, y tuvo por cumplida la sentencia pronunciada el 27 veintisiete de mayo de 2015 dos mil quince; esto porque contrario a su afirmación, en el acuerdo de </w:t>
      </w:r>
      <w:r w:rsidRPr="00346273">
        <w:rPr>
          <w:rFonts w:ascii="Arial" w:eastAsia="Calibri" w:hAnsi="Arial" w:cs="Arial"/>
          <w:sz w:val="26"/>
          <w:szCs w:val="26"/>
        </w:rPr>
        <w:t>12 doce de diciembre de 2016 dos mil dieciséis, se</w:t>
      </w:r>
      <w:r>
        <w:rPr>
          <w:rFonts w:ascii="Arial" w:eastAsia="Calibri" w:hAnsi="Arial" w:cs="Arial"/>
          <w:sz w:val="26"/>
          <w:szCs w:val="26"/>
        </w:rPr>
        <w:t xml:space="preserve"> </w:t>
      </w:r>
      <w:r>
        <w:rPr>
          <w:rFonts w:ascii="Arial" w:eastAsia="Calibri" w:hAnsi="Arial" w:cs="Arial"/>
          <w:sz w:val="26"/>
          <w:szCs w:val="26"/>
        </w:rPr>
        <w:lastRenderedPageBreak/>
        <w:t xml:space="preserve">plasmaron las razones que tuvo en cuenta el resolutor para </w:t>
      </w:r>
      <w:r>
        <w:rPr>
          <w:rFonts w:ascii="Arial" w:hAnsi="Arial"/>
          <w:sz w:val="26"/>
        </w:rPr>
        <w:t xml:space="preserve">considerar cumplida la sentencia, cuando expone que la autoridad demandada se declaró incompetente para seguir conociendo de la petición plateada por el actor y turnarla al Secretario de Vialidad y Transporte del Estado, quien es la autoridad competente para resolver acerca  de si otorga o no la renovación de la concesión, quien en base de sus facultades otorgadas por el Gobernador Constitucional del Estado Libre y Soberano de Oaxaca, resolvió respecto de la renovación de concesión del aquí actor. </w:t>
      </w:r>
    </w:p>
    <w:p w:rsidR="00776D3C" w:rsidRDefault="00776D3C" w:rsidP="00776D3C">
      <w:pPr>
        <w:tabs>
          <w:tab w:val="left" w:pos="6435"/>
        </w:tabs>
        <w:spacing w:after="0" w:line="360" w:lineRule="auto"/>
        <w:jc w:val="both"/>
        <w:rPr>
          <w:rFonts w:ascii="Arial" w:hAnsi="Arial"/>
          <w:color w:val="000000" w:themeColor="text1"/>
        </w:rPr>
      </w:pPr>
      <w:r>
        <w:rPr>
          <w:rFonts w:ascii="Arial" w:hAnsi="Arial"/>
          <w:sz w:val="26"/>
        </w:rPr>
        <w:t xml:space="preserve">           Por otra parte, </w:t>
      </w:r>
      <w:r>
        <w:rPr>
          <w:rFonts w:ascii="Arial" w:hAnsi="Arial"/>
          <w:color w:val="000000" w:themeColor="text1"/>
          <w:sz w:val="26"/>
        </w:rPr>
        <w:t xml:space="preserve">expresa, que se da la violación a las fracciones I y II del artículo 177 de la Ley de Justicia Administrativa, ante la falta de razones para considerar que el Secretario de Vialidad y Transporte, puede resolver sobre su solicitud de renovación de concesión. Cita los criterios de rubros: </w:t>
      </w:r>
      <w:r>
        <w:rPr>
          <w:rFonts w:ascii="Arial" w:hAnsi="Arial"/>
          <w:color w:val="000000" w:themeColor="text1"/>
        </w:rPr>
        <w:t>“SENTENCIAS DE AMPARO. SU CUMPLIMIENTO DEBE SER TOTAL, ATENTO A LOS PRINCIPIOS DE CONGRUENCIA Y DE EXHAUSTIVIDAD” y “EJECUTORIA DE AMPARO. EL JUEZ DE DISTRITO DEBE VELAR POR SU EXACTO CUMPLIMIENTO, EN LAS CONDICIONES POR LAS QUE FUE CONCEDIDO EL AMPARO.”</w:t>
      </w:r>
    </w:p>
    <w:p w:rsidR="00776D3C" w:rsidRDefault="00776D3C" w:rsidP="00776D3C">
      <w:pPr>
        <w:tabs>
          <w:tab w:val="left" w:pos="6435"/>
        </w:tabs>
        <w:spacing w:after="0" w:line="360" w:lineRule="auto"/>
        <w:jc w:val="both"/>
        <w:rPr>
          <w:rFonts w:ascii="Arial" w:hAnsi="Arial"/>
          <w:color w:val="000000" w:themeColor="text1"/>
        </w:rPr>
      </w:pPr>
    </w:p>
    <w:p w:rsidR="00776D3C" w:rsidRDefault="00776D3C" w:rsidP="00776D3C">
      <w:pPr>
        <w:tabs>
          <w:tab w:val="left" w:pos="6435"/>
        </w:tabs>
        <w:spacing w:after="0" w:line="360" w:lineRule="auto"/>
        <w:jc w:val="both"/>
        <w:rPr>
          <w:rFonts w:ascii="Arial" w:hAnsi="Arial"/>
          <w:color w:val="000000" w:themeColor="text1"/>
        </w:rPr>
      </w:pPr>
      <w:r>
        <w:rPr>
          <w:rFonts w:ascii="Arial" w:hAnsi="Arial"/>
          <w:color w:val="000000" w:themeColor="text1"/>
        </w:rPr>
        <w:t xml:space="preserve">               </w:t>
      </w:r>
      <w:r>
        <w:rPr>
          <w:rFonts w:ascii="Arial" w:hAnsi="Arial"/>
          <w:color w:val="000000" w:themeColor="text1"/>
          <w:sz w:val="26"/>
        </w:rPr>
        <w:t xml:space="preserve">Sostiene, que contrario a lo considerado por el Magistrado de Primera Instancia, el artículo 40, fracción IV de la Ley Orgánica del Poder Ejecutivo del Estado de Oaxaca, no faculta al Secretario de Vialidad y Transporte para pronunciarse respecto a la renovación de la concesión, porque tal precepto legal únicamente lo faculta para conocer, iniciar e instruir los trámites para otorgar, revocar, conocer, suspender, modificar, prorrogar, renovar, aprobar y dar por terminadas las concesiones, permisos y autorizaciones, que finalmente otorga el Titular del Ejecutivo; esto es que sólo puede iniciar el procedimiento administrativo, conocer e instruirlo, pero no está facultado para resolver el fondo del mismo. Sustenta sus alegaciones en los criterios de rubros: </w:t>
      </w:r>
      <w:r>
        <w:rPr>
          <w:rFonts w:ascii="Arial" w:hAnsi="Arial"/>
          <w:color w:val="000000" w:themeColor="text1"/>
        </w:rPr>
        <w:t xml:space="preserve">“JUICIO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w:t>
      </w:r>
      <w:r>
        <w:rPr>
          <w:rFonts w:ascii="Arial" w:hAnsi="Arial"/>
          <w:color w:val="000000" w:themeColor="text1"/>
        </w:rPr>
        <w:lastRenderedPageBreak/>
        <w:t>INTERIOR DE LA SECRETARÍA DE CONTRALORÍA Y DESARROLLO ADMINISTRATIVO VIGENTE HASTA EL 16 DE JULIO DE 2001”.</w:t>
      </w:r>
    </w:p>
    <w:p w:rsidR="00776D3C" w:rsidRDefault="00776D3C" w:rsidP="00776D3C">
      <w:pPr>
        <w:tabs>
          <w:tab w:val="left" w:pos="6435"/>
        </w:tabs>
        <w:spacing w:after="0" w:line="360" w:lineRule="auto"/>
        <w:jc w:val="both"/>
        <w:rPr>
          <w:rFonts w:ascii="Arial" w:hAnsi="Arial"/>
          <w:color w:val="000000" w:themeColor="text1"/>
        </w:rPr>
      </w:pPr>
    </w:p>
    <w:p w:rsidR="00776D3C" w:rsidRDefault="00776D3C" w:rsidP="00776D3C">
      <w:pPr>
        <w:tabs>
          <w:tab w:val="left" w:pos="6435"/>
        </w:tabs>
        <w:spacing w:after="0" w:line="360" w:lineRule="auto"/>
        <w:jc w:val="both"/>
        <w:rPr>
          <w:rFonts w:ascii="Arial" w:hAnsi="Arial"/>
          <w:sz w:val="26"/>
        </w:rPr>
      </w:pPr>
      <w:r>
        <w:rPr>
          <w:rFonts w:ascii="Arial" w:hAnsi="Arial"/>
          <w:color w:val="000000" w:themeColor="text1"/>
        </w:rPr>
        <w:t xml:space="preserve">            </w:t>
      </w:r>
      <w:r>
        <w:rPr>
          <w:rFonts w:ascii="Arial" w:hAnsi="Arial"/>
          <w:sz w:val="26"/>
        </w:rPr>
        <w:t xml:space="preserve">Manifestaciones que también devienen </w:t>
      </w:r>
      <w:r>
        <w:rPr>
          <w:rFonts w:ascii="Arial" w:hAnsi="Arial"/>
          <w:b/>
          <w:sz w:val="26"/>
        </w:rPr>
        <w:t>infundadas</w:t>
      </w:r>
      <w:r>
        <w:rPr>
          <w:rFonts w:ascii="Arial" w:hAnsi="Arial"/>
          <w:sz w:val="26"/>
        </w:rPr>
        <w:t xml:space="preserve">, toda vez que en la sentencia de 27 veintisiete de mayo de 2015 dos mil quince, se declaró la nulidad  del oficio SEVITRA/DJ/DCAA/3704/2013, de 11 once de noviembre de 2013 dos mil trece, para el efecto de que la Directora de Concesiones de la Secretaría de Vialidad y Transporte, dictara otro en el que fundamentara debidamente su competencia, lo cual cumplió al emitir el acuerdo de 14 catorce de noviembre de 2016, en el que se declara incompetente para seguir conociendo de la solicitud de concesión presentada por </w:t>
      </w:r>
      <w:r w:rsidR="00BE2C95">
        <w:rPr>
          <w:rFonts w:ascii="Arial" w:hAnsi="Arial"/>
          <w:sz w:val="26"/>
        </w:rPr>
        <w:t>**********</w:t>
      </w:r>
      <w:r>
        <w:rPr>
          <w:rFonts w:ascii="Arial" w:hAnsi="Arial"/>
          <w:sz w:val="26"/>
        </w:rPr>
        <w:t xml:space="preserve">  y la turna al Secretario de Vialidad y Transporte, al argumentar que dicha autoridad es la competente para conocer de dicha petición, de conformidad con el artículo 40 fracción IV de la Ley Orgánica del Poder Ejecutivo del Estado de Oaxaca, y acuerdo delegatorio publicado en el Periódico Oficial del Gobierno del Estado, el cuatro de septiembre de dos mil doce expedido por el Gobernador del Estado.</w:t>
      </w:r>
    </w:p>
    <w:p w:rsidR="00776D3C" w:rsidRDefault="00776D3C" w:rsidP="00776D3C">
      <w:pPr>
        <w:tabs>
          <w:tab w:val="left" w:pos="6435"/>
        </w:tabs>
        <w:spacing w:after="0" w:line="360" w:lineRule="auto"/>
        <w:jc w:val="both"/>
        <w:rPr>
          <w:rFonts w:ascii="Arial" w:hAnsi="Arial"/>
          <w:i/>
          <w:sz w:val="24"/>
          <w:szCs w:val="24"/>
        </w:rPr>
      </w:pPr>
      <w:r>
        <w:rPr>
          <w:rFonts w:ascii="Arial" w:hAnsi="Arial"/>
          <w:sz w:val="26"/>
        </w:rPr>
        <w:t xml:space="preserve">            Ahora bien, mediante oficio SEVITRA/DJ/DCAA/3734/2016, signado por el Director Jurídico de la Secretaría de Vialidad y Transporte, informa el cumplimiento a la sentencia de primera instancia y anexa la resolución de 14 catorce de noviembre de 2016 dos mil dieciséis, emitida por el Secretario de Vialidad y Transporte del Estado, misma que se dictó en relación a la referida sentencia, fundándose en lo dispuesto por el artículo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de los Estados Unidos Mexicanos, 13 de la Constitución Política del Estado Libre y Soberado de Oaxaca, y el Acuerdo de fecha cuatro de septiembre de dos mil doce, mediante el cual el Gobernador Constitucional del Estado, delega facultades al Secretario de Vialidad y Transporte del Estado de Oaxaca, y en la que se resolvió lo siguiente: </w:t>
      </w:r>
      <w:r>
        <w:rPr>
          <w:rFonts w:ascii="Arial" w:hAnsi="Arial"/>
          <w:i/>
          <w:sz w:val="24"/>
          <w:szCs w:val="24"/>
        </w:rPr>
        <w:t xml:space="preserve">“…dígasele al Ciudadano </w:t>
      </w:r>
      <w:r w:rsidR="00BE2C95">
        <w:rPr>
          <w:rFonts w:ascii="Arial" w:hAnsi="Arial"/>
          <w:b/>
          <w:i/>
          <w:sz w:val="24"/>
          <w:szCs w:val="24"/>
        </w:rPr>
        <w:t>**********</w:t>
      </w:r>
      <w:r>
        <w:rPr>
          <w:rFonts w:ascii="Arial" w:hAnsi="Arial"/>
          <w:i/>
          <w:sz w:val="24"/>
          <w:szCs w:val="24"/>
        </w:rPr>
        <w:t>, que no ha lugar a acordar favorablemente su petición contenida en su escrito de uno de agosto de dos mil doce…”</w:t>
      </w:r>
    </w:p>
    <w:p w:rsidR="00776D3C" w:rsidRDefault="00776D3C" w:rsidP="00776D3C">
      <w:pPr>
        <w:tabs>
          <w:tab w:val="left" w:pos="6435"/>
        </w:tabs>
        <w:spacing w:after="0" w:line="360" w:lineRule="auto"/>
        <w:jc w:val="both"/>
        <w:rPr>
          <w:rFonts w:ascii="Arial" w:hAnsi="Arial"/>
          <w:i/>
          <w:color w:val="000000" w:themeColor="text1"/>
          <w:sz w:val="24"/>
          <w:szCs w:val="24"/>
        </w:rPr>
      </w:pPr>
    </w:p>
    <w:p w:rsidR="00776D3C" w:rsidRDefault="00776D3C" w:rsidP="00776D3C">
      <w:pPr>
        <w:tabs>
          <w:tab w:val="left" w:pos="6435"/>
        </w:tabs>
        <w:spacing w:after="0" w:line="360" w:lineRule="auto"/>
        <w:jc w:val="both"/>
        <w:rPr>
          <w:rFonts w:ascii="Arial" w:hAnsi="Arial"/>
          <w:sz w:val="26"/>
        </w:rPr>
      </w:pPr>
      <w:r>
        <w:rPr>
          <w:rFonts w:ascii="Arial" w:hAnsi="Arial"/>
          <w:color w:val="000000" w:themeColor="text1"/>
          <w:sz w:val="26"/>
        </w:rPr>
        <w:lastRenderedPageBreak/>
        <w:t xml:space="preserve">           Ahora,  </w:t>
      </w:r>
      <w:r>
        <w:rPr>
          <w:rFonts w:ascii="Arial" w:hAnsi="Arial"/>
          <w:sz w:val="26"/>
        </w:rPr>
        <w:t>toda vez que la Sala Unitaria omitió analizar los preceptos legales invocados por el Secretario de Vialidad y Transporte en el Estado, en la resolución de 14 catorce de noviembre de 2016 dos mil dieciséis, por el que dio cumplimiento a la sentencia relativo a que si le dan facultades para emitir el acuerdo respectivo, transgrede lo preceptuado en los artículos 14 y 16 de la Constitución Política de los Estados Unidos Mexicanos. En estas condiciones a efecto de reparar el agravio irrigado y a fin de cumplir con la ejecutoria de amparo emitida por el Juzgado Segundo de Distrito en el Estado,  y estudiar el agravio señalado, se procede reasumir jurisdicción.</w:t>
      </w:r>
    </w:p>
    <w:p w:rsidR="00776D3C" w:rsidRDefault="00776D3C" w:rsidP="00776D3C">
      <w:pPr>
        <w:tabs>
          <w:tab w:val="left" w:pos="6435"/>
        </w:tabs>
        <w:spacing w:after="0" w:line="360" w:lineRule="auto"/>
        <w:jc w:val="both"/>
        <w:rPr>
          <w:rFonts w:ascii="Arial" w:hAnsi="Arial"/>
          <w:sz w:val="26"/>
        </w:rPr>
      </w:pPr>
    </w:p>
    <w:p w:rsidR="00776D3C" w:rsidRDefault="00776D3C" w:rsidP="00776D3C">
      <w:pPr>
        <w:tabs>
          <w:tab w:val="left" w:pos="6435"/>
        </w:tabs>
        <w:spacing w:after="0" w:line="360" w:lineRule="auto"/>
        <w:jc w:val="both"/>
        <w:rPr>
          <w:rFonts w:ascii="Arial" w:hAnsi="Arial"/>
          <w:sz w:val="26"/>
        </w:rPr>
      </w:pPr>
      <w:r>
        <w:rPr>
          <w:rFonts w:ascii="Arial" w:hAnsi="Arial"/>
          <w:sz w:val="26"/>
        </w:rPr>
        <w:t xml:space="preserve">          En la parte relativa del considerando PRIMERO, de la resolución de 14 catorce de noviembre de 2016 dos mil dieciséis, el Secretario de Vialidad y Transporte en el Estado, señala:</w:t>
      </w:r>
    </w:p>
    <w:p w:rsidR="00776D3C" w:rsidRDefault="00776D3C" w:rsidP="00776D3C">
      <w:pPr>
        <w:tabs>
          <w:tab w:val="left" w:pos="6435"/>
        </w:tabs>
        <w:spacing w:after="0" w:line="360" w:lineRule="auto"/>
        <w:jc w:val="both"/>
        <w:rPr>
          <w:rFonts w:ascii="Arial" w:hAnsi="Arial"/>
          <w:sz w:val="26"/>
        </w:rPr>
      </w:pPr>
    </w:p>
    <w:p w:rsidR="00776D3C" w:rsidRDefault="00776D3C" w:rsidP="00776D3C">
      <w:pPr>
        <w:tabs>
          <w:tab w:val="left" w:pos="4725"/>
        </w:tabs>
        <w:spacing w:after="0" w:line="360" w:lineRule="auto"/>
        <w:ind w:left="851" w:right="900"/>
        <w:jc w:val="both"/>
        <w:rPr>
          <w:rFonts w:ascii="Arial" w:hAnsi="Arial"/>
          <w:i/>
        </w:rPr>
      </w:pPr>
      <w:r>
        <w:rPr>
          <w:rFonts w:ascii="Arial" w:hAnsi="Arial"/>
          <w:i/>
        </w:rPr>
        <w:t xml:space="preserve">“Esta Secretaria de Vialidad y Transporte del Gobierno del Estado es competente para conocer y resolver lo solicitado por el actor </w:t>
      </w:r>
      <w:r w:rsidR="00453CC2">
        <w:rPr>
          <w:rFonts w:ascii="Arial" w:hAnsi="Arial"/>
          <w:b/>
          <w:i/>
        </w:rPr>
        <w:t>**********</w:t>
      </w:r>
      <w:r>
        <w:rPr>
          <w:rFonts w:ascii="Arial" w:hAnsi="Arial"/>
          <w:i/>
        </w:rPr>
        <w:t>, mediante escrito de uno de agosto dos mil doce y  en la oficialía de partes  de esta secretaria el veintidós de agosto de esa anualidad, con fundamento en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Transito Reformada en el Estado, 8º de la Constitución Política de los Estados Unidos Mexicanos, 13 de la Constitución Política del Estado Libre y Soberano de Oaxaca;  y acuerdo  de cuatro de septiembre de dos mil doce, mediante el cual es al Secretario de Vialidad y Transporte para que en el ejercicio de sus atribuciones ejecute  las disposiciones señaladas  en el artículo 95 Bis  del Reglamento de la Ley de Transito Reformada del Estado de Oaxaca.”</w:t>
      </w:r>
    </w:p>
    <w:p w:rsidR="00776D3C" w:rsidRDefault="00776D3C" w:rsidP="00776D3C">
      <w:pPr>
        <w:tabs>
          <w:tab w:val="left" w:pos="4725"/>
        </w:tabs>
        <w:spacing w:after="0" w:line="360" w:lineRule="auto"/>
        <w:ind w:left="851" w:right="900"/>
        <w:jc w:val="both"/>
        <w:rPr>
          <w:rFonts w:ascii="Arial" w:hAnsi="Arial"/>
          <w:i/>
        </w:rPr>
      </w:pPr>
    </w:p>
    <w:p w:rsidR="00776D3C" w:rsidRDefault="00776D3C" w:rsidP="00776D3C">
      <w:pPr>
        <w:tabs>
          <w:tab w:val="left" w:pos="4725"/>
        </w:tabs>
        <w:spacing w:after="0" w:line="360" w:lineRule="auto"/>
        <w:jc w:val="both"/>
        <w:rPr>
          <w:rFonts w:ascii="Arial" w:hAnsi="Arial"/>
          <w:sz w:val="26"/>
        </w:rPr>
      </w:pPr>
      <w:r>
        <w:rPr>
          <w:rFonts w:ascii="Arial" w:hAnsi="Arial"/>
          <w:sz w:val="26"/>
        </w:rPr>
        <w:t xml:space="preserve">           De acuerdo a los preceptos legales señalados por el Secretario de Vialidad y Transporte, como base de su competente para resolver la petición de </w:t>
      </w:r>
      <w:r w:rsidR="00BE2C95">
        <w:rPr>
          <w:rFonts w:ascii="Arial" w:hAnsi="Arial"/>
          <w:sz w:val="26"/>
        </w:rPr>
        <w:t>**********</w:t>
      </w:r>
      <w:r>
        <w:rPr>
          <w:rFonts w:ascii="Arial" w:hAnsi="Arial"/>
          <w:sz w:val="26"/>
        </w:rPr>
        <w:t xml:space="preserve">, es necesario verificar si le conceden facultades al servidor público en cuestión, para ello se transcriben: </w:t>
      </w:r>
    </w:p>
    <w:p w:rsidR="00776D3C" w:rsidRDefault="00776D3C" w:rsidP="00776D3C">
      <w:pPr>
        <w:tabs>
          <w:tab w:val="left" w:pos="4725"/>
        </w:tabs>
        <w:spacing w:line="360" w:lineRule="auto"/>
        <w:ind w:left="851" w:right="758"/>
        <w:rPr>
          <w:rFonts w:ascii="Arial" w:hAnsi="Arial"/>
          <w:sz w:val="26"/>
        </w:rPr>
      </w:pPr>
    </w:p>
    <w:p w:rsidR="00776D3C" w:rsidRDefault="00776D3C" w:rsidP="00776D3C">
      <w:pPr>
        <w:tabs>
          <w:tab w:val="left" w:pos="4725"/>
        </w:tabs>
        <w:spacing w:line="360" w:lineRule="auto"/>
        <w:ind w:left="851" w:right="758"/>
        <w:rPr>
          <w:rFonts w:ascii="Arial" w:hAnsi="Arial"/>
          <w:b/>
          <w:i/>
        </w:rPr>
      </w:pPr>
      <w:r>
        <w:rPr>
          <w:rFonts w:ascii="Arial" w:hAnsi="Arial"/>
          <w:b/>
          <w:i/>
        </w:rPr>
        <w:t>Ley Orgánica del Poder Ejecutivo del Estado de Oaxaca;</w:t>
      </w:r>
    </w:p>
    <w:p w:rsidR="00776D3C" w:rsidRDefault="00776D3C" w:rsidP="00776D3C">
      <w:pPr>
        <w:tabs>
          <w:tab w:val="left" w:pos="4725"/>
        </w:tabs>
        <w:spacing w:line="360" w:lineRule="auto"/>
        <w:ind w:left="851" w:right="758"/>
        <w:jc w:val="both"/>
        <w:rPr>
          <w:rFonts w:ascii="Arial" w:hAnsi="Arial"/>
          <w:i/>
        </w:rPr>
      </w:pPr>
      <w:r>
        <w:rPr>
          <w:rFonts w:ascii="Arial" w:hAnsi="Arial"/>
          <w:i/>
        </w:rPr>
        <w:t xml:space="preserve">“Artículo 40.- A la Secretaría de Vialidad y Transporte le corresponde el despacho de los siguientes asuntos: </w:t>
      </w:r>
    </w:p>
    <w:p w:rsidR="00776D3C" w:rsidRDefault="00776D3C" w:rsidP="00776D3C">
      <w:pPr>
        <w:pStyle w:val="Prrafodelista"/>
        <w:tabs>
          <w:tab w:val="left" w:pos="4725"/>
        </w:tabs>
        <w:spacing w:line="360" w:lineRule="auto"/>
        <w:ind w:left="851" w:right="758"/>
        <w:jc w:val="both"/>
        <w:rPr>
          <w:rFonts w:ascii="Arial" w:hAnsi="Arial"/>
          <w:i/>
        </w:rPr>
      </w:pPr>
      <w:r>
        <w:rPr>
          <w:rFonts w:ascii="Arial" w:hAnsi="Arial"/>
          <w:i/>
        </w:rPr>
        <w:lastRenderedPageBreak/>
        <w:t xml:space="preserve">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 </w:t>
      </w:r>
    </w:p>
    <w:p w:rsidR="00776D3C" w:rsidRDefault="00776D3C" w:rsidP="00776D3C">
      <w:pPr>
        <w:pStyle w:val="Prrafodelista"/>
        <w:tabs>
          <w:tab w:val="left" w:pos="4725"/>
        </w:tabs>
        <w:spacing w:line="360" w:lineRule="auto"/>
        <w:ind w:left="851" w:right="758"/>
        <w:jc w:val="both"/>
        <w:rPr>
          <w:rFonts w:ascii="Arial" w:hAnsi="Arial"/>
          <w:i/>
        </w:rPr>
      </w:pPr>
      <w:r>
        <w:rPr>
          <w:rFonts w:ascii="Arial" w:hAnsi="Arial"/>
          <w:i/>
        </w:rPr>
        <w:t xml:space="preserve">II.- Proponer al Gobernador del Estado las políticas, normatividad y programas relativos a vialidad y transporte en la entidad;  </w:t>
      </w:r>
    </w:p>
    <w:p w:rsidR="00776D3C" w:rsidRDefault="00776D3C" w:rsidP="00776D3C">
      <w:pPr>
        <w:pStyle w:val="Prrafodelista"/>
        <w:tabs>
          <w:tab w:val="left" w:pos="4725"/>
        </w:tabs>
        <w:spacing w:line="360" w:lineRule="auto"/>
        <w:ind w:left="851" w:right="758"/>
        <w:jc w:val="both"/>
        <w:rPr>
          <w:rFonts w:ascii="Arial" w:hAnsi="Arial"/>
          <w:i/>
        </w:rPr>
      </w:pPr>
      <w:r>
        <w:rPr>
          <w:rFonts w:ascii="Arial" w:hAnsi="Arial"/>
          <w:i/>
        </w:rPr>
        <w:t>III.- Promover y vigilar que los servicios de transporte de pasajeros y de carga en el Estado de Oaxaca, se efectúen con apego a la Ley de la materia; (…)</w:t>
      </w:r>
    </w:p>
    <w:p w:rsidR="00776D3C" w:rsidRDefault="00776D3C" w:rsidP="00776D3C">
      <w:pPr>
        <w:pStyle w:val="Prrafodelista"/>
        <w:tabs>
          <w:tab w:val="left" w:pos="4725"/>
        </w:tabs>
        <w:spacing w:line="360" w:lineRule="auto"/>
        <w:ind w:left="1134" w:right="616"/>
        <w:jc w:val="both"/>
        <w:rPr>
          <w:rFonts w:ascii="Arial" w:hAnsi="Arial"/>
          <w:i/>
        </w:rPr>
      </w:pPr>
      <w:r>
        <w:rPr>
          <w:rFonts w:ascii="Arial" w:hAnsi="Arial"/>
          <w:i/>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 (…)</w:t>
      </w:r>
    </w:p>
    <w:p w:rsidR="00776D3C" w:rsidRDefault="00776D3C" w:rsidP="00776D3C">
      <w:pPr>
        <w:tabs>
          <w:tab w:val="left" w:pos="4725"/>
        </w:tabs>
        <w:spacing w:line="360" w:lineRule="auto"/>
        <w:ind w:left="1134" w:right="616"/>
        <w:jc w:val="both"/>
        <w:rPr>
          <w:rFonts w:ascii="Arial" w:hAnsi="Arial"/>
          <w:i/>
        </w:rPr>
      </w:pPr>
      <w:r>
        <w:rPr>
          <w:rFonts w:ascii="Arial" w:hAnsi="Arial"/>
          <w:i/>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  (…)</w:t>
      </w:r>
    </w:p>
    <w:p w:rsidR="00776D3C" w:rsidRDefault="00776D3C" w:rsidP="00776D3C">
      <w:pPr>
        <w:tabs>
          <w:tab w:val="left" w:pos="4725"/>
        </w:tabs>
        <w:spacing w:line="360" w:lineRule="auto"/>
        <w:ind w:left="1134" w:right="616"/>
        <w:jc w:val="both"/>
        <w:rPr>
          <w:rFonts w:ascii="Arial" w:hAnsi="Arial"/>
          <w:i/>
        </w:rPr>
      </w:pPr>
      <w:r>
        <w:rPr>
          <w:rFonts w:ascii="Arial" w:hAnsi="Arial"/>
          <w:i/>
        </w:rPr>
        <w:t xml:space="preserve">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 (…) </w:t>
      </w:r>
    </w:p>
    <w:p w:rsidR="00776D3C" w:rsidRDefault="00776D3C" w:rsidP="00776D3C">
      <w:pPr>
        <w:tabs>
          <w:tab w:val="left" w:pos="4725"/>
        </w:tabs>
        <w:spacing w:line="360" w:lineRule="auto"/>
        <w:ind w:left="1134" w:right="616"/>
        <w:jc w:val="both"/>
        <w:rPr>
          <w:rFonts w:ascii="Arial" w:hAnsi="Arial"/>
          <w:i/>
        </w:rPr>
      </w:pPr>
      <w:r>
        <w:rPr>
          <w:rFonts w:ascii="Arial" w:hAnsi="Arial"/>
          <w:i/>
        </w:rPr>
        <w:t xml:space="preserve">XI.      Realizar  a  través  de  las  normas  legales  necesarias  la  certificación  de  conductores  en materia  de  transporte  público  y  particular,  garantizando  el  cumplimiento  de  los  requisitos  en materia de aptitudes físicas y psicológicas con lo dispuesto en las leyes vigentes; </w:t>
      </w:r>
    </w:p>
    <w:p w:rsidR="00776D3C" w:rsidRDefault="00776D3C" w:rsidP="00776D3C">
      <w:pPr>
        <w:tabs>
          <w:tab w:val="left" w:pos="4725"/>
        </w:tabs>
        <w:spacing w:line="360" w:lineRule="auto"/>
        <w:ind w:left="1134" w:right="616"/>
        <w:jc w:val="both"/>
        <w:rPr>
          <w:rFonts w:ascii="Arial" w:hAnsi="Arial"/>
          <w:i/>
        </w:rPr>
      </w:pPr>
      <w:r>
        <w:rPr>
          <w:rFonts w:ascii="Arial" w:hAnsi="Arial"/>
          <w:i/>
        </w:rPr>
        <w:t>(…)</w:t>
      </w:r>
    </w:p>
    <w:p w:rsidR="00776D3C" w:rsidRDefault="00776D3C" w:rsidP="00776D3C">
      <w:pPr>
        <w:tabs>
          <w:tab w:val="left" w:pos="4725"/>
        </w:tabs>
        <w:spacing w:line="360" w:lineRule="auto"/>
        <w:ind w:left="1134" w:right="616"/>
        <w:jc w:val="both"/>
        <w:rPr>
          <w:rFonts w:ascii="Arial" w:hAnsi="Arial"/>
          <w:i/>
        </w:rPr>
      </w:pPr>
      <w:r>
        <w:rPr>
          <w:rFonts w:ascii="Arial" w:hAnsi="Arial"/>
          <w:i/>
        </w:rPr>
        <w:t xml:space="preserve">XXI.     Regular,  autorizar  e  inspeccionar  la  publicidad  en  el  servicio  de  transporte, así como, imponer las  sanciones en caso </w:t>
      </w:r>
      <w:r>
        <w:rPr>
          <w:rFonts w:ascii="Arial" w:hAnsi="Arial"/>
          <w:i/>
        </w:rPr>
        <w:lastRenderedPageBreak/>
        <w:t>de incumplimiento de acuerdo con las normas jurídicas y administrativas correspondientes;</w:t>
      </w:r>
    </w:p>
    <w:p w:rsidR="00776D3C" w:rsidRDefault="00776D3C" w:rsidP="00776D3C">
      <w:pPr>
        <w:tabs>
          <w:tab w:val="left" w:pos="4725"/>
        </w:tabs>
        <w:spacing w:line="360" w:lineRule="auto"/>
        <w:ind w:left="1134" w:right="616"/>
        <w:jc w:val="both"/>
        <w:rPr>
          <w:rFonts w:ascii="Arial" w:hAnsi="Arial"/>
          <w:i/>
        </w:rPr>
      </w:pPr>
      <w:r>
        <w:rPr>
          <w:rFonts w:ascii="Arial" w:hAnsi="Arial"/>
          <w:i/>
        </w:rPr>
        <w:t>…”</w:t>
      </w:r>
    </w:p>
    <w:p w:rsidR="00776D3C" w:rsidRDefault="00776D3C" w:rsidP="00776D3C">
      <w:pPr>
        <w:spacing w:line="360" w:lineRule="auto"/>
        <w:ind w:left="1134" w:right="616"/>
        <w:jc w:val="both"/>
        <w:rPr>
          <w:rFonts w:ascii="Arial" w:hAnsi="Arial"/>
          <w:b/>
          <w:i/>
        </w:rPr>
      </w:pPr>
      <w:r>
        <w:rPr>
          <w:rFonts w:ascii="Arial" w:hAnsi="Arial"/>
          <w:b/>
          <w:i/>
        </w:rPr>
        <w:t xml:space="preserve"> En cuanto al artículo 7 de la Ley de Justicia Administrativa, vigente hasta el veinte de octubre de dos mil diecisiete, para el Estado de Oaxaca, establece:</w:t>
      </w:r>
    </w:p>
    <w:p w:rsidR="00776D3C" w:rsidRDefault="00776D3C" w:rsidP="00776D3C">
      <w:pPr>
        <w:spacing w:line="360" w:lineRule="auto"/>
        <w:ind w:left="1276" w:right="616"/>
        <w:jc w:val="both"/>
        <w:rPr>
          <w:rFonts w:ascii="Arial" w:hAnsi="Arial"/>
          <w:i/>
        </w:rPr>
      </w:pPr>
      <w:r>
        <w:rPr>
          <w:rFonts w:ascii="Arial" w:hAnsi="Arial"/>
          <w:i/>
        </w:rPr>
        <w:t>“Artículo 7.- Son elementos y requisitos de validez del acto administrativo: I. Ser expedido por órgano competente, a través de servidor público, y en caso de que dicho órgano fuere colegiado, reúna las formalidades de la ley o decreto en que se funde para emitirlo; II. Que el objeto materia del mismo, sea determinado o determinable; preciso en cuanto a las circunstancias de tiempo y lugar, y previsto por la ley; III. Cumplir con la finalidad de interés público, regulado por las normas en que se concreta, sin que puedan perseguirse otros fines distintos; IV. Constar por escrito y con la firma autógrafa de la autoridad que lo expida, salvo en aquellos casos en que la ley autorice otra forma de expedición; V. Estar fundado y motivado; VI. Ser expedido sujetándose a las disposiciones relativas al procedimiento administrativo previstas en esta Ley; VII. Ser expedido sin que medie error sobre el objeto, causa o motivo, o sobre el fin del acto; VIII. Ser expedido sin que medie dolo o violencia en su emisión; IX. Mencionar el órgano del cual emana; X. Ser expedido sin que medie error respecto a la referencia específica de identificación del expediente, documentos o nombre completo de las personas; XI. Ser expedido señalando lugar y fecha de emisión; XII. Tratándose de actos administrativos que deban notificarse, deberá hacerse mención de la oficina en donde se encuentra y pueda ser consultado el expediente respectivo; XIII. Tratándose de actos administrativos recurribles deberá hacerse mención de los recursos que procedan; XIV. Ser expedido mencionando expresamente todos los puntos propuestos por las partes o establecidos por la ley, y XV. Los demás requisitos y elementos específicos que exijan las leyes o reglamentos aplicables al acto.”</w:t>
      </w:r>
    </w:p>
    <w:p w:rsidR="00776D3C" w:rsidRDefault="00776D3C" w:rsidP="00776D3C">
      <w:pPr>
        <w:tabs>
          <w:tab w:val="left" w:pos="4725"/>
        </w:tabs>
        <w:spacing w:line="360" w:lineRule="auto"/>
        <w:ind w:left="1276" w:right="616"/>
        <w:jc w:val="both"/>
        <w:rPr>
          <w:rFonts w:ascii="Arial" w:hAnsi="Arial"/>
          <w:b/>
          <w:i/>
        </w:rPr>
      </w:pPr>
      <w:r>
        <w:rPr>
          <w:rFonts w:ascii="Arial" w:hAnsi="Arial"/>
          <w:b/>
          <w:i/>
        </w:rPr>
        <w:t>La Ley de Transporte del Estado de Oaxaca;</w:t>
      </w:r>
    </w:p>
    <w:p w:rsidR="00776D3C" w:rsidRDefault="00776D3C" w:rsidP="00776D3C">
      <w:pPr>
        <w:tabs>
          <w:tab w:val="left" w:pos="4725"/>
        </w:tabs>
        <w:spacing w:line="360" w:lineRule="auto"/>
        <w:ind w:left="1276" w:right="616"/>
        <w:jc w:val="both"/>
        <w:rPr>
          <w:rFonts w:ascii="Arial" w:hAnsi="Arial"/>
          <w:i/>
        </w:rPr>
      </w:pPr>
      <w:r>
        <w:rPr>
          <w:rFonts w:ascii="Arial" w:hAnsi="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776D3C" w:rsidRDefault="00776D3C" w:rsidP="00776D3C">
      <w:pPr>
        <w:tabs>
          <w:tab w:val="left" w:pos="4725"/>
        </w:tabs>
        <w:spacing w:line="360" w:lineRule="auto"/>
        <w:ind w:left="1276" w:right="616"/>
        <w:jc w:val="both"/>
        <w:rPr>
          <w:rFonts w:ascii="Arial" w:hAnsi="Arial"/>
          <w:i/>
        </w:rPr>
      </w:pPr>
      <w:r>
        <w:rPr>
          <w:rFonts w:ascii="Arial" w:hAnsi="Arial"/>
          <w:i/>
        </w:rPr>
        <w:lastRenderedPageBreak/>
        <w:t>Las personas con discapacidad, adultos mayores, niños y niñas, así como mujeres embarazadas, tienen derechos preferenciales en su accesibilidad y  trato  en  el  transporte público.”</w:t>
      </w:r>
    </w:p>
    <w:p w:rsidR="00776D3C" w:rsidRDefault="00776D3C" w:rsidP="00776D3C">
      <w:pPr>
        <w:tabs>
          <w:tab w:val="left" w:pos="4725"/>
        </w:tabs>
        <w:spacing w:line="360" w:lineRule="auto"/>
        <w:ind w:left="1276" w:right="616"/>
        <w:jc w:val="both"/>
        <w:rPr>
          <w:rFonts w:ascii="Arial" w:hAnsi="Arial"/>
          <w:i/>
        </w:rPr>
      </w:pPr>
      <w:r>
        <w:rPr>
          <w:rFonts w:ascii="Arial" w:hAnsi="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776D3C" w:rsidRDefault="00776D3C" w:rsidP="00776D3C">
      <w:pPr>
        <w:tabs>
          <w:tab w:val="left" w:pos="4725"/>
        </w:tabs>
        <w:spacing w:line="360" w:lineRule="auto"/>
        <w:ind w:left="1276" w:right="616"/>
        <w:jc w:val="both"/>
        <w:rPr>
          <w:rFonts w:ascii="Arial" w:hAnsi="Arial"/>
          <w:i/>
        </w:rPr>
      </w:pPr>
      <w:r>
        <w:rPr>
          <w:rFonts w:ascii="Arial" w:hAnsi="Arial"/>
          <w:i/>
        </w:rPr>
        <w:t xml:space="preserve">“ARTÍCULO 21.- La prestación del servicio de transporte corresponde originalmente al Estado, quién podrá hacerlo en forma directa o a través de concesiones y permisos otorgados a personas físicas o morales constituidas conforme a las Leyes del país.   </w:t>
      </w:r>
    </w:p>
    <w:p w:rsidR="00776D3C" w:rsidRDefault="00776D3C" w:rsidP="00776D3C">
      <w:pPr>
        <w:tabs>
          <w:tab w:val="left" w:pos="4725"/>
        </w:tabs>
        <w:spacing w:line="360" w:lineRule="auto"/>
        <w:ind w:left="1276" w:right="474"/>
        <w:jc w:val="both"/>
        <w:rPr>
          <w:rFonts w:ascii="Arial" w:hAnsi="Arial"/>
          <w:i/>
        </w:rPr>
      </w:pPr>
      <w:r>
        <w:rPr>
          <w:rFonts w:ascii="Arial" w:hAnsi="Arial"/>
          <w:i/>
        </w:rPr>
        <w:t xml:space="preserve">Las concesiones para la prestación del servicio público de transporte serán otorgadas por el Gobernador del Estado, previo desahogo del procedimiento que establece la presente Ley y su Reglamento.   </w:t>
      </w:r>
    </w:p>
    <w:p w:rsidR="00776D3C" w:rsidRDefault="00776D3C" w:rsidP="00776D3C">
      <w:pPr>
        <w:tabs>
          <w:tab w:val="left" w:pos="4725"/>
        </w:tabs>
        <w:spacing w:line="360" w:lineRule="auto"/>
        <w:ind w:left="1276" w:right="474"/>
        <w:jc w:val="both"/>
        <w:rPr>
          <w:rFonts w:ascii="Arial" w:hAnsi="Arial"/>
          <w:i/>
        </w:rPr>
      </w:pPr>
      <w:r>
        <w:rPr>
          <w:rFonts w:ascii="Arial" w:hAnsi="Arial"/>
          <w:i/>
        </w:rPr>
        <w:t>Para prestar el servicio especial de transporte se requiere de un permiso otorgado por la Secretaría, en los términos y condiciones que la presente Ley establece.”</w:t>
      </w:r>
    </w:p>
    <w:p w:rsidR="00776D3C" w:rsidRDefault="00776D3C" w:rsidP="00776D3C">
      <w:pPr>
        <w:tabs>
          <w:tab w:val="left" w:pos="4725"/>
        </w:tabs>
        <w:spacing w:line="360" w:lineRule="auto"/>
        <w:ind w:left="1276" w:right="474"/>
        <w:jc w:val="both"/>
        <w:rPr>
          <w:rFonts w:ascii="Arial" w:hAnsi="Arial"/>
          <w:i/>
        </w:rPr>
      </w:pPr>
      <w:r>
        <w:rPr>
          <w:rFonts w:ascii="Arial" w:hAnsi="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776D3C" w:rsidRDefault="00776D3C" w:rsidP="00776D3C">
      <w:pPr>
        <w:tabs>
          <w:tab w:val="left" w:pos="4725"/>
        </w:tabs>
        <w:spacing w:line="360" w:lineRule="auto"/>
        <w:ind w:left="1276" w:right="474"/>
        <w:jc w:val="both"/>
        <w:rPr>
          <w:rFonts w:ascii="Arial" w:hAnsi="Arial"/>
          <w:i/>
        </w:rPr>
      </w:pPr>
      <w:r>
        <w:rPr>
          <w:rFonts w:ascii="Arial" w:hAnsi="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776D3C" w:rsidRDefault="00776D3C" w:rsidP="00776D3C">
      <w:pPr>
        <w:tabs>
          <w:tab w:val="left" w:pos="4725"/>
        </w:tabs>
        <w:spacing w:line="360" w:lineRule="auto"/>
        <w:ind w:left="1276" w:right="474"/>
        <w:jc w:val="both"/>
        <w:rPr>
          <w:rFonts w:ascii="Arial" w:hAnsi="Arial"/>
          <w:i/>
        </w:rPr>
      </w:pPr>
      <w:r>
        <w:rPr>
          <w:rFonts w:ascii="Arial" w:hAnsi="Arial"/>
          <w:i/>
        </w:rPr>
        <w:t xml:space="preserve">“ARTÍCULO 27.- Los concesionarios del servicio de transporte deberán tener la propiedad o legítima posesión de los vehículos con que presten el servicio,  y deberán cumplir con las especificaciones técnicas y de operación que determinen las normas técnicas con apego a lo que dispongan los Reglamentos respectivos.” </w:t>
      </w:r>
    </w:p>
    <w:p w:rsidR="00776D3C" w:rsidRDefault="00776D3C" w:rsidP="00776D3C">
      <w:pPr>
        <w:tabs>
          <w:tab w:val="left" w:pos="4725"/>
        </w:tabs>
        <w:spacing w:line="360" w:lineRule="auto"/>
        <w:ind w:left="1276" w:right="474"/>
        <w:jc w:val="both"/>
        <w:rPr>
          <w:rFonts w:ascii="Arial" w:hAnsi="Arial"/>
          <w:i/>
        </w:rPr>
      </w:pPr>
      <w:r>
        <w:rPr>
          <w:rFonts w:ascii="Arial" w:hAnsi="Arial"/>
          <w:i/>
        </w:rPr>
        <w:t xml:space="preserve">“ARTÍCULO 28.- La Secretaría establecerá el diseño y cromática de identificación y homologación de los vehículos del transporte, según la modalidad de servicio de que se trate. De igual forma aprobará los accesorios, aditamentos y distintivos que se </w:t>
      </w:r>
      <w:r>
        <w:rPr>
          <w:rFonts w:ascii="Arial" w:hAnsi="Arial"/>
          <w:i/>
        </w:rPr>
        <w:lastRenderedPageBreak/>
        <w:t xml:space="preserve">requieran en la prestación de los servicios regulados por esta Ley, cuyo uso y observancia tendrán carácter de obligatorio para los concesionarios.” </w:t>
      </w:r>
    </w:p>
    <w:p w:rsidR="00776D3C" w:rsidRDefault="00776D3C" w:rsidP="00776D3C">
      <w:pPr>
        <w:tabs>
          <w:tab w:val="left" w:pos="4725"/>
        </w:tabs>
        <w:spacing w:line="360" w:lineRule="auto"/>
        <w:ind w:left="1276" w:right="474"/>
        <w:jc w:val="both"/>
        <w:rPr>
          <w:rFonts w:ascii="Arial" w:hAnsi="Arial"/>
          <w:i/>
        </w:rPr>
      </w:pPr>
      <w:r>
        <w:rPr>
          <w:rFonts w:ascii="Arial" w:hAnsi="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776D3C" w:rsidRDefault="00776D3C" w:rsidP="00776D3C">
      <w:pPr>
        <w:spacing w:line="360" w:lineRule="auto"/>
        <w:ind w:left="1276" w:right="474"/>
        <w:jc w:val="both"/>
        <w:rPr>
          <w:rFonts w:ascii="Arial" w:hAnsi="Arial"/>
          <w:i/>
        </w:rPr>
      </w:pPr>
      <w:r>
        <w:rPr>
          <w:rFonts w:ascii="Arial" w:hAnsi="Arial"/>
          <w:i/>
        </w:rPr>
        <w:t>“ARTÍCULO 35.- Quienes presten el servicio público de transporte quedan sujetos al cumplimiento de la presente Ley, su reglamento, así como de las normas técnicas y de operación que determine la Secretaría.”</w:t>
      </w:r>
    </w:p>
    <w:p w:rsidR="00776D3C" w:rsidRDefault="00776D3C" w:rsidP="00776D3C">
      <w:pPr>
        <w:spacing w:line="360" w:lineRule="auto"/>
        <w:ind w:left="1276" w:right="474"/>
        <w:jc w:val="both"/>
        <w:rPr>
          <w:rFonts w:ascii="Arial" w:hAnsi="Arial"/>
          <w:i/>
        </w:rPr>
      </w:pPr>
      <w:r>
        <w:rPr>
          <w:rFonts w:ascii="Arial" w:hAnsi="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776D3C" w:rsidRDefault="00776D3C" w:rsidP="00776D3C">
      <w:pPr>
        <w:spacing w:line="360" w:lineRule="auto"/>
        <w:ind w:left="1276" w:right="474"/>
        <w:jc w:val="both"/>
        <w:rPr>
          <w:rFonts w:ascii="Arial" w:hAnsi="Arial"/>
          <w:i/>
        </w:rPr>
      </w:pPr>
      <w:r>
        <w:rPr>
          <w:rFonts w:ascii="Arial" w:hAnsi="Arial"/>
          <w:i/>
        </w:rPr>
        <w:t>“ARTÍCULO 66.- Para prestar el servicio público de transporte, se requiere de una concesión otorgada por el Gobernador del Estado, conforme al procedimiento que señala esta Ley.</w:t>
      </w:r>
    </w:p>
    <w:p w:rsidR="00776D3C" w:rsidRDefault="00776D3C" w:rsidP="00776D3C">
      <w:pPr>
        <w:spacing w:line="360" w:lineRule="auto"/>
        <w:ind w:left="1276" w:right="474"/>
        <w:jc w:val="both"/>
        <w:rPr>
          <w:rFonts w:ascii="Arial" w:hAnsi="Arial"/>
          <w:i/>
        </w:rPr>
      </w:pPr>
      <w:r>
        <w:rPr>
          <w:rFonts w:ascii="Arial" w:hAnsi="Arial"/>
          <w:i/>
        </w:rPr>
        <w:t xml:space="preserve">La concesión estará sujeta a su refrendo cada cinco años y en la fracción que reste en su vigencia, de conformidad con los periodos y condiciones que determine la Secretaría.  </w:t>
      </w:r>
    </w:p>
    <w:p w:rsidR="00776D3C" w:rsidRDefault="00776D3C" w:rsidP="00776D3C">
      <w:pPr>
        <w:spacing w:line="360" w:lineRule="auto"/>
        <w:ind w:left="1276" w:right="474"/>
        <w:jc w:val="both"/>
        <w:rPr>
          <w:rFonts w:ascii="Arial" w:hAnsi="Arial"/>
          <w:i/>
        </w:rPr>
      </w:pPr>
      <w:r>
        <w:rPr>
          <w:rFonts w:ascii="Arial" w:hAnsi="Arial"/>
          <w:i/>
        </w:rPr>
        <w:t>Las concesiones se otorgarán en favor de personas físicas o morales de nacionalidad mexicana, que acrediten contar con la capacidad legal, administrativa, técnica y financiera necesaria para proporcionar un servicio eficiente.”</w:t>
      </w:r>
    </w:p>
    <w:p w:rsidR="00776D3C" w:rsidRDefault="00776D3C" w:rsidP="00776D3C">
      <w:pPr>
        <w:spacing w:line="360" w:lineRule="auto"/>
        <w:ind w:left="1276" w:right="474"/>
        <w:jc w:val="both"/>
        <w:rPr>
          <w:rFonts w:ascii="Arial" w:hAnsi="Arial"/>
          <w:i/>
        </w:rPr>
      </w:pPr>
      <w:r>
        <w:rPr>
          <w:rFonts w:ascii="Arial" w:hAnsi="Arial"/>
          <w:i/>
        </w:rPr>
        <w:t xml:space="preserve">“ARTÍCULO 68.- En los títulos de concesión se establecerán las condiciones, términos, limitaciones, áreas y rutas, en su caso con que deba prestarse el servicio, las cuales serán obligatorias para el concesionario.”    </w:t>
      </w:r>
    </w:p>
    <w:p w:rsidR="00776D3C" w:rsidRDefault="00776D3C" w:rsidP="00776D3C">
      <w:pPr>
        <w:spacing w:line="360" w:lineRule="auto"/>
        <w:ind w:left="1276" w:right="474"/>
        <w:jc w:val="both"/>
        <w:rPr>
          <w:rFonts w:ascii="Arial" w:hAnsi="Arial"/>
          <w:i/>
        </w:rPr>
      </w:pPr>
      <w:r>
        <w:rPr>
          <w:rFonts w:ascii="Arial" w:hAnsi="Arial"/>
          <w:i/>
        </w:rPr>
        <w:t xml:space="preserve">“ARTÍCULO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w:t>
      </w:r>
    </w:p>
    <w:p w:rsidR="00776D3C" w:rsidRDefault="00776D3C" w:rsidP="00776D3C">
      <w:pPr>
        <w:spacing w:line="360" w:lineRule="auto"/>
        <w:ind w:left="1276" w:right="474"/>
        <w:jc w:val="both"/>
        <w:rPr>
          <w:rFonts w:ascii="Arial" w:hAnsi="Arial"/>
          <w:i/>
        </w:rPr>
      </w:pPr>
      <w:r>
        <w:rPr>
          <w:rFonts w:ascii="Arial" w:hAnsi="Arial"/>
          <w:i/>
        </w:rPr>
        <w:t xml:space="preserve">No se recibirán propuestas ni solicitudes de concesión, sino a partir de la convocatoria pública emitida por la Secretaría.   </w:t>
      </w:r>
    </w:p>
    <w:p w:rsidR="00776D3C" w:rsidRDefault="00776D3C" w:rsidP="00776D3C">
      <w:pPr>
        <w:spacing w:line="360" w:lineRule="auto"/>
        <w:ind w:left="1276" w:right="474"/>
        <w:jc w:val="both"/>
        <w:rPr>
          <w:rFonts w:ascii="Arial" w:hAnsi="Arial"/>
          <w:i/>
        </w:rPr>
      </w:pPr>
      <w:r>
        <w:rPr>
          <w:rFonts w:ascii="Arial" w:hAnsi="Arial"/>
          <w:i/>
        </w:rPr>
        <w:lastRenderedPageBreak/>
        <w:t>La presentación de propuestas y solicitudes no genera derecho o antecedente para el participante o solicitante para el otorgamiento de futuras concesiones.”</w:t>
      </w:r>
    </w:p>
    <w:p w:rsidR="00776D3C" w:rsidRDefault="00776D3C" w:rsidP="00776D3C">
      <w:pPr>
        <w:spacing w:line="360" w:lineRule="auto"/>
        <w:ind w:left="1276" w:right="474"/>
        <w:jc w:val="both"/>
        <w:rPr>
          <w:rFonts w:ascii="Arial" w:hAnsi="Arial"/>
          <w:i/>
        </w:rPr>
      </w:pPr>
      <w:r>
        <w:rPr>
          <w:rFonts w:ascii="Arial" w:hAnsi="Arial"/>
          <w:i/>
        </w:rPr>
        <w:t>“ARTÍCULO 87.- Está prohibida la prestación del servicio público de transporte sin contar con la concesión o permiso correspondiente.”</w:t>
      </w:r>
      <w:r>
        <w:rPr>
          <w:rFonts w:ascii="Arial" w:hAnsi="Arial"/>
          <w:i/>
        </w:rPr>
        <w:tab/>
      </w:r>
    </w:p>
    <w:p w:rsidR="00776D3C" w:rsidRDefault="00776D3C" w:rsidP="00776D3C">
      <w:pPr>
        <w:spacing w:line="360" w:lineRule="auto"/>
        <w:ind w:left="1276" w:right="616"/>
        <w:jc w:val="both"/>
        <w:rPr>
          <w:rFonts w:ascii="Arial" w:hAnsi="Arial"/>
          <w:i/>
        </w:rPr>
      </w:pPr>
      <w:r>
        <w:rPr>
          <w:rFonts w:ascii="Arial" w:hAnsi="Arial"/>
          <w:b/>
          <w:i/>
        </w:rPr>
        <w:t xml:space="preserve"> Por su parte la Constitución Política de los Estados Unidos Mexicanos, establece</w:t>
      </w:r>
      <w:r>
        <w:rPr>
          <w:rFonts w:ascii="Arial" w:hAnsi="Arial"/>
          <w:i/>
        </w:rPr>
        <w:t>:</w:t>
      </w:r>
    </w:p>
    <w:p w:rsidR="00776D3C" w:rsidRDefault="00776D3C" w:rsidP="00776D3C">
      <w:pPr>
        <w:spacing w:line="360" w:lineRule="auto"/>
        <w:ind w:left="1276" w:right="616"/>
        <w:jc w:val="both"/>
        <w:rPr>
          <w:rFonts w:ascii="Arial" w:hAnsi="Arial"/>
          <w:i/>
        </w:rPr>
      </w:pPr>
      <w:r>
        <w:rPr>
          <w:rFonts w:ascii="Arial" w:hAnsi="Arial"/>
          <w:i/>
        </w:rPr>
        <w:t xml:space="preserve">“Artículo 8.- Los funcionarios y empleados públicos respetarán el ejercicio del derecho de petición, siempre que esta se formule por escrito, de manera pacífica y respetuosa pero en materia política solo podrán hacer uso de ese derecho los ciudadanos de la República. </w:t>
      </w:r>
      <w:r>
        <w:rPr>
          <w:rFonts w:ascii="Arial" w:hAnsi="Arial"/>
          <w:i/>
          <w:color w:val="000000"/>
        </w:rPr>
        <w:t>A toda petición deberá recaer un acuerdo escrito de la autoridad a quien se haya dirigido, la cual tiene obligación de hacerlo conocer en breve termino al peticionario.”</w:t>
      </w:r>
    </w:p>
    <w:p w:rsidR="00776D3C" w:rsidRDefault="00776D3C" w:rsidP="00776D3C">
      <w:pPr>
        <w:spacing w:line="360" w:lineRule="auto"/>
        <w:ind w:left="1276" w:right="616"/>
        <w:jc w:val="both"/>
        <w:rPr>
          <w:rFonts w:ascii="Arial" w:hAnsi="Arial"/>
          <w:b/>
          <w:i/>
        </w:rPr>
      </w:pPr>
      <w:r>
        <w:rPr>
          <w:rFonts w:ascii="Arial" w:hAnsi="Arial"/>
          <w:b/>
          <w:i/>
        </w:rPr>
        <w:t>La Constitución Política Libre y Soberano del Estado de Oaxaca:</w:t>
      </w:r>
    </w:p>
    <w:p w:rsidR="00776D3C" w:rsidRDefault="00776D3C" w:rsidP="00776D3C">
      <w:pPr>
        <w:spacing w:line="360" w:lineRule="auto"/>
        <w:ind w:left="1276" w:right="616"/>
        <w:jc w:val="both"/>
        <w:rPr>
          <w:rFonts w:ascii="Arial" w:hAnsi="Arial"/>
          <w:i/>
        </w:rPr>
      </w:pPr>
      <w:r>
        <w:rPr>
          <w:rFonts w:ascii="Arial" w:hAnsi="Arial"/>
          <w:i/>
        </w:rPr>
        <w:t>ARTÍCULO 13.- Ninguna ley ni autoridad podrá limitar el derecho de petición, con tal que esta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la respuesta al peticionario.”</w:t>
      </w:r>
    </w:p>
    <w:p w:rsidR="00776D3C" w:rsidRDefault="00776D3C" w:rsidP="00776D3C">
      <w:pPr>
        <w:spacing w:line="360" w:lineRule="auto"/>
        <w:ind w:left="1276" w:right="616"/>
        <w:jc w:val="both"/>
        <w:rPr>
          <w:rFonts w:ascii="Arial" w:hAnsi="Arial"/>
          <w:i/>
        </w:rPr>
      </w:pPr>
    </w:p>
    <w:p w:rsidR="00776D3C" w:rsidRDefault="00776D3C" w:rsidP="00776D3C">
      <w:pPr>
        <w:spacing w:line="360" w:lineRule="auto"/>
        <w:ind w:firstLine="708"/>
        <w:jc w:val="both"/>
        <w:rPr>
          <w:rFonts w:ascii="Arial" w:hAnsi="Arial"/>
          <w:sz w:val="26"/>
        </w:rPr>
      </w:pPr>
      <w:r>
        <w:rPr>
          <w:rFonts w:ascii="Arial" w:hAnsi="Arial"/>
          <w:sz w:val="26"/>
        </w:rPr>
        <w:t xml:space="preserve">Conforme a los numerales transcritos de la Ley Orgánica del Poder Ejecutivo del Estado, se advierte  las diversas facultades con que cuenta el Secretario de Vialidad y Transporte, en específico en el numeral 40 fracción IV de la Ley Orgánica del Poder Ejecutivo del Estado, dispone que el Secretario de Vialidad y Transporte del Estado está facultado para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concesiones o permisos otorgados. </w:t>
      </w:r>
    </w:p>
    <w:p w:rsidR="00776D3C" w:rsidRDefault="00776D3C" w:rsidP="00776D3C">
      <w:pPr>
        <w:spacing w:line="360" w:lineRule="auto"/>
        <w:ind w:firstLine="708"/>
        <w:jc w:val="both"/>
        <w:rPr>
          <w:rFonts w:ascii="Arial" w:hAnsi="Arial"/>
          <w:sz w:val="26"/>
        </w:rPr>
      </w:pPr>
      <w:r>
        <w:rPr>
          <w:rFonts w:ascii="Arial" w:hAnsi="Arial"/>
          <w:sz w:val="26"/>
        </w:rPr>
        <w:t xml:space="preserve">En cuanto a  los preceptos normativos de la Ley de Transporte de Estado de Oaxaca  refieren  a las formalidades que deben </w:t>
      </w:r>
      <w:r>
        <w:rPr>
          <w:rFonts w:ascii="Arial" w:hAnsi="Arial"/>
          <w:sz w:val="26"/>
        </w:rPr>
        <w:lastRenderedPageBreak/>
        <w:t xml:space="preserve">cumplimentar las autoridades del Estado en materia de concesiones y a las formalidades  que deben cumplir las personas  que  deseen adquirir  una concesión, así como se permanencia. </w:t>
      </w:r>
    </w:p>
    <w:p w:rsidR="00776D3C" w:rsidRDefault="00776D3C" w:rsidP="00776D3C">
      <w:pPr>
        <w:spacing w:line="360" w:lineRule="auto"/>
        <w:ind w:firstLine="708"/>
        <w:jc w:val="both"/>
        <w:rPr>
          <w:rFonts w:ascii="Arial" w:hAnsi="Arial"/>
          <w:sz w:val="26"/>
        </w:rPr>
      </w:pPr>
      <w:r>
        <w:rPr>
          <w:rFonts w:ascii="Arial" w:hAnsi="Arial"/>
          <w:sz w:val="26"/>
        </w:rPr>
        <w:t xml:space="preserve">Además de los preceptos antes invocados, también el Secretario de Vialidad y Transporte del Estado señaló para sostener su facultad para dar respuesta a la solicitud de la recurrente, en el Acuerdo del Titular del Poder Ejecutivo publicado en el Periódico Oficial del Gobierno del Estado de Oaxaca el 4 cuatro de septiembre de 2012 dos doce por el que se delegan facultades al Secretario de Vialidad y Transporte del Poder Ejecutivo del Estado de Oaxaca, en el que su artículo PRIMERO señala: </w:t>
      </w:r>
    </w:p>
    <w:p w:rsidR="00776D3C" w:rsidRDefault="00776D3C" w:rsidP="00776D3C">
      <w:pPr>
        <w:tabs>
          <w:tab w:val="left" w:pos="4725"/>
        </w:tabs>
        <w:spacing w:line="360" w:lineRule="auto"/>
        <w:ind w:left="1134" w:right="1041"/>
        <w:jc w:val="both"/>
        <w:rPr>
          <w:rFonts w:ascii="Arial" w:hAnsi="Arial"/>
          <w:i/>
        </w:rPr>
      </w:pPr>
      <w:r>
        <w:rPr>
          <w:rFonts w:ascii="Arial" w:hAnsi="Arial"/>
          <w:i/>
        </w:rPr>
        <w:t xml:space="preserve"> “PRIMERO.- Se delegan facultades al Secretario de Vialidad y Transporte para que en el ejercicio de sus atribuciones, ejecute las disposiciones señaladas en el artículo 95 Bis del Reglamento de la Ley de Transito Reformada del Estado de Oaxaca.” </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Por su parte, el artículo 95 Bis del citado Reglamento de la Ley de Tránsito, dispone: </w:t>
      </w:r>
    </w:p>
    <w:p w:rsidR="00776D3C" w:rsidRDefault="00776D3C" w:rsidP="00776D3C">
      <w:pPr>
        <w:spacing w:line="360" w:lineRule="auto"/>
        <w:ind w:left="851" w:right="616"/>
        <w:jc w:val="both"/>
        <w:rPr>
          <w:rFonts w:ascii="Arial" w:hAnsi="Arial"/>
          <w:i/>
        </w:rPr>
      </w:pPr>
      <w:r>
        <w:rPr>
          <w:rFonts w:ascii="Arial" w:hAnsi="Arial"/>
          <w:i/>
          <w:sz w:val="26"/>
        </w:rPr>
        <w:t xml:space="preserve"> “</w:t>
      </w:r>
      <w:r>
        <w:rPr>
          <w:rFonts w:ascii="Arial" w:hAnsi="Arial"/>
          <w:b/>
          <w:i/>
        </w:rPr>
        <w:t>ARTICULO 95 BIS</w:t>
      </w:r>
      <w:r>
        <w:rPr>
          <w:rFonts w:ascii="Arial" w:hAnsi="Arial"/>
          <w:i/>
        </w:rPr>
        <w:t xml:space="preserve">.- El tiempo por el que se otorgue una concesión podrá ser prorrogado por la Secretaría de Vialidad y Transporte, mediante la renovación de la concesión por un término máximo de cinco años, cumpliendo con los requisitos establecidos para tal efecto. La Secretaría de Vialidad y Transporte, podrá autorizar las cesiones de derechos y las trasferencias de derechos por fallecimiento de los titulares de las concesiones otorgadas por el Gobernador del Estado, previo cumplimiento de las disposiciones legales, reglamentarias y del título de concesión, expidiendo los documentos oficiales necesarios para acreditar el acto. </w:t>
      </w:r>
    </w:p>
    <w:p w:rsidR="00776D3C" w:rsidRDefault="00776D3C" w:rsidP="00776D3C">
      <w:pPr>
        <w:spacing w:line="360" w:lineRule="auto"/>
        <w:ind w:left="851" w:right="616"/>
        <w:jc w:val="both"/>
        <w:rPr>
          <w:rFonts w:ascii="Arial" w:hAnsi="Arial"/>
          <w:i/>
        </w:rPr>
      </w:pPr>
      <w:r>
        <w:rPr>
          <w:rFonts w:ascii="Arial" w:hAnsi="Arial"/>
          <w:i/>
        </w:rPr>
        <w:t>Los procedimientos enunciados en los párrafos anteriores, los llevará a cabo el Secretario de Vialidad y Transporte, previo acuerdo delegatorio del Titular del Ejecutivo.”</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Como se advierte, en el  Acuerdo publicado en el periódico oficial del Gobierno del Estado de Oaxaca el 4 cuatro de septiembre de 2012 de dos mil doce, se delegaron al Secretario de Vialidad y Transporte facultades para cumplimentar las obligaciones contenidas en el artículo 95 Bis del Reglamento Interno de la Ley de Tránsito Reformada en el Estado; esto es, faculta al Secretario citado para RENOVAR la concesión por un término máximo de cinco años, previos requisitos </w:t>
      </w:r>
      <w:r>
        <w:rPr>
          <w:rFonts w:ascii="Arial" w:hAnsi="Arial"/>
          <w:sz w:val="26"/>
        </w:rPr>
        <w:lastRenderedPageBreak/>
        <w:t xml:space="preserve">establecidos para tal efecto, este último reglamento que sigue vigente; de ahí lo infundado de sus agravios. </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Por lo anterior, los preceptos legales citados en la resolución de fecha 14 catorce de noviembre de 2016 dos mil dieciséis, por el Secretario de Vialidad y Transporte del Estado, si le otorgan facultades al citado servidor público para emitir tal actuación. En cuanto a la vigencia del acuerdo delegatorio sigue vigente, toda vez que el Reglamento de la Ley de Transito Reformada continua vigente  por las razones otorgadas, de ahí que el citado precepto 95 Bis, el cual si le otorga facultades al Secretario de Vialidad y Transporte del Estado para emitir actos como la citada resolución.</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A todo lo anterior, se agrega que aun cuando el acuerdo delegatorio a partir del diez de diciembre de dos mil trece, ha quedado derogado, a la fecha en que el aquí recurrente presentó su petición, tal instrumento estaba vigente y era aplicable.</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Es pertinente indicar que en la resolución de 14 catorce de noviembre de 2016 dos mil dieciséis, el Secretario de Vialidad y Transporte del Estado, invoca el artículo 95 Bis de la Ley de Tránsito Reformada en el Estado, el cual no existe; sin embargo ello no afecta la fundamentación de su competencia, porque posteriormente en el mismo cuerpo de la resolución si invoca el artículo 95 Bis del Reglamento de la Ley de Transito Reformada que le confiere la alegada facultad.  </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De tal manera que los criterios que invoca en su libelo de inconformidades, son inaplicables al caso en concreto debido a que están invocadas con el objeto de que se resuelva la incompetencia del Secretario de Vialidad y Transporte del Estado, misma que se atendió; por tanto, sus afirmaciones son inoperantes. </w:t>
      </w:r>
    </w:p>
    <w:p w:rsidR="00776D3C" w:rsidRDefault="00776D3C" w:rsidP="00776D3C">
      <w:pPr>
        <w:tabs>
          <w:tab w:val="left" w:pos="4725"/>
        </w:tabs>
        <w:spacing w:line="360" w:lineRule="auto"/>
        <w:jc w:val="both"/>
        <w:rPr>
          <w:rFonts w:ascii="Arial" w:hAnsi="Arial"/>
          <w:sz w:val="26"/>
        </w:rPr>
      </w:pPr>
      <w:r>
        <w:rPr>
          <w:rFonts w:ascii="Arial" w:hAnsi="Arial"/>
          <w:sz w:val="26"/>
        </w:rPr>
        <w:t xml:space="preserve">           Por las narradas consideraciones, se </w:t>
      </w:r>
      <w:r>
        <w:rPr>
          <w:rFonts w:ascii="Arial" w:hAnsi="Arial"/>
          <w:b/>
          <w:sz w:val="26"/>
        </w:rPr>
        <w:t>CONFIRMA</w:t>
      </w:r>
      <w:r>
        <w:rPr>
          <w:rFonts w:ascii="Arial" w:hAnsi="Arial"/>
          <w:sz w:val="26"/>
        </w:rPr>
        <w:t xml:space="preserve"> la determinación contenida en el proveído 12 trece de diciembre de 2016 dos mil dieciséis y con fundamento en los artículos 207 y 208 de la Ley de Justicia Administrativa para el Estado, vigente hasta el veinte de octubre de dos mil diecisiete, se:</w:t>
      </w:r>
    </w:p>
    <w:p w:rsidR="00776D3C" w:rsidRDefault="00776D3C" w:rsidP="00776D3C">
      <w:pPr>
        <w:tabs>
          <w:tab w:val="left" w:pos="4725"/>
        </w:tabs>
        <w:spacing w:line="360" w:lineRule="auto"/>
        <w:jc w:val="center"/>
        <w:rPr>
          <w:rFonts w:ascii="Arial" w:hAnsi="Arial"/>
          <w:sz w:val="26"/>
        </w:rPr>
      </w:pPr>
      <w:r>
        <w:rPr>
          <w:rFonts w:ascii="Arial" w:hAnsi="Arial"/>
          <w:b/>
          <w:sz w:val="26"/>
        </w:rPr>
        <w:t>R E S U E L V E:</w:t>
      </w:r>
    </w:p>
    <w:p w:rsidR="00776D3C" w:rsidRDefault="00776D3C" w:rsidP="00776D3C">
      <w:pPr>
        <w:tabs>
          <w:tab w:val="left" w:pos="4725"/>
        </w:tabs>
        <w:spacing w:line="360" w:lineRule="auto"/>
        <w:jc w:val="both"/>
        <w:rPr>
          <w:rFonts w:ascii="Arial" w:hAnsi="Arial" w:cs="Arial"/>
          <w:sz w:val="26"/>
          <w:szCs w:val="26"/>
          <w:lang w:val="es-MX"/>
        </w:rPr>
      </w:pPr>
      <w:r>
        <w:rPr>
          <w:rFonts w:ascii="Arial" w:hAnsi="Arial" w:cs="Arial"/>
          <w:b/>
          <w:sz w:val="26"/>
          <w:szCs w:val="26"/>
        </w:rPr>
        <w:lastRenderedPageBreak/>
        <w:t xml:space="preserve">          PRIMERO</w:t>
      </w:r>
      <w:r>
        <w:rPr>
          <w:rFonts w:ascii="Arial" w:hAnsi="Arial" w:cs="Arial"/>
          <w:sz w:val="26"/>
          <w:szCs w:val="26"/>
          <w:lang w:val="es-MX"/>
        </w:rPr>
        <w:t xml:space="preserve">. </w:t>
      </w:r>
      <w:r>
        <w:rPr>
          <w:rFonts w:ascii="Arial" w:eastAsia="Times New Roman" w:hAnsi="Arial" w:cs="Arial"/>
          <w:bCs/>
          <w:iCs/>
          <w:sz w:val="26"/>
          <w:szCs w:val="26"/>
          <w:lang w:eastAsia="es-ES"/>
        </w:rPr>
        <w:t xml:space="preserve">Se deja insubsistente la resolución de </w:t>
      </w:r>
      <w:r>
        <w:rPr>
          <w:rFonts w:ascii="Arial" w:hAnsi="Arial" w:cs="Arial"/>
          <w:sz w:val="26"/>
          <w:szCs w:val="26"/>
        </w:rPr>
        <w:t>22 veintidós de junio  de 2017 dos mil diecisiete</w:t>
      </w:r>
      <w:r>
        <w:rPr>
          <w:rFonts w:ascii="Arial" w:eastAsia="Times New Roman" w:hAnsi="Arial" w:cs="Arial"/>
          <w:bCs/>
          <w:iCs/>
          <w:sz w:val="26"/>
          <w:szCs w:val="26"/>
          <w:lang w:eastAsia="es-ES"/>
        </w:rPr>
        <w:t>, dictada por esta Sala Superior del entonces Tribunal de lo Contencioso Administrativo y de Cuentas del Poder Judicial del Estado</w:t>
      </w:r>
      <w:r>
        <w:rPr>
          <w:rFonts w:ascii="Arial" w:hAnsi="Arial" w:cs="Arial"/>
          <w:sz w:val="26"/>
          <w:szCs w:val="26"/>
          <w:lang w:val="es-MX"/>
        </w:rPr>
        <w:t>.</w:t>
      </w:r>
    </w:p>
    <w:p w:rsidR="00776D3C" w:rsidRDefault="00776D3C" w:rsidP="00776D3C">
      <w:pPr>
        <w:tabs>
          <w:tab w:val="left" w:pos="4725"/>
        </w:tabs>
        <w:spacing w:line="360" w:lineRule="auto"/>
        <w:jc w:val="both"/>
        <w:rPr>
          <w:rFonts w:ascii="Arial" w:hAnsi="Arial" w:cs="Arial"/>
          <w:sz w:val="26"/>
          <w:szCs w:val="26"/>
          <w:lang w:val="es-MX"/>
        </w:rPr>
      </w:pPr>
      <w:r>
        <w:rPr>
          <w:rFonts w:ascii="Arial" w:hAnsi="Arial" w:cs="Arial"/>
          <w:sz w:val="26"/>
          <w:szCs w:val="26"/>
          <w:lang w:val="es-MX"/>
        </w:rPr>
        <w:t xml:space="preserve">           </w:t>
      </w:r>
      <w:r>
        <w:rPr>
          <w:rFonts w:ascii="Arial" w:hAnsi="Arial" w:cs="Arial"/>
          <w:b/>
          <w:sz w:val="26"/>
          <w:szCs w:val="26"/>
          <w:lang w:val="es-MX"/>
        </w:rPr>
        <w:t xml:space="preserve">SEGUNDO. </w:t>
      </w:r>
      <w:r>
        <w:rPr>
          <w:rFonts w:ascii="Arial" w:hAnsi="Arial" w:cs="Arial"/>
          <w:sz w:val="26"/>
          <w:szCs w:val="26"/>
        </w:rPr>
        <w:t xml:space="preserve">Se </w:t>
      </w:r>
      <w:r>
        <w:rPr>
          <w:rFonts w:ascii="Arial" w:hAnsi="Arial" w:cs="Arial"/>
          <w:b/>
          <w:sz w:val="26"/>
          <w:szCs w:val="26"/>
        </w:rPr>
        <w:t xml:space="preserve">CONFIRMA </w:t>
      </w:r>
      <w:r>
        <w:rPr>
          <w:rFonts w:ascii="Arial" w:hAnsi="Arial" w:cs="Arial"/>
          <w:sz w:val="26"/>
          <w:szCs w:val="26"/>
        </w:rPr>
        <w:t xml:space="preserve">el acuerdo de </w:t>
      </w:r>
      <w:r>
        <w:rPr>
          <w:rFonts w:ascii="Arial" w:hAnsi="Arial" w:cs="Arial"/>
          <w:bCs/>
          <w:iCs/>
          <w:sz w:val="26"/>
          <w:szCs w:val="26"/>
        </w:rPr>
        <w:t>12 doce de diciembre de 2016 dos mil dieciséis</w:t>
      </w:r>
      <w:r>
        <w:rPr>
          <w:rFonts w:ascii="Arial" w:hAnsi="Arial" w:cs="Arial"/>
          <w:sz w:val="26"/>
          <w:szCs w:val="26"/>
        </w:rPr>
        <w:t xml:space="preserve">, tal como quedó precisado en el </w:t>
      </w:r>
      <w:r>
        <w:rPr>
          <w:rFonts w:ascii="Arial" w:hAnsi="Arial" w:cs="Arial"/>
          <w:sz w:val="26"/>
          <w:szCs w:val="26"/>
          <w:lang w:val="es-MX"/>
        </w:rPr>
        <w:t>Considerando Cuarto de la presente resolución.</w:t>
      </w:r>
    </w:p>
    <w:p w:rsidR="00776D3C" w:rsidRDefault="00776D3C" w:rsidP="00776D3C">
      <w:pPr>
        <w:tabs>
          <w:tab w:val="left" w:pos="4725"/>
        </w:tabs>
        <w:spacing w:line="360" w:lineRule="auto"/>
        <w:jc w:val="both"/>
        <w:rPr>
          <w:rFonts w:ascii="Arial" w:hAnsi="Arial" w:cs="Arial"/>
          <w:sz w:val="26"/>
          <w:szCs w:val="26"/>
        </w:rPr>
      </w:pPr>
      <w:r>
        <w:rPr>
          <w:rFonts w:ascii="Arial" w:hAnsi="Arial" w:cs="Arial"/>
          <w:sz w:val="26"/>
          <w:szCs w:val="26"/>
          <w:lang w:val="es-MX"/>
        </w:rPr>
        <w:t xml:space="preserve">            </w:t>
      </w:r>
      <w:r>
        <w:rPr>
          <w:rFonts w:ascii="Arial" w:hAnsi="Arial" w:cs="Arial"/>
          <w:b/>
          <w:sz w:val="26"/>
          <w:szCs w:val="26"/>
          <w:lang w:val="es-MX"/>
        </w:rPr>
        <w:t xml:space="preserve">TERCERO. </w:t>
      </w:r>
      <w:r>
        <w:rPr>
          <w:rFonts w:ascii="Arial" w:hAnsi="Arial" w:cs="Arial"/>
          <w:sz w:val="26"/>
          <w:szCs w:val="26"/>
        </w:rPr>
        <w:t>Remítanse copias certificadas de la presente resolución al Juzgado Segundo de Distrito, con residencia en San Bartolo Coyotepec, Oaxaca, como constancia de cumplimiento para los efectos legales correspondientes.</w:t>
      </w:r>
    </w:p>
    <w:p w:rsidR="00776D3C" w:rsidRDefault="00776D3C" w:rsidP="00776D3C">
      <w:pPr>
        <w:tabs>
          <w:tab w:val="left" w:pos="4725"/>
        </w:tabs>
        <w:spacing w:line="360" w:lineRule="auto"/>
        <w:jc w:val="both"/>
        <w:rPr>
          <w:rFonts w:ascii="Arial" w:hAnsi="Arial" w:cs="Arial"/>
          <w:sz w:val="26"/>
          <w:szCs w:val="26"/>
        </w:rPr>
      </w:pPr>
      <w:r>
        <w:rPr>
          <w:rFonts w:ascii="Arial" w:hAnsi="Arial" w:cs="Arial"/>
          <w:sz w:val="26"/>
          <w:szCs w:val="26"/>
        </w:rPr>
        <w:t xml:space="preserve">             </w:t>
      </w:r>
      <w:r>
        <w:rPr>
          <w:rFonts w:ascii="Arial" w:hAnsi="Arial" w:cs="Arial"/>
          <w:b/>
          <w:sz w:val="26"/>
          <w:szCs w:val="26"/>
        </w:rPr>
        <w:t>CUARTO.</w:t>
      </w:r>
      <w:r>
        <w:rPr>
          <w:rFonts w:ascii="Arial" w:hAnsi="Arial" w:cs="Arial"/>
          <w:sz w:val="26"/>
          <w:szCs w:val="26"/>
        </w:rPr>
        <w:t xml:space="preserve"> 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776D3C" w:rsidRDefault="00776D3C" w:rsidP="00776D3C">
      <w:pPr>
        <w:tabs>
          <w:tab w:val="left" w:pos="4725"/>
        </w:tabs>
        <w:spacing w:line="360" w:lineRule="auto"/>
        <w:jc w:val="both"/>
        <w:rPr>
          <w:rFonts w:ascii="Arial" w:hAnsi="Arial" w:cs="Arial"/>
          <w:sz w:val="26"/>
          <w:szCs w:val="26"/>
        </w:rPr>
      </w:pPr>
      <w:r>
        <w:rPr>
          <w:rFonts w:ascii="Arial" w:hAnsi="Arial" w:cs="Arial"/>
          <w:sz w:val="26"/>
          <w:szCs w:val="26"/>
        </w:rPr>
        <w:t xml:space="preserve">              </w:t>
      </w:r>
      <w:r>
        <w:rPr>
          <w:rFonts w:ascii="Arial" w:hAnsi="Arial" w:cs="Arial"/>
          <w:b/>
          <w:sz w:val="26"/>
          <w:szCs w:val="26"/>
        </w:rPr>
        <w:t xml:space="preserve">QUINTO. NOTIFÍQUESE Y CÚMPLASE, </w:t>
      </w:r>
      <w:r>
        <w:rPr>
          <w:rFonts w:ascii="Arial" w:hAnsi="Arial" w:cs="Arial"/>
          <w:sz w:val="26"/>
          <w:szCs w:val="26"/>
        </w:rPr>
        <w:t>remítase copia certificada de la presente resolución a la Sexta Sala Unitaria de Primera Instancia de este Tribunal y en su oportunidad archívese el presente cuaderno de revisión como asunto concluido.</w:t>
      </w:r>
    </w:p>
    <w:p w:rsidR="00776D3C" w:rsidRDefault="00776D3C" w:rsidP="00776D3C">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76D3C" w:rsidRDefault="00776D3C" w:rsidP="00776D3C">
      <w:pPr>
        <w:tabs>
          <w:tab w:val="left" w:pos="1985"/>
        </w:tabs>
        <w:spacing w:after="0" w:line="360" w:lineRule="auto"/>
        <w:ind w:firstLine="708"/>
        <w:jc w:val="both"/>
        <w:rPr>
          <w:rFonts w:ascii="Arial" w:hAnsi="Arial" w:cs="Arial"/>
          <w:bCs/>
          <w:sz w:val="26"/>
          <w:szCs w:val="26"/>
        </w:rPr>
      </w:pPr>
    </w:p>
    <w:p w:rsidR="00776D3C" w:rsidRDefault="00776D3C" w:rsidP="00776D3C">
      <w:pPr>
        <w:tabs>
          <w:tab w:val="left" w:pos="1985"/>
        </w:tabs>
        <w:spacing w:after="0" w:line="360" w:lineRule="auto"/>
        <w:ind w:firstLine="708"/>
        <w:jc w:val="both"/>
        <w:rPr>
          <w:rFonts w:ascii="Arial" w:hAnsi="Arial" w:cs="Arial"/>
          <w:bCs/>
          <w:sz w:val="26"/>
          <w:szCs w:val="26"/>
        </w:rPr>
      </w:pPr>
    </w:p>
    <w:p w:rsidR="00776D3C" w:rsidRDefault="00776D3C" w:rsidP="00776D3C">
      <w:pPr>
        <w:tabs>
          <w:tab w:val="left" w:pos="1985"/>
        </w:tabs>
        <w:spacing w:after="0" w:line="360" w:lineRule="auto"/>
        <w:jc w:val="both"/>
        <w:rPr>
          <w:rFonts w:ascii="Arial" w:hAnsi="Arial" w:cs="Arial"/>
          <w:bCs/>
          <w:sz w:val="26"/>
          <w:szCs w:val="26"/>
        </w:rPr>
      </w:pPr>
    </w:p>
    <w:p w:rsidR="00776D3C" w:rsidRDefault="00776D3C" w:rsidP="00776D3C">
      <w:pPr>
        <w:tabs>
          <w:tab w:val="left" w:pos="1985"/>
        </w:tabs>
        <w:spacing w:after="0" w:line="360" w:lineRule="auto"/>
        <w:jc w:val="both"/>
        <w:rPr>
          <w:rFonts w:ascii="Arial" w:hAnsi="Arial" w:cs="Arial"/>
          <w:bCs/>
          <w:sz w:val="26"/>
          <w:szCs w:val="26"/>
        </w:rPr>
      </w:pPr>
    </w:p>
    <w:p w:rsidR="00776D3C" w:rsidRDefault="00776D3C" w:rsidP="00776D3C">
      <w:pPr>
        <w:spacing w:after="0" w:line="240" w:lineRule="auto"/>
        <w:jc w:val="center"/>
        <w:rPr>
          <w:rFonts w:ascii="Arial" w:hAnsi="Arial" w:cs="Arial"/>
          <w:sz w:val="26"/>
          <w:szCs w:val="26"/>
        </w:rPr>
      </w:pPr>
      <w:r>
        <w:rPr>
          <w:rFonts w:ascii="Arial" w:hAnsi="Arial" w:cs="Arial"/>
          <w:sz w:val="26"/>
          <w:szCs w:val="26"/>
        </w:rPr>
        <w:t>MAGISTRADO ADRIÁN QUIROGA AVENDAÑO.</w:t>
      </w:r>
    </w:p>
    <w:p w:rsidR="00776D3C" w:rsidRDefault="00776D3C" w:rsidP="00776D3C">
      <w:pPr>
        <w:spacing w:after="0" w:line="240" w:lineRule="auto"/>
        <w:jc w:val="center"/>
        <w:rPr>
          <w:rFonts w:ascii="Arial" w:hAnsi="Arial" w:cs="Arial"/>
          <w:sz w:val="26"/>
          <w:szCs w:val="26"/>
        </w:rPr>
      </w:pPr>
      <w:r>
        <w:rPr>
          <w:rFonts w:ascii="Arial" w:hAnsi="Arial" w:cs="Arial"/>
          <w:sz w:val="26"/>
          <w:szCs w:val="26"/>
        </w:rPr>
        <w:t>PRESIDENTE</w:t>
      </w: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240" w:lineRule="auto"/>
        <w:rPr>
          <w:rFonts w:ascii="Arial" w:hAnsi="Arial" w:cs="Arial"/>
          <w:sz w:val="26"/>
          <w:szCs w:val="26"/>
        </w:rPr>
      </w:pP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24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r>
        <w:rPr>
          <w:rFonts w:ascii="Arial" w:hAnsi="Arial" w:cs="Arial"/>
          <w:sz w:val="26"/>
          <w:szCs w:val="26"/>
        </w:rPr>
        <w:t>MAGISTRADO HUGO VILLEGAS AQUINO.</w:t>
      </w: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r>
        <w:rPr>
          <w:rFonts w:ascii="Arial" w:hAnsi="Arial" w:cs="Arial"/>
          <w:sz w:val="26"/>
          <w:szCs w:val="26"/>
        </w:rPr>
        <w:t>MAGISTRADO ENRIQUE PACHECO MARTÍNEZ.</w:t>
      </w: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line="360" w:lineRule="auto"/>
        <w:jc w:val="center"/>
        <w:rPr>
          <w:rFonts w:ascii="Arial" w:hAnsi="Arial" w:cs="Arial"/>
          <w:sz w:val="26"/>
          <w:szCs w:val="26"/>
        </w:rPr>
      </w:pPr>
    </w:p>
    <w:p w:rsidR="00776D3C" w:rsidRDefault="00776D3C" w:rsidP="00776D3C">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jc w:val="center"/>
        <w:rPr>
          <w:rFonts w:ascii="Arial" w:eastAsia="Times New Roman" w:hAnsi="Arial" w:cs="Arial"/>
          <w:sz w:val="26"/>
          <w:szCs w:val="26"/>
          <w:lang w:eastAsia="es-MX"/>
        </w:rPr>
      </w:pPr>
    </w:p>
    <w:p w:rsidR="00776D3C" w:rsidRDefault="00776D3C" w:rsidP="00776D3C">
      <w:pPr>
        <w:spacing w:after="0" w:line="240" w:lineRule="auto"/>
        <w:jc w:val="center"/>
        <w:rPr>
          <w:rFonts w:ascii="Arial" w:hAnsi="Arial" w:cs="Arial"/>
          <w:sz w:val="26"/>
          <w:szCs w:val="26"/>
        </w:rPr>
      </w:pPr>
      <w:r>
        <w:rPr>
          <w:rFonts w:ascii="Arial" w:hAnsi="Arial" w:cs="Arial"/>
          <w:sz w:val="26"/>
          <w:szCs w:val="26"/>
        </w:rPr>
        <w:t>LICENCIADA LETICIA GARCIA SOTO.</w:t>
      </w:r>
    </w:p>
    <w:p w:rsidR="00776D3C" w:rsidRPr="00130D4F" w:rsidRDefault="00776D3C" w:rsidP="00776D3C">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061C35" w:rsidRPr="0031002D" w:rsidRDefault="00061C35" w:rsidP="00776D3C">
      <w:pPr>
        <w:tabs>
          <w:tab w:val="left" w:pos="4725"/>
        </w:tabs>
        <w:spacing w:line="360" w:lineRule="auto"/>
        <w:jc w:val="both"/>
        <w:rPr>
          <w:rFonts w:ascii="Arial" w:hAnsi="Arial" w:cs="Arial"/>
          <w:sz w:val="26"/>
          <w:szCs w:val="26"/>
        </w:rPr>
      </w:pPr>
    </w:p>
    <w:sectPr w:rsidR="00061C35" w:rsidRPr="0031002D" w:rsidSect="00776D3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A2" w:rsidRDefault="00CD7CA2">
      <w:pPr>
        <w:spacing w:after="0" w:line="240" w:lineRule="auto"/>
      </w:pPr>
      <w:r>
        <w:separator/>
      </w:r>
    </w:p>
  </w:endnote>
  <w:endnote w:type="continuationSeparator" w:id="0">
    <w:p w:rsidR="00CD7CA2" w:rsidRDefault="00CD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sha">
    <w:altName w:val="Lucida Sans Unicode"/>
    <w:charset w:val="00"/>
    <w:family w:val="swiss"/>
    <w:pitch w:val="variable"/>
    <w:sig w:usb0="00000000"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Piedepgina"/>
    </w:pPr>
    <w:r>
      <w:rPr>
        <w:noProof/>
        <w:lang w:val="es-MX" w:eastAsia="es-MX"/>
      </w:rPr>
      <w:drawing>
        <wp:anchor distT="0" distB="0" distL="114300" distR="114300" simplePos="0" relativeHeight="251671552" behindDoc="0" locked="0" layoutInCell="1" allowOverlap="1" wp14:anchorId="495BE651" wp14:editId="659F8365">
          <wp:simplePos x="0" y="0"/>
          <wp:positionH relativeFrom="column">
            <wp:posOffset>5253990</wp:posOffset>
          </wp:positionH>
          <wp:positionV relativeFrom="paragraph">
            <wp:posOffset>-5520690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Piedepgina"/>
    </w:pPr>
    <w:r>
      <w:rPr>
        <w:noProof/>
        <w:lang w:val="es-MX" w:eastAsia="es-MX"/>
      </w:rPr>
      <w:drawing>
        <wp:anchor distT="0" distB="0" distL="114300" distR="114300" simplePos="0" relativeHeight="251664384" behindDoc="0" locked="0" layoutInCell="1" allowOverlap="1" wp14:anchorId="707CF805" wp14:editId="0543D76C">
          <wp:simplePos x="0" y="0"/>
          <wp:positionH relativeFrom="column">
            <wp:posOffset>-1510665</wp:posOffset>
          </wp:positionH>
          <wp:positionV relativeFrom="paragraph">
            <wp:posOffset>-4499610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A2" w:rsidRDefault="00CD7CA2">
      <w:pPr>
        <w:spacing w:after="0" w:line="240" w:lineRule="auto"/>
      </w:pPr>
      <w:r>
        <w:separator/>
      </w:r>
    </w:p>
  </w:footnote>
  <w:footnote w:type="continuationSeparator" w:id="0">
    <w:p w:rsidR="00CD7CA2" w:rsidRDefault="00CD7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DF2C5B">
        <w:pPr>
          <w:pStyle w:val="Encabezado"/>
          <w:jc w:val="center"/>
        </w:pPr>
        <w:r>
          <w:fldChar w:fldCharType="begin"/>
        </w:r>
        <w:r>
          <w:instrText>PAGE   \* MERGEFORMAT</w:instrText>
        </w:r>
        <w:r>
          <w:fldChar w:fldCharType="separate"/>
        </w:r>
        <w:r w:rsidR="00105F0F">
          <w:rPr>
            <w:noProof/>
          </w:rPr>
          <w:t>18</w:t>
        </w:r>
        <w:r>
          <w:fldChar w:fldCharType="end"/>
        </w:r>
      </w:p>
    </w:sdtContent>
  </w:sdt>
  <w:p w:rsidR="00032BE7" w:rsidRDefault="00105F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DF2C5B" w:rsidP="007D05DF">
        <w:pPr>
          <w:pStyle w:val="Encabezado"/>
          <w:jc w:val="center"/>
          <w:rPr>
            <w:noProof/>
          </w:rPr>
        </w:pPr>
        <w:r>
          <w:fldChar w:fldCharType="begin"/>
        </w:r>
        <w:r>
          <w:instrText xml:space="preserve"> PAGE   \* MERGEFORMAT </w:instrText>
        </w:r>
        <w:r>
          <w:fldChar w:fldCharType="separate"/>
        </w:r>
        <w:r w:rsidR="00105F0F">
          <w:rPr>
            <w:noProof/>
          </w:rPr>
          <w:t>1</w:t>
        </w:r>
        <w:r>
          <w:rPr>
            <w:noProof/>
          </w:rPr>
          <w:fldChar w:fldCharType="end"/>
        </w:r>
      </w:p>
    </w:sdtContent>
  </w:sdt>
  <w:p w:rsidR="00032BE7" w:rsidRDefault="00DF2C5B" w:rsidP="007D05DF">
    <w:pPr>
      <w:pStyle w:val="Encabezado"/>
      <w:jc w:val="center"/>
    </w:pPr>
    <w:r>
      <w:rPr>
        <w:noProof/>
        <w:lang w:val="es-MX" w:eastAsia="es-MX"/>
      </w:rPr>
      <w:drawing>
        <wp:anchor distT="0" distB="0" distL="114300" distR="114300" simplePos="0" relativeHeight="251661312" behindDoc="1" locked="0" layoutInCell="1" allowOverlap="1" wp14:anchorId="461DF805" wp14:editId="06C0A885">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096" behindDoc="0" locked="0" layoutInCell="1" allowOverlap="1" wp14:anchorId="280D9B7C" wp14:editId="2D129B1F">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3AB"/>
    <w:multiLevelType w:val="hybridMultilevel"/>
    <w:tmpl w:val="2F2E868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E321BF5"/>
    <w:multiLevelType w:val="hybridMultilevel"/>
    <w:tmpl w:val="247E6AE2"/>
    <w:lvl w:ilvl="0" w:tplc="B9848FF6">
      <w:start w:val="1"/>
      <w:numFmt w:val="decimal"/>
      <w:lvlText w:val="%1."/>
      <w:lvlJc w:val="left"/>
      <w:pPr>
        <w:ind w:left="1778" w:hanging="360"/>
      </w:pPr>
      <w:rPr>
        <w:b/>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3">
    <w:nsid w:val="25584D9C"/>
    <w:multiLevelType w:val="hybridMultilevel"/>
    <w:tmpl w:val="45FC3634"/>
    <w:lvl w:ilvl="0" w:tplc="1782488A">
      <w:start w:val="1"/>
      <w:numFmt w:val="lowerLetter"/>
      <w:lvlText w:val="%1)"/>
      <w:lvlJc w:val="left"/>
      <w:pPr>
        <w:ind w:left="1646" w:hanging="360"/>
      </w:pPr>
      <w:rPr>
        <w:rFonts w:hint="default"/>
      </w:rPr>
    </w:lvl>
    <w:lvl w:ilvl="1" w:tplc="080A0019" w:tentative="1">
      <w:start w:val="1"/>
      <w:numFmt w:val="lowerLetter"/>
      <w:lvlText w:val="%2."/>
      <w:lvlJc w:val="left"/>
      <w:pPr>
        <w:ind w:left="2366" w:hanging="360"/>
      </w:pPr>
    </w:lvl>
    <w:lvl w:ilvl="2" w:tplc="080A001B" w:tentative="1">
      <w:start w:val="1"/>
      <w:numFmt w:val="lowerRoman"/>
      <w:lvlText w:val="%3."/>
      <w:lvlJc w:val="right"/>
      <w:pPr>
        <w:ind w:left="3086" w:hanging="180"/>
      </w:pPr>
    </w:lvl>
    <w:lvl w:ilvl="3" w:tplc="080A000F" w:tentative="1">
      <w:start w:val="1"/>
      <w:numFmt w:val="decimal"/>
      <w:lvlText w:val="%4."/>
      <w:lvlJc w:val="left"/>
      <w:pPr>
        <w:ind w:left="3806" w:hanging="360"/>
      </w:pPr>
    </w:lvl>
    <w:lvl w:ilvl="4" w:tplc="080A0019" w:tentative="1">
      <w:start w:val="1"/>
      <w:numFmt w:val="lowerLetter"/>
      <w:lvlText w:val="%5."/>
      <w:lvlJc w:val="left"/>
      <w:pPr>
        <w:ind w:left="4526" w:hanging="360"/>
      </w:pPr>
    </w:lvl>
    <w:lvl w:ilvl="5" w:tplc="080A001B" w:tentative="1">
      <w:start w:val="1"/>
      <w:numFmt w:val="lowerRoman"/>
      <w:lvlText w:val="%6."/>
      <w:lvlJc w:val="right"/>
      <w:pPr>
        <w:ind w:left="5246" w:hanging="180"/>
      </w:pPr>
    </w:lvl>
    <w:lvl w:ilvl="6" w:tplc="080A000F" w:tentative="1">
      <w:start w:val="1"/>
      <w:numFmt w:val="decimal"/>
      <w:lvlText w:val="%7."/>
      <w:lvlJc w:val="left"/>
      <w:pPr>
        <w:ind w:left="5966" w:hanging="360"/>
      </w:pPr>
    </w:lvl>
    <w:lvl w:ilvl="7" w:tplc="080A0019" w:tentative="1">
      <w:start w:val="1"/>
      <w:numFmt w:val="lowerLetter"/>
      <w:lvlText w:val="%8."/>
      <w:lvlJc w:val="left"/>
      <w:pPr>
        <w:ind w:left="6686" w:hanging="360"/>
      </w:pPr>
    </w:lvl>
    <w:lvl w:ilvl="8" w:tplc="080A001B" w:tentative="1">
      <w:start w:val="1"/>
      <w:numFmt w:val="lowerRoman"/>
      <w:lvlText w:val="%9."/>
      <w:lvlJc w:val="right"/>
      <w:pPr>
        <w:ind w:left="7406" w:hanging="180"/>
      </w:pPr>
    </w:lvl>
  </w:abstractNum>
  <w:abstractNum w:abstractNumId="4">
    <w:nsid w:val="38AC61F7"/>
    <w:multiLevelType w:val="hybridMultilevel"/>
    <w:tmpl w:val="49A2466A"/>
    <w:lvl w:ilvl="0" w:tplc="722A55E2">
      <w:start w:val="1"/>
      <w:numFmt w:val="lowerLetter"/>
      <w:lvlText w:val="%1)"/>
      <w:lvlJc w:val="left"/>
      <w:pPr>
        <w:ind w:left="1698" w:hanging="99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AA62E8E"/>
    <w:multiLevelType w:val="hybridMultilevel"/>
    <w:tmpl w:val="253E21DC"/>
    <w:lvl w:ilvl="0" w:tplc="69487A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3CDB6069"/>
    <w:multiLevelType w:val="hybridMultilevel"/>
    <w:tmpl w:val="D31A06E0"/>
    <w:lvl w:ilvl="0" w:tplc="A38CD1C4">
      <w:start w:val="1"/>
      <w:numFmt w:val="decimal"/>
      <w:lvlText w:val="%1)"/>
      <w:lvlJc w:val="left"/>
      <w:pPr>
        <w:ind w:left="8582"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7">
    <w:nsid w:val="425C0634"/>
    <w:multiLevelType w:val="hybridMultilevel"/>
    <w:tmpl w:val="7150A3EA"/>
    <w:lvl w:ilvl="0" w:tplc="2BA8435C">
      <w:start w:val="1"/>
      <w:numFmt w:val="upperRoman"/>
      <w:lvlText w:val="%1."/>
      <w:lvlJc w:val="left"/>
      <w:pPr>
        <w:ind w:left="1571" w:hanging="720"/>
      </w:pPr>
      <w:rPr>
        <w:rFonts w:eastAsiaTheme="minorHAns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abstractNum w:abstractNumId="9">
    <w:nsid w:val="4E152F32"/>
    <w:multiLevelType w:val="hybridMultilevel"/>
    <w:tmpl w:val="2138AF24"/>
    <w:lvl w:ilvl="0" w:tplc="A9B4E67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03094A"/>
    <w:multiLevelType w:val="hybridMultilevel"/>
    <w:tmpl w:val="910E67EA"/>
    <w:lvl w:ilvl="0" w:tplc="AEAEFEB8">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E7CD5"/>
    <w:multiLevelType w:val="hybridMultilevel"/>
    <w:tmpl w:val="9C7A6E0C"/>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2">
    <w:nsid w:val="648D3102"/>
    <w:multiLevelType w:val="hybridMultilevel"/>
    <w:tmpl w:val="8D9C0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6E118A"/>
    <w:multiLevelType w:val="hybridMultilevel"/>
    <w:tmpl w:val="F378F940"/>
    <w:lvl w:ilvl="0" w:tplc="64DA729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6E7E1D58"/>
    <w:multiLevelType w:val="hybridMultilevel"/>
    <w:tmpl w:val="DCC893B2"/>
    <w:lvl w:ilvl="0" w:tplc="721896E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2"/>
  </w:num>
  <w:num w:numId="6">
    <w:abstractNumId w:val="11"/>
  </w:num>
  <w:num w:numId="7">
    <w:abstractNumId w:val="14"/>
  </w:num>
  <w:num w:numId="8">
    <w:abstractNumId w:val="9"/>
  </w:num>
  <w:num w:numId="9">
    <w:abstractNumId w:val="10"/>
  </w:num>
  <w:num w:numId="10">
    <w:abstractNumId w:val="4"/>
  </w:num>
  <w:num w:numId="11">
    <w:abstractNumId w:val="5"/>
  </w:num>
  <w:num w:numId="12">
    <w:abstractNumId w:val="0"/>
  </w:num>
  <w:num w:numId="13">
    <w:abstractNumId w:val="3"/>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06A22"/>
    <w:rsid w:val="000109BB"/>
    <w:rsid w:val="00022DB7"/>
    <w:rsid w:val="00030DD1"/>
    <w:rsid w:val="00031592"/>
    <w:rsid w:val="00040D57"/>
    <w:rsid w:val="00043178"/>
    <w:rsid w:val="00044884"/>
    <w:rsid w:val="000515CA"/>
    <w:rsid w:val="00055A7F"/>
    <w:rsid w:val="000562C5"/>
    <w:rsid w:val="00056D78"/>
    <w:rsid w:val="00061C35"/>
    <w:rsid w:val="00066C32"/>
    <w:rsid w:val="000735BA"/>
    <w:rsid w:val="00081E46"/>
    <w:rsid w:val="00085E05"/>
    <w:rsid w:val="000866D1"/>
    <w:rsid w:val="000871AA"/>
    <w:rsid w:val="00095F2B"/>
    <w:rsid w:val="000A22FC"/>
    <w:rsid w:val="000A3AD9"/>
    <w:rsid w:val="000A6D9C"/>
    <w:rsid w:val="000B335B"/>
    <w:rsid w:val="000B3446"/>
    <w:rsid w:val="000C333B"/>
    <w:rsid w:val="000C3D61"/>
    <w:rsid w:val="000C6557"/>
    <w:rsid w:val="000E4FE9"/>
    <w:rsid w:val="000F2074"/>
    <w:rsid w:val="000F2ADD"/>
    <w:rsid w:val="000F38CD"/>
    <w:rsid w:val="0010068F"/>
    <w:rsid w:val="00105F0F"/>
    <w:rsid w:val="0010632E"/>
    <w:rsid w:val="00107DF9"/>
    <w:rsid w:val="00122E24"/>
    <w:rsid w:val="00123CB1"/>
    <w:rsid w:val="00124121"/>
    <w:rsid w:val="00126FB9"/>
    <w:rsid w:val="0013134B"/>
    <w:rsid w:val="00133A4D"/>
    <w:rsid w:val="00135807"/>
    <w:rsid w:val="00153044"/>
    <w:rsid w:val="0015355E"/>
    <w:rsid w:val="001539DF"/>
    <w:rsid w:val="00153F96"/>
    <w:rsid w:val="00154B45"/>
    <w:rsid w:val="00164202"/>
    <w:rsid w:val="0017109A"/>
    <w:rsid w:val="00180987"/>
    <w:rsid w:val="00186BF6"/>
    <w:rsid w:val="00186D57"/>
    <w:rsid w:val="001908C2"/>
    <w:rsid w:val="00190A0C"/>
    <w:rsid w:val="0019325A"/>
    <w:rsid w:val="00196F99"/>
    <w:rsid w:val="001A09D8"/>
    <w:rsid w:val="001B10E2"/>
    <w:rsid w:val="001B171B"/>
    <w:rsid w:val="001B37F0"/>
    <w:rsid w:val="001B4963"/>
    <w:rsid w:val="001D0B0C"/>
    <w:rsid w:val="001D3B73"/>
    <w:rsid w:val="001D4197"/>
    <w:rsid w:val="001D4266"/>
    <w:rsid w:val="001D5D51"/>
    <w:rsid w:val="001E501D"/>
    <w:rsid w:val="001E58B2"/>
    <w:rsid w:val="001F1146"/>
    <w:rsid w:val="001F11D0"/>
    <w:rsid w:val="002133B0"/>
    <w:rsid w:val="002178D0"/>
    <w:rsid w:val="00223A79"/>
    <w:rsid w:val="00230813"/>
    <w:rsid w:val="00230B60"/>
    <w:rsid w:val="00243E0E"/>
    <w:rsid w:val="002505B2"/>
    <w:rsid w:val="0026638C"/>
    <w:rsid w:val="00266D25"/>
    <w:rsid w:val="002702F7"/>
    <w:rsid w:val="0027644E"/>
    <w:rsid w:val="002804E7"/>
    <w:rsid w:val="00282DE7"/>
    <w:rsid w:val="00284AF0"/>
    <w:rsid w:val="00290512"/>
    <w:rsid w:val="00296184"/>
    <w:rsid w:val="002B21DB"/>
    <w:rsid w:val="002C4E3C"/>
    <w:rsid w:val="002C58A0"/>
    <w:rsid w:val="002C6F99"/>
    <w:rsid w:val="002D17B2"/>
    <w:rsid w:val="002F4E69"/>
    <w:rsid w:val="002F7C88"/>
    <w:rsid w:val="00301CAB"/>
    <w:rsid w:val="0031002D"/>
    <w:rsid w:val="00323F9A"/>
    <w:rsid w:val="00331FFE"/>
    <w:rsid w:val="00335B02"/>
    <w:rsid w:val="0033674F"/>
    <w:rsid w:val="0033740E"/>
    <w:rsid w:val="00340085"/>
    <w:rsid w:val="00346273"/>
    <w:rsid w:val="0035241B"/>
    <w:rsid w:val="003740FB"/>
    <w:rsid w:val="00376E5A"/>
    <w:rsid w:val="003818DA"/>
    <w:rsid w:val="00382DD2"/>
    <w:rsid w:val="00385452"/>
    <w:rsid w:val="003A1170"/>
    <w:rsid w:val="003A12BA"/>
    <w:rsid w:val="003A30DC"/>
    <w:rsid w:val="003A67D2"/>
    <w:rsid w:val="003C1CBB"/>
    <w:rsid w:val="003C59C6"/>
    <w:rsid w:val="003C6EBD"/>
    <w:rsid w:val="003D1441"/>
    <w:rsid w:val="003D3B48"/>
    <w:rsid w:val="003E07C5"/>
    <w:rsid w:val="003E3D1E"/>
    <w:rsid w:val="003E43B2"/>
    <w:rsid w:val="003F169E"/>
    <w:rsid w:val="003F2549"/>
    <w:rsid w:val="003F7F4E"/>
    <w:rsid w:val="00401F5D"/>
    <w:rsid w:val="00402A9B"/>
    <w:rsid w:val="00402B7B"/>
    <w:rsid w:val="00420FFA"/>
    <w:rsid w:val="00421D97"/>
    <w:rsid w:val="00426726"/>
    <w:rsid w:val="00427752"/>
    <w:rsid w:val="004314ED"/>
    <w:rsid w:val="0043577A"/>
    <w:rsid w:val="004364A9"/>
    <w:rsid w:val="00444992"/>
    <w:rsid w:val="00444CDA"/>
    <w:rsid w:val="00451711"/>
    <w:rsid w:val="00452712"/>
    <w:rsid w:val="00453CC2"/>
    <w:rsid w:val="004543D9"/>
    <w:rsid w:val="00460C3A"/>
    <w:rsid w:val="0046169D"/>
    <w:rsid w:val="004634E0"/>
    <w:rsid w:val="00475A31"/>
    <w:rsid w:val="0048561A"/>
    <w:rsid w:val="0049310E"/>
    <w:rsid w:val="0049704E"/>
    <w:rsid w:val="004978C2"/>
    <w:rsid w:val="00497C02"/>
    <w:rsid w:val="004A19DA"/>
    <w:rsid w:val="004A1E38"/>
    <w:rsid w:val="004B0B5C"/>
    <w:rsid w:val="004B1413"/>
    <w:rsid w:val="004B43B9"/>
    <w:rsid w:val="004C3B64"/>
    <w:rsid w:val="004C3C9C"/>
    <w:rsid w:val="004C5E33"/>
    <w:rsid w:val="004D0922"/>
    <w:rsid w:val="004D3F7B"/>
    <w:rsid w:val="004D4886"/>
    <w:rsid w:val="004D502A"/>
    <w:rsid w:val="004D7412"/>
    <w:rsid w:val="004E34A5"/>
    <w:rsid w:val="004E4B91"/>
    <w:rsid w:val="004F0DAF"/>
    <w:rsid w:val="004F5213"/>
    <w:rsid w:val="004F7A68"/>
    <w:rsid w:val="005041CF"/>
    <w:rsid w:val="00515DD0"/>
    <w:rsid w:val="0052152A"/>
    <w:rsid w:val="00524485"/>
    <w:rsid w:val="00531FB2"/>
    <w:rsid w:val="00535BA5"/>
    <w:rsid w:val="00536BD0"/>
    <w:rsid w:val="00540372"/>
    <w:rsid w:val="00542B7A"/>
    <w:rsid w:val="00542CB7"/>
    <w:rsid w:val="0054381B"/>
    <w:rsid w:val="005474D2"/>
    <w:rsid w:val="00552745"/>
    <w:rsid w:val="00555B11"/>
    <w:rsid w:val="00556124"/>
    <w:rsid w:val="00560FFD"/>
    <w:rsid w:val="00561230"/>
    <w:rsid w:val="0056155C"/>
    <w:rsid w:val="00562828"/>
    <w:rsid w:val="0057265F"/>
    <w:rsid w:val="00573ACA"/>
    <w:rsid w:val="00582229"/>
    <w:rsid w:val="00586F85"/>
    <w:rsid w:val="00587D2A"/>
    <w:rsid w:val="005A39B6"/>
    <w:rsid w:val="005A6CC6"/>
    <w:rsid w:val="005A78E5"/>
    <w:rsid w:val="005B3C00"/>
    <w:rsid w:val="005B484C"/>
    <w:rsid w:val="005B64F0"/>
    <w:rsid w:val="005C0C43"/>
    <w:rsid w:val="005C6EFF"/>
    <w:rsid w:val="005C6FC8"/>
    <w:rsid w:val="005E0BDE"/>
    <w:rsid w:val="005E4854"/>
    <w:rsid w:val="005E6800"/>
    <w:rsid w:val="005E6A60"/>
    <w:rsid w:val="005F5F61"/>
    <w:rsid w:val="005F7F5B"/>
    <w:rsid w:val="00611078"/>
    <w:rsid w:val="00623179"/>
    <w:rsid w:val="00623D35"/>
    <w:rsid w:val="00623EE4"/>
    <w:rsid w:val="006305C4"/>
    <w:rsid w:val="006322DD"/>
    <w:rsid w:val="006422B5"/>
    <w:rsid w:val="006431A0"/>
    <w:rsid w:val="0064467C"/>
    <w:rsid w:val="006477D6"/>
    <w:rsid w:val="00652E79"/>
    <w:rsid w:val="00653A65"/>
    <w:rsid w:val="00665985"/>
    <w:rsid w:val="00666857"/>
    <w:rsid w:val="00667ACE"/>
    <w:rsid w:val="00670F96"/>
    <w:rsid w:val="00677E8B"/>
    <w:rsid w:val="00682486"/>
    <w:rsid w:val="00682A6A"/>
    <w:rsid w:val="0068396E"/>
    <w:rsid w:val="0068495F"/>
    <w:rsid w:val="00690020"/>
    <w:rsid w:val="00693730"/>
    <w:rsid w:val="00694011"/>
    <w:rsid w:val="006941D6"/>
    <w:rsid w:val="006960E9"/>
    <w:rsid w:val="006A5788"/>
    <w:rsid w:val="006A5AC8"/>
    <w:rsid w:val="006B1B08"/>
    <w:rsid w:val="006C5B2E"/>
    <w:rsid w:val="006D3347"/>
    <w:rsid w:val="006E368D"/>
    <w:rsid w:val="006F4042"/>
    <w:rsid w:val="00702CC5"/>
    <w:rsid w:val="00721708"/>
    <w:rsid w:val="0072373A"/>
    <w:rsid w:val="007278D2"/>
    <w:rsid w:val="00730813"/>
    <w:rsid w:val="00731380"/>
    <w:rsid w:val="00733C6C"/>
    <w:rsid w:val="0073628B"/>
    <w:rsid w:val="0073646D"/>
    <w:rsid w:val="0073665F"/>
    <w:rsid w:val="0074063C"/>
    <w:rsid w:val="00762E4B"/>
    <w:rsid w:val="00774581"/>
    <w:rsid w:val="00776D3C"/>
    <w:rsid w:val="0077786A"/>
    <w:rsid w:val="007821B3"/>
    <w:rsid w:val="00782763"/>
    <w:rsid w:val="00783B96"/>
    <w:rsid w:val="00792445"/>
    <w:rsid w:val="00793B2C"/>
    <w:rsid w:val="007970FE"/>
    <w:rsid w:val="007A1DB5"/>
    <w:rsid w:val="007B129A"/>
    <w:rsid w:val="007B15D8"/>
    <w:rsid w:val="007B523E"/>
    <w:rsid w:val="007B7E98"/>
    <w:rsid w:val="007C1156"/>
    <w:rsid w:val="007D1B58"/>
    <w:rsid w:val="007D3FF9"/>
    <w:rsid w:val="007E7B83"/>
    <w:rsid w:val="007E7ECA"/>
    <w:rsid w:val="007F1081"/>
    <w:rsid w:val="00816466"/>
    <w:rsid w:val="00817A6E"/>
    <w:rsid w:val="00825A9F"/>
    <w:rsid w:val="00827872"/>
    <w:rsid w:val="00830AB2"/>
    <w:rsid w:val="00832CEC"/>
    <w:rsid w:val="00834D7B"/>
    <w:rsid w:val="00836F44"/>
    <w:rsid w:val="0084798E"/>
    <w:rsid w:val="00847FDE"/>
    <w:rsid w:val="0085067D"/>
    <w:rsid w:val="008621C3"/>
    <w:rsid w:val="00867753"/>
    <w:rsid w:val="0087058F"/>
    <w:rsid w:val="00871B8C"/>
    <w:rsid w:val="00871FF3"/>
    <w:rsid w:val="00872A56"/>
    <w:rsid w:val="00877343"/>
    <w:rsid w:val="00881FC4"/>
    <w:rsid w:val="0088467A"/>
    <w:rsid w:val="00896829"/>
    <w:rsid w:val="00896A9F"/>
    <w:rsid w:val="008A0BDE"/>
    <w:rsid w:val="008A3170"/>
    <w:rsid w:val="008A585A"/>
    <w:rsid w:val="008A596C"/>
    <w:rsid w:val="008A65DC"/>
    <w:rsid w:val="008B43B2"/>
    <w:rsid w:val="008B4621"/>
    <w:rsid w:val="008B4C32"/>
    <w:rsid w:val="008B4E42"/>
    <w:rsid w:val="008B53E5"/>
    <w:rsid w:val="008D0CF7"/>
    <w:rsid w:val="008E10B0"/>
    <w:rsid w:val="008E4E1D"/>
    <w:rsid w:val="008E6328"/>
    <w:rsid w:val="008F477C"/>
    <w:rsid w:val="008F6066"/>
    <w:rsid w:val="009047C3"/>
    <w:rsid w:val="00913762"/>
    <w:rsid w:val="00913FF3"/>
    <w:rsid w:val="00915BA4"/>
    <w:rsid w:val="00917794"/>
    <w:rsid w:val="009277CE"/>
    <w:rsid w:val="0093149C"/>
    <w:rsid w:val="00934C14"/>
    <w:rsid w:val="00940B09"/>
    <w:rsid w:val="00942383"/>
    <w:rsid w:val="00942461"/>
    <w:rsid w:val="0095118E"/>
    <w:rsid w:val="00953460"/>
    <w:rsid w:val="00953517"/>
    <w:rsid w:val="00960C40"/>
    <w:rsid w:val="00966322"/>
    <w:rsid w:val="009716A8"/>
    <w:rsid w:val="0098178E"/>
    <w:rsid w:val="0098475E"/>
    <w:rsid w:val="0098536C"/>
    <w:rsid w:val="0099570D"/>
    <w:rsid w:val="009A1CBF"/>
    <w:rsid w:val="009B7852"/>
    <w:rsid w:val="009B7DF3"/>
    <w:rsid w:val="009D2EF4"/>
    <w:rsid w:val="009D414D"/>
    <w:rsid w:val="009D6E30"/>
    <w:rsid w:val="009D76C1"/>
    <w:rsid w:val="009E0BAC"/>
    <w:rsid w:val="009F09AF"/>
    <w:rsid w:val="009F11F0"/>
    <w:rsid w:val="00A05AAA"/>
    <w:rsid w:val="00A0646B"/>
    <w:rsid w:val="00A071D8"/>
    <w:rsid w:val="00A11754"/>
    <w:rsid w:val="00A17C64"/>
    <w:rsid w:val="00A20578"/>
    <w:rsid w:val="00A2321B"/>
    <w:rsid w:val="00A25D40"/>
    <w:rsid w:val="00A35D1D"/>
    <w:rsid w:val="00A42F90"/>
    <w:rsid w:val="00A45764"/>
    <w:rsid w:val="00A45B1F"/>
    <w:rsid w:val="00A45BB6"/>
    <w:rsid w:val="00A47838"/>
    <w:rsid w:val="00A57F5F"/>
    <w:rsid w:val="00A62BE4"/>
    <w:rsid w:val="00A62CE7"/>
    <w:rsid w:val="00A648D8"/>
    <w:rsid w:val="00A66CA5"/>
    <w:rsid w:val="00A66EC9"/>
    <w:rsid w:val="00A70318"/>
    <w:rsid w:val="00A70D65"/>
    <w:rsid w:val="00AA5CFB"/>
    <w:rsid w:val="00AC15DB"/>
    <w:rsid w:val="00AD25ED"/>
    <w:rsid w:val="00AE6F77"/>
    <w:rsid w:val="00AE799D"/>
    <w:rsid w:val="00AF1566"/>
    <w:rsid w:val="00AF59A2"/>
    <w:rsid w:val="00B1084A"/>
    <w:rsid w:val="00B135A2"/>
    <w:rsid w:val="00B306DA"/>
    <w:rsid w:val="00B3090D"/>
    <w:rsid w:val="00B323F9"/>
    <w:rsid w:val="00B337B6"/>
    <w:rsid w:val="00B34634"/>
    <w:rsid w:val="00B4221D"/>
    <w:rsid w:val="00B45916"/>
    <w:rsid w:val="00B46B2C"/>
    <w:rsid w:val="00B509B6"/>
    <w:rsid w:val="00B5133E"/>
    <w:rsid w:val="00B57E8C"/>
    <w:rsid w:val="00B6149A"/>
    <w:rsid w:val="00B820AD"/>
    <w:rsid w:val="00B82E47"/>
    <w:rsid w:val="00B86BFC"/>
    <w:rsid w:val="00B902E3"/>
    <w:rsid w:val="00B913F7"/>
    <w:rsid w:val="00B92402"/>
    <w:rsid w:val="00BA08AC"/>
    <w:rsid w:val="00BA4FDE"/>
    <w:rsid w:val="00BA5C7A"/>
    <w:rsid w:val="00BB066F"/>
    <w:rsid w:val="00BB74AD"/>
    <w:rsid w:val="00BC3ABB"/>
    <w:rsid w:val="00BC6DE7"/>
    <w:rsid w:val="00BD1ABA"/>
    <w:rsid w:val="00BD5A46"/>
    <w:rsid w:val="00BE12C8"/>
    <w:rsid w:val="00BE2C95"/>
    <w:rsid w:val="00BE322A"/>
    <w:rsid w:val="00BF189D"/>
    <w:rsid w:val="00BF21E5"/>
    <w:rsid w:val="00BF59C9"/>
    <w:rsid w:val="00BF6D1F"/>
    <w:rsid w:val="00C027B1"/>
    <w:rsid w:val="00C06A46"/>
    <w:rsid w:val="00C16445"/>
    <w:rsid w:val="00C32035"/>
    <w:rsid w:val="00C32E77"/>
    <w:rsid w:val="00C3582C"/>
    <w:rsid w:val="00C45A38"/>
    <w:rsid w:val="00C51134"/>
    <w:rsid w:val="00C5121E"/>
    <w:rsid w:val="00C555A1"/>
    <w:rsid w:val="00C63BCE"/>
    <w:rsid w:val="00C63E26"/>
    <w:rsid w:val="00C862CC"/>
    <w:rsid w:val="00C910A2"/>
    <w:rsid w:val="00C915CF"/>
    <w:rsid w:val="00C974A3"/>
    <w:rsid w:val="00CA380C"/>
    <w:rsid w:val="00CC0C54"/>
    <w:rsid w:val="00CD4D85"/>
    <w:rsid w:val="00CD7CA2"/>
    <w:rsid w:val="00CE5FCF"/>
    <w:rsid w:val="00CE62B3"/>
    <w:rsid w:val="00CF2899"/>
    <w:rsid w:val="00D04FDA"/>
    <w:rsid w:val="00D0658E"/>
    <w:rsid w:val="00D10056"/>
    <w:rsid w:val="00D14325"/>
    <w:rsid w:val="00D156D9"/>
    <w:rsid w:val="00D15860"/>
    <w:rsid w:val="00D22000"/>
    <w:rsid w:val="00D314C3"/>
    <w:rsid w:val="00D40369"/>
    <w:rsid w:val="00D45152"/>
    <w:rsid w:val="00D47272"/>
    <w:rsid w:val="00D476DA"/>
    <w:rsid w:val="00D57BBD"/>
    <w:rsid w:val="00D62198"/>
    <w:rsid w:val="00D704D3"/>
    <w:rsid w:val="00D84055"/>
    <w:rsid w:val="00D904AC"/>
    <w:rsid w:val="00D91D17"/>
    <w:rsid w:val="00DA3027"/>
    <w:rsid w:val="00DA56C5"/>
    <w:rsid w:val="00DB02C9"/>
    <w:rsid w:val="00DB6D2C"/>
    <w:rsid w:val="00DC0437"/>
    <w:rsid w:val="00DC1F3C"/>
    <w:rsid w:val="00DF2466"/>
    <w:rsid w:val="00DF2C5B"/>
    <w:rsid w:val="00DF4D94"/>
    <w:rsid w:val="00DF736E"/>
    <w:rsid w:val="00E0214C"/>
    <w:rsid w:val="00E11BBF"/>
    <w:rsid w:val="00E141AF"/>
    <w:rsid w:val="00E150B5"/>
    <w:rsid w:val="00E15864"/>
    <w:rsid w:val="00E16BA4"/>
    <w:rsid w:val="00E2472E"/>
    <w:rsid w:val="00E26085"/>
    <w:rsid w:val="00E26119"/>
    <w:rsid w:val="00E42BA9"/>
    <w:rsid w:val="00E46863"/>
    <w:rsid w:val="00E46C96"/>
    <w:rsid w:val="00E522A1"/>
    <w:rsid w:val="00E525DA"/>
    <w:rsid w:val="00E52671"/>
    <w:rsid w:val="00E550F1"/>
    <w:rsid w:val="00E60F6B"/>
    <w:rsid w:val="00E66676"/>
    <w:rsid w:val="00E75398"/>
    <w:rsid w:val="00E772A9"/>
    <w:rsid w:val="00E84A6B"/>
    <w:rsid w:val="00E858A2"/>
    <w:rsid w:val="00E86458"/>
    <w:rsid w:val="00E97198"/>
    <w:rsid w:val="00EA5FF8"/>
    <w:rsid w:val="00EC0C94"/>
    <w:rsid w:val="00EC1E3E"/>
    <w:rsid w:val="00EC6E85"/>
    <w:rsid w:val="00EC79E0"/>
    <w:rsid w:val="00EE285B"/>
    <w:rsid w:val="00EE4979"/>
    <w:rsid w:val="00EF1607"/>
    <w:rsid w:val="00EF196D"/>
    <w:rsid w:val="00F104C9"/>
    <w:rsid w:val="00F201D1"/>
    <w:rsid w:val="00F329BC"/>
    <w:rsid w:val="00F34BC6"/>
    <w:rsid w:val="00F35437"/>
    <w:rsid w:val="00F41CAF"/>
    <w:rsid w:val="00F44095"/>
    <w:rsid w:val="00F52D1A"/>
    <w:rsid w:val="00F660CA"/>
    <w:rsid w:val="00F660E1"/>
    <w:rsid w:val="00F804F6"/>
    <w:rsid w:val="00F829FB"/>
    <w:rsid w:val="00F940D2"/>
    <w:rsid w:val="00F9597D"/>
    <w:rsid w:val="00F96338"/>
    <w:rsid w:val="00F96BCF"/>
    <w:rsid w:val="00F96E9C"/>
    <w:rsid w:val="00F97CDE"/>
    <w:rsid w:val="00FA1059"/>
    <w:rsid w:val="00FA1FC2"/>
    <w:rsid w:val="00FA64FC"/>
    <w:rsid w:val="00FB0A86"/>
    <w:rsid w:val="00FB3D21"/>
    <w:rsid w:val="00FB5956"/>
    <w:rsid w:val="00FB5D49"/>
    <w:rsid w:val="00FC2CA3"/>
    <w:rsid w:val="00FC3BF7"/>
    <w:rsid w:val="00FD6E29"/>
    <w:rsid w:val="00FD79A1"/>
    <w:rsid w:val="00FE4D57"/>
    <w:rsid w:val="00FF108B"/>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3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qFormat/>
    <w:rsid w:val="00323F9A"/>
    <w:pPr>
      <w:ind w:left="720"/>
      <w:contextualSpacing/>
    </w:pPr>
  </w:style>
  <w:style w:type="paragraph" w:styleId="Textonotapie">
    <w:name w:val="footnote text"/>
    <w:basedOn w:val="Normal"/>
    <w:link w:val="TextonotapieCar"/>
    <w:uiPriority w:val="99"/>
    <w:unhideWhenUsed/>
    <w:rsid w:val="00323F9A"/>
    <w:pPr>
      <w:spacing w:after="0" w:line="240" w:lineRule="auto"/>
    </w:pPr>
    <w:rPr>
      <w:sz w:val="20"/>
      <w:szCs w:val="20"/>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3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qFormat/>
    <w:rsid w:val="00CE62B3"/>
    <w:pPr>
      <w:spacing w:after="0" w:line="240" w:lineRule="auto"/>
    </w:pPr>
    <w:rPr>
      <w:lang w:val="es-ES"/>
    </w:rPr>
  </w:style>
  <w:style w:type="paragraph" w:customStyle="1" w:styleId="Body1">
    <w:name w:val="Body 1"/>
    <w:rsid w:val="00CE62B3"/>
    <w:pPr>
      <w:outlineLvl w:val="0"/>
    </w:pPr>
    <w:rPr>
      <w:rFonts w:ascii="Helvetica" w:eastAsia="Arial Unicode MS" w:hAnsi="Helvetica" w:cs="Times New Roman"/>
      <w:color w:val="000000"/>
      <w:szCs w:val="20"/>
      <w:u w:color="000000"/>
      <w:lang w:eastAsia="es-MX"/>
    </w:rPr>
  </w:style>
  <w:style w:type="paragraph" w:styleId="Prrafodelista">
    <w:name w:val="List Paragraph"/>
    <w:basedOn w:val="Normal"/>
    <w:qFormat/>
    <w:rsid w:val="00323F9A"/>
    <w:pPr>
      <w:ind w:left="720"/>
      <w:contextualSpacing/>
    </w:pPr>
  </w:style>
  <w:style w:type="paragraph" w:styleId="Textonotapie">
    <w:name w:val="footnote text"/>
    <w:basedOn w:val="Normal"/>
    <w:link w:val="TextonotapieCar"/>
    <w:uiPriority w:val="99"/>
    <w:unhideWhenUsed/>
    <w:rsid w:val="00323F9A"/>
    <w:pPr>
      <w:spacing w:after="0" w:line="240" w:lineRule="auto"/>
    </w:pPr>
    <w:rPr>
      <w:sz w:val="20"/>
      <w:szCs w:val="20"/>
    </w:rPr>
  </w:style>
  <w:style w:type="character" w:customStyle="1" w:styleId="TextonotapieCar">
    <w:name w:val="Texto nota pie Car"/>
    <w:basedOn w:val="Fuentedeprrafopredeter"/>
    <w:link w:val="Textonotapie"/>
    <w:uiPriority w:val="99"/>
    <w:rsid w:val="00323F9A"/>
    <w:rPr>
      <w:sz w:val="20"/>
      <w:szCs w:val="20"/>
      <w:lang w:val="es-ES"/>
    </w:rPr>
  </w:style>
  <w:style w:type="character" w:styleId="Refdenotaalpie">
    <w:name w:val="footnote reference"/>
    <w:basedOn w:val="Fuentedeprrafopredeter"/>
    <w:uiPriority w:val="99"/>
    <w:semiHidden/>
    <w:unhideWhenUsed/>
    <w:rsid w:val="00323F9A"/>
    <w:rPr>
      <w:vertAlign w:val="superscript"/>
    </w:rPr>
  </w:style>
  <w:style w:type="paragraph" w:customStyle="1" w:styleId="Textoindependiente21">
    <w:name w:val="Texto independiente 21"/>
    <w:basedOn w:val="Normal"/>
    <w:rsid w:val="000C6557"/>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normaltextrun">
    <w:name w:val="normaltextrun"/>
    <w:basedOn w:val="Fuentedeprrafopredeter"/>
    <w:rsid w:val="0073646D"/>
  </w:style>
  <w:style w:type="character" w:customStyle="1" w:styleId="apple-converted-space">
    <w:name w:val="apple-converted-space"/>
    <w:basedOn w:val="Fuentedeprrafopredeter"/>
    <w:rsid w:val="0073646D"/>
  </w:style>
  <w:style w:type="character" w:styleId="Hipervnculo">
    <w:name w:val="Hyperlink"/>
    <w:basedOn w:val="Fuentedeprrafopredeter"/>
    <w:uiPriority w:val="99"/>
    <w:unhideWhenUsed/>
    <w:rsid w:val="007E7B83"/>
    <w:rPr>
      <w:color w:val="0000FF" w:themeColor="hyperlink"/>
      <w:u w:val="single"/>
    </w:rPr>
  </w:style>
  <w:style w:type="character" w:customStyle="1" w:styleId="corte4fondoCar3">
    <w:name w:val="corte4 fondo Car3"/>
    <w:link w:val="corte4fondo"/>
    <w:locked/>
    <w:rsid w:val="007E7B83"/>
    <w:rPr>
      <w:rFonts w:ascii="Arial" w:hAnsi="Arial" w:cs="Arial"/>
      <w:sz w:val="30"/>
      <w:szCs w:val="30"/>
      <w:lang w:val="es-ES_tradnl"/>
    </w:rPr>
  </w:style>
  <w:style w:type="paragraph" w:customStyle="1" w:styleId="corte4fondo">
    <w:name w:val="corte4 fondo"/>
    <w:basedOn w:val="Normal"/>
    <w:link w:val="corte4fondoCar3"/>
    <w:qFormat/>
    <w:rsid w:val="007E7B83"/>
    <w:pPr>
      <w:spacing w:after="0" w:line="360" w:lineRule="auto"/>
      <w:ind w:firstLine="709"/>
      <w:jc w:val="both"/>
    </w:pPr>
    <w:rPr>
      <w:rFonts w:ascii="Arial" w:hAnsi="Arial" w:cs="Arial"/>
      <w:sz w:val="30"/>
      <w:szCs w:val="30"/>
      <w:lang w:val="es-ES_tradnl"/>
    </w:rPr>
  </w:style>
  <w:style w:type="character" w:customStyle="1" w:styleId="corte4fondoCar">
    <w:name w:val="corte4 fondo Car"/>
    <w:basedOn w:val="Fuentedeprrafopredeter"/>
    <w:rsid w:val="00A57F5F"/>
    <w:rPr>
      <w:rFonts w:ascii="Arial" w:eastAsia="Times New Roman" w:hAnsi="Arial" w:cs="Times New Roman"/>
      <w:sz w:val="30"/>
      <w:szCs w:val="20"/>
      <w:lang w:val="es-ES_tradnl" w:eastAsia="es-ES"/>
    </w:rPr>
  </w:style>
  <w:style w:type="paragraph" w:styleId="Textodeglobo">
    <w:name w:val="Balloon Text"/>
    <w:basedOn w:val="Normal"/>
    <w:link w:val="TextodegloboCar"/>
    <w:uiPriority w:val="99"/>
    <w:semiHidden/>
    <w:unhideWhenUsed/>
    <w:rsid w:val="00431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4ED"/>
    <w:rPr>
      <w:rFonts w:ascii="Segoe UI" w:hAnsi="Segoe UI" w:cs="Segoe UI"/>
      <w:sz w:val="18"/>
      <w:szCs w:val="18"/>
    </w:rPr>
  </w:style>
  <w:style w:type="paragraph" w:customStyle="1" w:styleId="Default">
    <w:name w:val="Default"/>
    <w:rsid w:val="001A09D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iedepgina">
    <w:name w:val="footer"/>
    <w:basedOn w:val="Normal"/>
    <w:link w:val="PiedepginaCar"/>
    <w:uiPriority w:val="99"/>
    <w:unhideWhenUsed/>
    <w:rsid w:val="00582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1293">
      <w:bodyDiv w:val="1"/>
      <w:marLeft w:val="0"/>
      <w:marRight w:val="0"/>
      <w:marTop w:val="0"/>
      <w:marBottom w:val="0"/>
      <w:divBdr>
        <w:top w:val="none" w:sz="0" w:space="0" w:color="auto"/>
        <w:left w:val="none" w:sz="0" w:space="0" w:color="auto"/>
        <w:bottom w:val="none" w:sz="0" w:space="0" w:color="auto"/>
        <w:right w:val="none" w:sz="0" w:space="0" w:color="auto"/>
      </w:divBdr>
    </w:div>
    <w:div w:id="15268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19</Pages>
  <Words>6171</Words>
  <Characters>33941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177</cp:revision>
  <cp:lastPrinted>2019-04-09T16:25:00Z</cp:lastPrinted>
  <dcterms:created xsi:type="dcterms:W3CDTF">2019-02-28T18:13:00Z</dcterms:created>
  <dcterms:modified xsi:type="dcterms:W3CDTF">2019-04-09T16:25:00Z</dcterms:modified>
</cp:coreProperties>
</file>